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F38FE" w14:textId="77777777" w:rsidR="00C07F6E" w:rsidRDefault="008733C2" w:rsidP="002323A9">
      <w:pPr>
        <w:pStyle w:val="TOCHeading"/>
        <w:rPr>
          <w:rFonts w:ascii="Times New Roman" w:eastAsia="Calibri" w:hAnsi="Times New Roman"/>
          <w:color w:val="auto"/>
          <w:sz w:val="24"/>
          <w:szCs w:val="24"/>
        </w:rPr>
      </w:pPr>
      <w:r>
        <w:rPr>
          <w:noProof/>
        </w:rPr>
        <w:drawing>
          <wp:anchor distT="0" distB="0" distL="114300" distR="114300" simplePos="0" relativeHeight="251645952" behindDoc="0" locked="0" layoutInCell="1" allowOverlap="1" wp14:anchorId="52D54D4F" wp14:editId="5C03A7AA">
            <wp:simplePos x="0" y="0"/>
            <wp:positionH relativeFrom="column">
              <wp:posOffset>1684020</wp:posOffset>
            </wp:positionH>
            <wp:positionV relativeFrom="paragraph">
              <wp:posOffset>-922020</wp:posOffset>
            </wp:positionV>
            <wp:extent cx="2702560" cy="1457960"/>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49" t="4865" b="2979"/>
                    <a:stretch/>
                  </pic:blipFill>
                  <pic:spPr bwMode="auto">
                    <a:xfrm>
                      <a:off x="0" y="0"/>
                      <a:ext cx="2702560" cy="145796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55A7F">
        <w:rPr>
          <w:noProof/>
        </w:rPr>
        <w:drawing>
          <wp:anchor distT="0" distB="0" distL="114300" distR="114300" simplePos="0" relativeHeight="251639808" behindDoc="0" locked="0" layoutInCell="1" allowOverlap="1" wp14:anchorId="1344080A" wp14:editId="33F534F6">
            <wp:simplePos x="0" y="0"/>
            <wp:positionH relativeFrom="column">
              <wp:posOffset>4399280</wp:posOffset>
            </wp:positionH>
            <wp:positionV relativeFrom="paragraph">
              <wp:posOffset>-914400</wp:posOffset>
            </wp:positionV>
            <wp:extent cx="2458720" cy="1450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14" t="3037" r="-268" b="5888"/>
                    <a:stretch/>
                  </pic:blipFill>
                  <pic:spPr bwMode="auto">
                    <a:xfrm>
                      <a:off x="0" y="0"/>
                      <a:ext cx="2458720" cy="14503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55A7F">
        <w:rPr>
          <w:noProof/>
        </w:rPr>
        <w:drawing>
          <wp:anchor distT="0" distB="0" distL="114300" distR="114300" simplePos="0" relativeHeight="251642880" behindDoc="0" locked="0" layoutInCell="1" allowOverlap="1" wp14:anchorId="60FD8639" wp14:editId="79133622">
            <wp:simplePos x="0" y="0"/>
            <wp:positionH relativeFrom="column">
              <wp:posOffset>-933450</wp:posOffset>
            </wp:positionH>
            <wp:positionV relativeFrom="paragraph">
              <wp:posOffset>-910590</wp:posOffset>
            </wp:positionV>
            <wp:extent cx="2602230" cy="1447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490"/>
                    <a:stretch/>
                  </pic:blipFill>
                  <pic:spPr bwMode="auto">
                    <a:xfrm>
                      <a:off x="0" y="0"/>
                      <a:ext cx="2602230" cy="14478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EFA2BF0" w14:textId="77777777" w:rsidR="00C07F6E" w:rsidRDefault="00FB5981" w:rsidP="002323A9">
      <w:pPr>
        <w:pStyle w:val="TOCHeading"/>
        <w:rPr>
          <w:rFonts w:ascii="Times New Roman" w:eastAsia="Calibri" w:hAnsi="Times New Roman"/>
          <w:color w:val="auto"/>
          <w:sz w:val="24"/>
          <w:szCs w:val="24"/>
        </w:rPr>
      </w:pPr>
      <w:r>
        <w:rPr>
          <w:noProof/>
        </w:rPr>
        <w:drawing>
          <wp:anchor distT="0" distB="0" distL="114300" distR="114300" simplePos="0" relativeHeight="251651072" behindDoc="0" locked="0" layoutInCell="1" allowOverlap="1" wp14:anchorId="7110B919" wp14:editId="2999F2F0">
            <wp:simplePos x="0" y="0"/>
            <wp:positionH relativeFrom="column">
              <wp:posOffset>3030220</wp:posOffset>
            </wp:positionH>
            <wp:positionV relativeFrom="paragraph">
              <wp:posOffset>248920</wp:posOffset>
            </wp:positionV>
            <wp:extent cx="1920240" cy="1133856"/>
            <wp:effectExtent l="0" t="0" r="3810" b="9525"/>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19" r="3942" b="7688"/>
                    <a:stretch/>
                  </pic:blipFill>
                  <pic:spPr bwMode="auto">
                    <a:xfrm>
                      <a:off x="0" y="0"/>
                      <a:ext cx="1920240" cy="113385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8E0038">
        <w:rPr>
          <w:noProof/>
        </w:rPr>
        <w:drawing>
          <wp:anchor distT="0" distB="0" distL="114300" distR="114300" simplePos="0" relativeHeight="251648000" behindDoc="0" locked="0" layoutInCell="1" allowOverlap="1" wp14:anchorId="1209A899" wp14:editId="1795AD08">
            <wp:simplePos x="0" y="0"/>
            <wp:positionH relativeFrom="column">
              <wp:posOffset>-929640</wp:posOffset>
            </wp:positionH>
            <wp:positionV relativeFrom="paragraph">
              <wp:posOffset>248920</wp:posOffset>
            </wp:positionV>
            <wp:extent cx="2011680" cy="1133856"/>
            <wp:effectExtent l="0" t="0" r="762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721" b="8308"/>
                    <a:stretch/>
                  </pic:blipFill>
                  <pic:spPr bwMode="auto">
                    <a:xfrm>
                      <a:off x="0" y="0"/>
                      <a:ext cx="2011680" cy="113385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8E0038">
        <w:rPr>
          <w:noProof/>
        </w:rPr>
        <w:drawing>
          <wp:anchor distT="0" distB="0" distL="114300" distR="114300" simplePos="0" relativeHeight="251654144" behindDoc="0" locked="0" layoutInCell="1" allowOverlap="1" wp14:anchorId="641BCF44" wp14:editId="19EB48DC">
            <wp:simplePos x="0" y="0"/>
            <wp:positionH relativeFrom="column">
              <wp:posOffset>4968240</wp:posOffset>
            </wp:positionH>
            <wp:positionV relativeFrom="paragraph">
              <wp:posOffset>248920</wp:posOffset>
            </wp:positionV>
            <wp:extent cx="1920240" cy="1135380"/>
            <wp:effectExtent l="0" t="0" r="381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863" t="3333" r="5036" b="4286"/>
                    <a:stretch/>
                  </pic:blipFill>
                  <pic:spPr bwMode="auto">
                    <a:xfrm>
                      <a:off x="0" y="0"/>
                      <a:ext cx="1920240" cy="11353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55A7F">
        <w:rPr>
          <w:noProof/>
        </w:rPr>
        <w:drawing>
          <wp:anchor distT="0" distB="0" distL="114300" distR="114300" simplePos="0" relativeHeight="251673600" behindDoc="0" locked="0" layoutInCell="1" allowOverlap="1" wp14:anchorId="7256DBA3" wp14:editId="0934F381">
            <wp:simplePos x="0" y="0"/>
            <wp:positionH relativeFrom="column">
              <wp:posOffset>1094740</wp:posOffset>
            </wp:positionH>
            <wp:positionV relativeFrom="paragraph">
              <wp:posOffset>248920</wp:posOffset>
            </wp:positionV>
            <wp:extent cx="1920240" cy="113284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465" r="3309" b="1629"/>
                    <a:stretch/>
                  </pic:blipFill>
                  <pic:spPr bwMode="auto">
                    <a:xfrm>
                      <a:off x="0" y="0"/>
                      <a:ext cx="1920240" cy="11328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E744A7D" w14:textId="77777777" w:rsidR="00C07F6E" w:rsidRDefault="00C07F6E" w:rsidP="002323A9">
      <w:pPr>
        <w:pStyle w:val="TOCHeading"/>
        <w:rPr>
          <w:rFonts w:eastAsia="Calibri"/>
        </w:rPr>
      </w:pPr>
    </w:p>
    <w:p w14:paraId="3E5A6F02" w14:textId="77777777" w:rsidR="00C07F6E" w:rsidRDefault="00C07F6E" w:rsidP="002323A9">
      <w:pPr>
        <w:pStyle w:val="TOCHeading"/>
        <w:rPr>
          <w:rFonts w:eastAsia="Calibri"/>
        </w:rPr>
      </w:pPr>
    </w:p>
    <w:p w14:paraId="2E617226" w14:textId="77777777" w:rsidR="00C07F6E" w:rsidRDefault="00C07F6E" w:rsidP="002323A9">
      <w:pPr>
        <w:pStyle w:val="TOCHeading"/>
        <w:rPr>
          <w:rFonts w:eastAsia="Calibri"/>
        </w:rPr>
      </w:pPr>
    </w:p>
    <w:p w14:paraId="6B64EE26" w14:textId="77777777" w:rsidR="00723799" w:rsidRDefault="00723799">
      <w:pPr>
        <w:spacing w:before="0" w:after="0"/>
      </w:pPr>
    </w:p>
    <w:p w14:paraId="1A11198C" w14:textId="77777777" w:rsidR="00723799" w:rsidRDefault="00880D24">
      <w:pPr>
        <w:spacing w:before="0" w:after="0"/>
      </w:pPr>
      <w:r>
        <w:rPr>
          <w:noProof/>
        </w:rPr>
        <w:drawing>
          <wp:anchor distT="0" distB="0" distL="114300" distR="114300" simplePos="0" relativeHeight="251680768" behindDoc="1" locked="0" layoutInCell="1" allowOverlap="1" wp14:anchorId="4F6E55EF" wp14:editId="56E382E5">
            <wp:simplePos x="0" y="0"/>
            <wp:positionH relativeFrom="column">
              <wp:posOffset>-914400</wp:posOffset>
            </wp:positionH>
            <wp:positionV relativeFrom="paragraph">
              <wp:posOffset>40640</wp:posOffset>
            </wp:positionV>
            <wp:extent cx="1993265" cy="1170305"/>
            <wp:effectExtent l="0" t="0" r="6985"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316" r="3189" b="5238"/>
                    <a:stretch/>
                  </pic:blipFill>
                  <pic:spPr bwMode="auto">
                    <a:xfrm>
                      <a:off x="0" y="0"/>
                      <a:ext cx="1993265" cy="117030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7121798F" wp14:editId="2C415225">
            <wp:simplePos x="0" y="0"/>
            <wp:positionH relativeFrom="column">
              <wp:posOffset>1097280</wp:posOffset>
            </wp:positionH>
            <wp:positionV relativeFrom="paragraph">
              <wp:posOffset>40640</wp:posOffset>
            </wp:positionV>
            <wp:extent cx="1920240" cy="1173480"/>
            <wp:effectExtent l="0" t="0" r="381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4651" r="3309" b="2791"/>
                    <a:stretch/>
                  </pic:blipFill>
                  <pic:spPr bwMode="auto">
                    <a:xfrm>
                      <a:off x="0" y="0"/>
                      <a:ext cx="1920240" cy="11734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6736" behindDoc="0" locked="0" layoutInCell="1" allowOverlap="1" wp14:anchorId="60F91E32" wp14:editId="50084C50">
            <wp:simplePos x="0" y="0"/>
            <wp:positionH relativeFrom="column">
              <wp:posOffset>3032125</wp:posOffset>
            </wp:positionH>
            <wp:positionV relativeFrom="paragraph">
              <wp:posOffset>40005</wp:posOffset>
            </wp:positionV>
            <wp:extent cx="1920240" cy="1151890"/>
            <wp:effectExtent l="0" t="0" r="381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404" t="3457" r="4596"/>
                    <a:stretch/>
                  </pic:blipFill>
                  <pic:spPr bwMode="auto">
                    <a:xfrm>
                      <a:off x="0" y="0"/>
                      <a:ext cx="1920240" cy="11518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69648555" wp14:editId="505BF9C6">
            <wp:simplePos x="0" y="0"/>
            <wp:positionH relativeFrom="column">
              <wp:posOffset>4968240</wp:posOffset>
            </wp:positionH>
            <wp:positionV relativeFrom="paragraph">
              <wp:posOffset>38735</wp:posOffset>
            </wp:positionV>
            <wp:extent cx="1920240" cy="118110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20240" cy="1181100"/>
                    </a:xfrm>
                    <a:prstGeom prst="rect">
                      <a:avLst/>
                    </a:prstGeom>
                  </pic:spPr>
                </pic:pic>
              </a:graphicData>
            </a:graphic>
            <wp14:sizeRelH relativeFrom="margin">
              <wp14:pctWidth>0</wp14:pctWidth>
            </wp14:sizeRelH>
            <wp14:sizeRelV relativeFrom="margin">
              <wp14:pctHeight>0</wp14:pctHeight>
            </wp14:sizeRelV>
          </wp:anchor>
        </w:drawing>
      </w:r>
    </w:p>
    <w:p w14:paraId="1D0DDF83" w14:textId="77777777" w:rsidR="00723799" w:rsidRDefault="00723799">
      <w:pPr>
        <w:spacing w:before="0" w:after="0"/>
      </w:pPr>
    </w:p>
    <w:p w14:paraId="38445B4A" w14:textId="77777777" w:rsidR="00723799" w:rsidRDefault="00723799">
      <w:pPr>
        <w:spacing w:before="0" w:after="0"/>
      </w:pPr>
    </w:p>
    <w:p w14:paraId="316EF04A" w14:textId="77777777" w:rsidR="00723799" w:rsidRDefault="00723799">
      <w:pPr>
        <w:spacing w:before="0" w:after="0"/>
      </w:pPr>
    </w:p>
    <w:p w14:paraId="08050886" w14:textId="77777777" w:rsidR="00723799" w:rsidRDefault="00723799">
      <w:pPr>
        <w:spacing w:before="0" w:after="0"/>
      </w:pPr>
    </w:p>
    <w:p w14:paraId="4424B4A7" w14:textId="77777777" w:rsidR="00723799" w:rsidRDefault="00E146C0">
      <w:pPr>
        <w:spacing w:before="0" w:after="0"/>
      </w:pPr>
      <w:r w:rsidRPr="0040713D">
        <w:rPr>
          <w:noProof/>
        </w:rPr>
        <mc:AlternateContent>
          <mc:Choice Requires="wpg">
            <w:drawing>
              <wp:anchor distT="0" distB="0" distL="114300" distR="114300" simplePos="0" relativeHeight="251667456" behindDoc="0" locked="0" layoutInCell="1" allowOverlap="1" wp14:anchorId="738A1058" wp14:editId="12A203FF">
                <wp:simplePos x="0" y="0"/>
                <wp:positionH relativeFrom="column">
                  <wp:posOffset>-906780</wp:posOffset>
                </wp:positionH>
                <wp:positionV relativeFrom="paragraph">
                  <wp:posOffset>278765</wp:posOffset>
                </wp:positionV>
                <wp:extent cx="7772400" cy="476504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765040"/>
                          <a:chOff x="-108" y="5103"/>
                          <a:chExt cx="12240" cy="7504"/>
                        </a:xfrm>
                      </wpg:grpSpPr>
                      <wps:wsp>
                        <wps:cNvPr id="203" name="TextBox 4"/>
                        <wps:cNvSpPr txBox="1">
                          <a:spLocks noChangeArrowheads="1"/>
                        </wps:cNvSpPr>
                        <wps:spPr bwMode="auto">
                          <a:xfrm>
                            <a:off x="-72" y="6921"/>
                            <a:ext cx="12180" cy="568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CB0C9A" w14:textId="77777777" w:rsidR="00BE1373" w:rsidRDefault="00BE1373" w:rsidP="0040713D">
                              <w:pPr>
                                <w:spacing w:before="0" w:after="0"/>
                                <w:jc w:val="center"/>
                                <w:rPr>
                                  <w:rFonts w:ascii="Arial" w:hAnsi="Arial" w:cs="Arial"/>
                                  <w:b/>
                                  <w:bCs/>
                                  <w:color w:val="005CE6"/>
                                  <w:kern w:val="24"/>
                                  <w:sz w:val="32"/>
                                  <w:szCs w:val="32"/>
                                </w:rPr>
                              </w:pPr>
                              <w:r>
                                <w:rPr>
                                  <w:rFonts w:ascii="Arial" w:hAnsi="Arial" w:cs="Arial"/>
                                  <w:b/>
                                  <w:bCs/>
                                  <w:color w:val="005CE6"/>
                                  <w:kern w:val="24"/>
                                  <w:sz w:val="32"/>
                                  <w:szCs w:val="32"/>
                                </w:rPr>
                                <w:t xml:space="preserve">Current State Staffing Analysis </w:t>
                              </w:r>
                            </w:p>
                            <w:p w14:paraId="65AF13D6" w14:textId="77777777" w:rsidR="00BE1373" w:rsidRPr="00DF6294" w:rsidRDefault="00BE1373" w:rsidP="0040713D">
                              <w:pPr>
                                <w:spacing w:before="0" w:after="0"/>
                                <w:jc w:val="center"/>
                                <w:rPr>
                                  <w:rFonts w:ascii="Arial" w:hAnsi="Arial" w:cs="Arial"/>
                                  <w:b/>
                                  <w:bCs/>
                                  <w:color w:val="005CE6"/>
                                  <w:kern w:val="24"/>
                                  <w:sz w:val="32"/>
                                  <w:szCs w:val="32"/>
                                </w:rPr>
                              </w:pPr>
                              <w:r>
                                <w:rPr>
                                  <w:rFonts w:ascii="Arial" w:hAnsi="Arial" w:cs="Arial"/>
                                  <w:b/>
                                  <w:bCs/>
                                  <w:color w:val="005CE6"/>
                                  <w:kern w:val="24"/>
                                  <w:sz w:val="32"/>
                                  <w:szCs w:val="32"/>
                                </w:rPr>
                                <w:t xml:space="preserve">Volume I. Juvenile Rehabilitation </w:t>
                              </w:r>
                            </w:p>
                            <w:p w14:paraId="0898D2D0" w14:textId="77777777" w:rsidR="00BE1373" w:rsidRDefault="00BE1373" w:rsidP="0040713D">
                              <w:pPr>
                                <w:spacing w:before="0" w:after="0"/>
                                <w:jc w:val="center"/>
                                <w:rPr>
                                  <w:rFonts w:ascii="Arial" w:hAnsi="Arial" w:cs="Arial"/>
                                  <w:bCs/>
                                  <w:color w:val="005CE6"/>
                                  <w:kern w:val="24"/>
                                  <w:sz w:val="28"/>
                                  <w:szCs w:val="28"/>
                                </w:rPr>
                              </w:pPr>
                            </w:p>
                            <w:p w14:paraId="69DC266A" w14:textId="77777777" w:rsidR="00BE1373" w:rsidRDefault="00BE1373" w:rsidP="0040713D">
                              <w:pPr>
                                <w:spacing w:before="0" w:after="0"/>
                                <w:jc w:val="center"/>
                                <w:rPr>
                                  <w:rFonts w:ascii="Arial" w:hAnsi="Arial" w:cs="Arial"/>
                                  <w:bCs/>
                                  <w:color w:val="005CE6"/>
                                  <w:kern w:val="24"/>
                                  <w:sz w:val="28"/>
                                  <w:szCs w:val="28"/>
                                </w:rPr>
                              </w:pPr>
                              <w:r>
                                <w:rPr>
                                  <w:rFonts w:ascii="Arial" w:hAnsi="Arial" w:cs="Arial"/>
                                  <w:bCs/>
                                  <w:color w:val="005CE6"/>
                                  <w:kern w:val="24"/>
                                  <w:sz w:val="28"/>
                                  <w:szCs w:val="28"/>
                                </w:rPr>
                                <w:t xml:space="preserve">Final </w:t>
                              </w:r>
                              <w:r w:rsidRPr="00DF6294">
                                <w:rPr>
                                  <w:rFonts w:ascii="Arial" w:hAnsi="Arial" w:cs="Arial"/>
                                  <w:bCs/>
                                  <w:color w:val="005CE6"/>
                                  <w:kern w:val="24"/>
                                  <w:sz w:val="28"/>
                                  <w:szCs w:val="28"/>
                                </w:rPr>
                                <w:t xml:space="preserve">Report </w:t>
                              </w:r>
                            </w:p>
                            <w:p w14:paraId="3DBA9AD5" w14:textId="77777777" w:rsidR="00BE1373" w:rsidRDefault="00BE1373" w:rsidP="0040713D">
                              <w:pPr>
                                <w:spacing w:before="40" w:after="40" w:line="460" w:lineRule="exact"/>
                                <w:jc w:val="center"/>
                                <w:rPr>
                                  <w:rFonts w:ascii="Arial" w:hAnsi="Arial" w:cs="Arial"/>
                                  <w:color w:val="005CE6"/>
                                  <w:kern w:val="24"/>
                                  <w:sz w:val="28"/>
                                  <w:szCs w:val="28"/>
                                </w:rPr>
                              </w:pPr>
                              <w:r>
                                <w:rPr>
                                  <w:rFonts w:ascii="Arial" w:hAnsi="Arial" w:cs="Arial"/>
                                  <w:color w:val="005CE6"/>
                                  <w:kern w:val="24"/>
                                  <w:sz w:val="28"/>
                                  <w:szCs w:val="28"/>
                                </w:rPr>
                                <w:t>November 7</w:t>
                              </w:r>
                              <w:r w:rsidRPr="00DF6294">
                                <w:rPr>
                                  <w:rFonts w:ascii="Arial" w:hAnsi="Arial" w:cs="Arial"/>
                                  <w:color w:val="005CE6"/>
                                  <w:kern w:val="24"/>
                                  <w:sz w:val="28"/>
                                  <w:szCs w:val="28"/>
                                </w:rPr>
                                <w:t xml:space="preserve">, 2018 </w:t>
                              </w:r>
                            </w:p>
                            <w:p w14:paraId="3AD2AD8E" w14:textId="77777777" w:rsidR="00BE1373" w:rsidRDefault="00BE1373" w:rsidP="0040713D">
                              <w:pPr>
                                <w:keepNext/>
                                <w:keepLines/>
                                <w:spacing w:before="0" w:after="0"/>
                                <w:jc w:val="center"/>
                                <w:rPr>
                                  <w:rFonts w:ascii="Arial" w:hAnsi="Arial" w:cs="Arial"/>
                                  <w:b/>
                                </w:rPr>
                              </w:pPr>
                            </w:p>
                            <w:p w14:paraId="3F58E1B3" w14:textId="77777777" w:rsidR="00BE1373" w:rsidRDefault="00BE1373" w:rsidP="0040713D">
                              <w:pPr>
                                <w:keepNext/>
                                <w:keepLines/>
                                <w:spacing w:before="0" w:after="0"/>
                                <w:jc w:val="center"/>
                                <w:rPr>
                                  <w:rFonts w:ascii="Arial" w:hAnsi="Arial" w:cs="Arial"/>
                                  <w:b/>
                                </w:rPr>
                              </w:pPr>
                            </w:p>
                            <w:p w14:paraId="4FD763F2" w14:textId="77777777" w:rsidR="00BE1373" w:rsidRPr="00DF6294" w:rsidRDefault="00BE1373" w:rsidP="0040713D">
                              <w:pPr>
                                <w:keepNext/>
                                <w:keepLines/>
                                <w:spacing w:before="0" w:after="0"/>
                                <w:jc w:val="center"/>
                                <w:rPr>
                                  <w:rFonts w:ascii="Arial" w:hAnsi="Arial" w:cs="Arial"/>
                                  <w:b/>
                                </w:rPr>
                              </w:pPr>
                              <w:r w:rsidRPr="00DF6294">
                                <w:rPr>
                                  <w:rFonts w:ascii="Arial" w:hAnsi="Arial" w:cs="Arial"/>
                                  <w:b/>
                                </w:rPr>
                                <w:t>Submitted to:</w:t>
                              </w:r>
                            </w:p>
                            <w:p w14:paraId="1522258A" w14:textId="77777777" w:rsidR="00BE1373" w:rsidRPr="00DF6294" w:rsidRDefault="00BE1373" w:rsidP="0040713D">
                              <w:pPr>
                                <w:spacing w:before="0" w:after="0"/>
                                <w:jc w:val="center"/>
                                <w:rPr>
                                  <w:rFonts w:ascii="Arial" w:hAnsi="Arial" w:cs="Arial"/>
                                </w:rPr>
                              </w:pPr>
                              <w:r w:rsidRPr="00DF6294">
                                <w:rPr>
                                  <w:rFonts w:ascii="Arial" w:hAnsi="Arial" w:cs="Arial"/>
                                </w:rPr>
                                <w:t>Department of Social and Health Services</w:t>
                              </w:r>
                            </w:p>
                            <w:p w14:paraId="5A06E4D1" w14:textId="77777777" w:rsidR="00BE1373" w:rsidRDefault="00BE1373" w:rsidP="0040713D">
                              <w:pPr>
                                <w:spacing w:before="0" w:after="0"/>
                                <w:jc w:val="center"/>
                                <w:rPr>
                                  <w:rFonts w:ascii="Arial" w:hAnsi="Arial" w:cs="Arial"/>
                                </w:rPr>
                              </w:pPr>
                              <w:r w:rsidRPr="00DF6294">
                                <w:rPr>
                                  <w:rFonts w:ascii="Arial" w:hAnsi="Arial" w:cs="Arial"/>
                                </w:rPr>
                                <w:t>Rehabilitation Administration</w:t>
                              </w:r>
                            </w:p>
                            <w:p w14:paraId="5584FCEB" w14:textId="77777777" w:rsidR="00BE1373" w:rsidRDefault="00BE1373" w:rsidP="0040713D">
                              <w:pPr>
                                <w:spacing w:before="0" w:after="0"/>
                                <w:jc w:val="center"/>
                                <w:rPr>
                                  <w:rFonts w:ascii="Arial" w:hAnsi="Arial" w:cs="Arial"/>
                                </w:rPr>
                              </w:pPr>
                            </w:p>
                            <w:p w14:paraId="69E798CA" w14:textId="77777777" w:rsidR="00BE1373" w:rsidRDefault="00BE1373" w:rsidP="0040713D">
                              <w:pPr>
                                <w:keepNext/>
                                <w:keepLines/>
                                <w:spacing w:before="0" w:after="0"/>
                                <w:jc w:val="center"/>
                                <w:rPr>
                                  <w:rFonts w:ascii="Arial" w:hAnsi="Arial" w:cs="Arial"/>
                                  <w:b/>
                                </w:rPr>
                              </w:pPr>
                            </w:p>
                            <w:p w14:paraId="74DD59EB" w14:textId="77777777" w:rsidR="00BE1373" w:rsidRPr="00DF6294" w:rsidRDefault="00BE1373" w:rsidP="0040713D">
                              <w:pPr>
                                <w:keepNext/>
                                <w:keepLines/>
                                <w:spacing w:before="0" w:after="0"/>
                                <w:jc w:val="center"/>
                                <w:rPr>
                                  <w:rFonts w:ascii="Arial" w:hAnsi="Arial" w:cs="Arial"/>
                                  <w:b/>
                                </w:rPr>
                              </w:pPr>
                              <w:r w:rsidRPr="00DF6294">
                                <w:rPr>
                                  <w:rFonts w:ascii="Arial" w:hAnsi="Arial" w:cs="Arial"/>
                                  <w:b/>
                                </w:rPr>
                                <w:t xml:space="preserve">Submitted </w:t>
                              </w:r>
                              <w:r>
                                <w:rPr>
                                  <w:rFonts w:ascii="Arial" w:hAnsi="Arial" w:cs="Arial"/>
                                  <w:b/>
                                </w:rPr>
                                <w:t>by</w:t>
                              </w:r>
                              <w:r w:rsidRPr="00DF6294">
                                <w:rPr>
                                  <w:rFonts w:ascii="Arial" w:hAnsi="Arial" w:cs="Arial"/>
                                  <w:b/>
                                </w:rPr>
                                <w:t>:</w:t>
                              </w:r>
                            </w:p>
                            <w:p w14:paraId="6ACF72B9" w14:textId="77777777" w:rsidR="00BE1373" w:rsidRDefault="00BE1373" w:rsidP="0040713D">
                              <w:pPr>
                                <w:spacing w:before="0" w:after="0"/>
                                <w:jc w:val="center"/>
                                <w:rPr>
                                  <w:rFonts w:ascii="Arial" w:hAnsi="Arial" w:cs="Arial"/>
                                </w:rPr>
                              </w:pPr>
                              <w:r>
                                <w:rPr>
                                  <w:rFonts w:ascii="Arial" w:hAnsi="Arial" w:cs="Arial"/>
                                </w:rPr>
                                <w:t xml:space="preserve">Hyzer Group LLC </w:t>
                              </w:r>
                            </w:p>
                            <w:p w14:paraId="337101D8" w14:textId="77777777" w:rsidR="00BE1373" w:rsidRDefault="00BE1373" w:rsidP="0040713D">
                              <w:pPr>
                                <w:spacing w:before="0" w:after="0"/>
                                <w:jc w:val="center"/>
                                <w:rPr>
                                  <w:rFonts w:ascii="Arial" w:hAnsi="Arial" w:cs="Arial"/>
                                </w:rPr>
                              </w:pPr>
                            </w:p>
                            <w:p w14:paraId="11607ED5" w14:textId="77777777" w:rsidR="00BE1373" w:rsidRPr="00DF6294" w:rsidRDefault="00BE1373" w:rsidP="0040713D">
                              <w:pPr>
                                <w:spacing w:before="40" w:after="40" w:line="460" w:lineRule="exact"/>
                                <w:jc w:val="center"/>
                                <w:rPr>
                                  <w:sz w:val="28"/>
                                  <w:szCs w:val="28"/>
                                </w:rPr>
                              </w:pPr>
                            </w:p>
                            <w:p w14:paraId="3DEE702B" w14:textId="77777777" w:rsidR="00BE1373" w:rsidRPr="00DF6294" w:rsidRDefault="00BE1373" w:rsidP="0040713D">
                              <w:pPr>
                                <w:spacing w:before="0" w:after="0"/>
                                <w:jc w:val="center"/>
                                <w:rPr>
                                  <w:rFonts w:ascii="Arial" w:hAnsi="Arial" w:cs="Arial"/>
                                  <w:bCs/>
                                  <w:color w:val="005CE6"/>
                                  <w:kern w:val="24"/>
                                  <w:sz w:val="28"/>
                                  <w:szCs w:val="28"/>
                                </w:rPr>
                              </w:pPr>
                            </w:p>
                          </w:txbxContent>
                        </wps:txbx>
                        <wps:bodyPr rot="0" vert="horz" wrap="square" lIns="91440" tIns="45720" rIns="91440" bIns="45720" anchor="t" anchorCtr="0" upright="1">
                          <a:spAutoFit/>
                        </wps:bodyPr>
                      </wps:wsp>
                      <wps:wsp>
                        <wps:cNvPr id="204" name="Rectangle 8"/>
                        <wps:cNvSpPr>
                          <a:spLocks noChangeArrowheads="1"/>
                        </wps:cNvSpPr>
                        <wps:spPr bwMode="auto">
                          <a:xfrm>
                            <a:off x="4655" y="8674"/>
                            <a:ext cx="127"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864E151" w14:textId="77777777" w:rsidR="00BE1373" w:rsidRPr="00DF6294" w:rsidRDefault="00BE1373" w:rsidP="0040713D">
                              <w:pPr>
                                <w:spacing w:before="40" w:after="40" w:line="460" w:lineRule="exact"/>
                                <w:jc w:val="center"/>
                                <w:rPr>
                                  <w:sz w:val="28"/>
                                  <w:szCs w:val="28"/>
                                </w:rPr>
                              </w:pPr>
                            </w:p>
                          </w:txbxContent>
                        </wps:txbx>
                        <wps:bodyPr rot="0" vert="horz" wrap="none" lIns="0" tIns="0" rIns="0" bIns="0" anchor="t" anchorCtr="0" upright="1">
                          <a:spAutoFit/>
                        </wps:bodyPr>
                      </wps:wsp>
                      <wpg:grpSp>
                        <wpg:cNvPr id="208" name="Group 12"/>
                        <wpg:cNvGrpSpPr>
                          <a:grpSpLocks/>
                        </wpg:cNvGrpSpPr>
                        <wpg:grpSpPr bwMode="auto">
                          <a:xfrm>
                            <a:off x="-108" y="5103"/>
                            <a:ext cx="12240" cy="302"/>
                            <a:chOff x="-669" y="34445"/>
                            <a:chExt cx="76946" cy="2046"/>
                          </a:xfrm>
                        </wpg:grpSpPr>
                        <wps:wsp>
                          <wps:cNvPr id="209" name="Rectangle 15"/>
                          <wps:cNvSpPr>
                            <a:spLocks noChangeArrowheads="1"/>
                          </wps:cNvSpPr>
                          <wps:spPr bwMode="auto">
                            <a:xfrm>
                              <a:off x="-669" y="34445"/>
                              <a:ext cx="25648" cy="2032"/>
                            </a:xfrm>
                            <a:prstGeom prst="rect">
                              <a:avLst/>
                            </a:prstGeom>
                            <a:solidFill>
                              <a:srgbClr val="005C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rgbClr val="000000"/>
                                  </a:solidFill>
                                  <a:miter lim="800000"/>
                                  <a:headEnd/>
                                  <a:tailEnd/>
                                </a14:hiddenLine>
                              </a:ext>
                            </a:extLst>
                          </wps:spPr>
                          <wps:bodyPr rot="0" vert="horz" wrap="square" lIns="91440" tIns="45720" rIns="91440" bIns="45720" anchor="ctr" anchorCtr="0" upright="1">
                            <a:noAutofit/>
                          </wps:bodyPr>
                        </wps:wsp>
                        <wps:wsp>
                          <wps:cNvPr id="210" name="Rectangle 16"/>
                          <wps:cNvSpPr>
                            <a:spLocks noChangeArrowheads="1"/>
                          </wps:cNvSpPr>
                          <wps:spPr bwMode="auto">
                            <a:xfrm>
                              <a:off x="24979" y="34458"/>
                              <a:ext cx="25649" cy="2033"/>
                            </a:xfrm>
                            <a:prstGeom prst="rect">
                              <a:avLst/>
                            </a:prstGeom>
                            <a:solidFill>
                              <a:srgbClr val="F96A1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rgbClr val="000000"/>
                                  </a:solidFill>
                                  <a:miter lim="800000"/>
                                  <a:headEnd/>
                                  <a:tailEnd/>
                                </a14:hiddenLine>
                              </a:ext>
                            </a:extLst>
                          </wps:spPr>
                          <wps:bodyPr rot="0" vert="horz" wrap="square" lIns="91440" tIns="45720" rIns="91440" bIns="45720" anchor="ctr" anchorCtr="0" upright="1">
                            <a:noAutofit/>
                          </wps:bodyPr>
                        </wps:wsp>
                        <wps:wsp>
                          <wps:cNvPr id="211" name="Rectangle 17"/>
                          <wps:cNvSpPr>
                            <a:spLocks noChangeArrowheads="1"/>
                          </wps:cNvSpPr>
                          <wps:spPr bwMode="auto">
                            <a:xfrm>
                              <a:off x="50628" y="34445"/>
                              <a:ext cx="25649" cy="2032"/>
                            </a:xfrm>
                            <a:prstGeom prst="rect">
                              <a:avLst/>
                            </a:prstGeom>
                            <a:solidFill>
                              <a:srgbClr val="92D05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8A1058" id="Group 200" o:spid="_x0000_s1026" style="position:absolute;margin-left:-71.4pt;margin-top:21.95pt;width:612pt;height:375.2pt;z-index:251667456" coordorigin="-108,5103" coordsize="12240,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">
                <v:shapetype id="_x0000_t202" coordsize="21600,21600" o:spt="202" path="m,l,21600r21600,l21600,xe">
                  <v:stroke joinstyle="miter"/>
                  <v:path gradientshapeok="t" o:connecttype="rect"/>
                </v:shapetype>
                <v:shape id="TextBox 4" o:spid="_x0000_s1027" type="#_x0000_t202" style="position:absolute;left:-72;top:6921;width:12180;height: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3ywgAAANwAAAAPAAAAZHJzL2Rvd25yZXYueG1sRI9BawIx&#10;FITvhf6H8AreaqJS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C1I03ywgAAANwAAAAPAAAA&#10;AAAAAAAAAAAAAAcCAABkcnMvZG93bnJldi54bWxQSwUGAAAAAAMAAwC3AAAA9gIAAAAA&#10;" filled="f" stroked="f">
                  <v:textbox style="mso-fit-shape-to-text:t">
                    <w:txbxContent>
                      <w:p w14:paraId="01CB0C9A" w14:textId="77777777" w:rsidR="00BE1373" w:rsidRDefault="00BE1373" w:rsidP="0040713D">
                        <w:pPr>
                          <w:spacing w:before="0" w:after="0"/>
                          <w:jc w:val="center"/>
                          <w:rPr>
                            <w:rFonts w:ascii="Arial" w:hAnsi="Arial" w:cs="Arial"/>
                            <w:b/>
                            <w:bCs/>
                            <w:color w:val="005CE6"/>
                            <w:kern w:val="24"/>
                            <w:sz w:val="32"/>
                            <w:szCs w:val="32"/>
                          </w:rPr>
                        </w:pPr>
                        <w:r>
                          <w:rPr>
                            <w:rFonts w:ascii="Arial" w:hAnsi="Arial" w:cs="Arial"/>
                            <w:b/>
                            <w:bCs/>
                            <w:color w:val="005CE6"/>
                            <w:kern w:val="24"/>
                            <w:sz w:val="32"/>
                            <w:szCs w:val="32"/>
                          </w:rPr>
                          <w:t xml:space="preserve">Current State Staffing Analysis </w:t>
                        </w:r>
                      </w:p>
                      <w:p w14:paraId="65AF13D6" w14:textId="77777777" w:rsidR="00BE1373" w:rsidRPr="00DF6294" w:rsidRDefault="00BE1373" w:rsidP="0040713D">
                        <w:pPr>
                          <w:spacing w:before="0" w:after="0"/>
                          <w:jc w:val="center"/>
                          <w:rPr>
                            <w:rFonts w:ascii="Arial" w:hAnsi="Arial" w:cs="Arial"/>
                            <w:b/>
                            <w:bCs/>
                            <w:color w:val="005CE6"/>
                            <w:kern w:val="24"/>
                            <w:sz w:val="32"/>
                            <w:szCs w:val="32"/>
                          </w:rPr>
                        </w:pPr>
                        <w:r>
                          <w:rPr>
                            <w:rFonts w:ascii="Arial" w:hAnsi="Arial" w:cs="Arial"/>
                            <w:b/>
                            <w:bCs/>
                            <w:color w:val="005CE6"/>
                            <w:kern w:val="24"/>
                            <w:sz w:val="32"/>
                            <w:szCs w:val="32"/>
                          </w:rPr>
                          <w:t xml:space="preserve">Volume I. Juvenile Rehabilitation </w:t>
                        </w:r>
                      </w:p>
                      <w:p w14:paraId="0898D2D0" w14:textId="77777777" w:rsidR="00BE1373" w:rsidRDefault="00BE1373" w:rsidP="0040713D">
                        <w:pPr>
                          <w:spacing w:before="0" w:after="0"/>
                          <w:jc w:val="center"/>
                          <w:rPr>
                            <w:rFonts w:ascii="Arial" w:hAnsi="Arial" w:cs="Arial"/>
                            <w:bCs/>
                            <w:color w:val="005CE6"/>
                            <w:kern w:val="24"/>
                            <w:sz w:val="28"/>
                            <w:szCs w:val="28"/>
                          </w:rPr>
                        </w:pPr>
                      </w:p>
                      <w:p w14:paraId="69DC266A" w14:textId="77777777" w:rsidR="00BE1373" w:rsidRDefault="00BE1373" w:rsidP="0040713D">
                        <w:pPr>
                          <w:spacing w:before="0" w:after="0"/>
                          <w:jc w:val="center"/>
                          <w:rPr>
                            <w:rFonts w:ascii="Arial" w:hAnsi="Arial" w:cs="Arial"/>
                            <w:bCs/>
                            <w:color w:val="005CE6"/>
                            <w:kern w:val="24"/>
                            <w:sz w:val="28"/>
                            <w:szCs w:val="28"/>
                          </w:rPr>
                        </w:pPr>
                        <w:r>
                          <w:rPr>
                            <w:rFonts w:ascii="Arial" w:hAnsi="Arial" w:cs="Arial"/>
                            <w:bCs/>
                            <w:color w:val="005CE6"/>
                            <w:kern w:val="24"/>
                            <w:sz w:val="28"/>
                            <w:szCs w:val="28"/>
                          </w:rPr>
                          <w:t xml:space="preserve">Final </w:t>
                        </w:r>
                        <w:r w:rsidRPr="00DF6294">
                          <w:rPr>
                            <w:rFonts w:ascii="Arial" w:hAnsi="Arial" w:cs="Arial"/>
                            <w:bCs/>
                            <w:color w:val="005CE6"/>
                            <w:kern w:val="24"/>
                            <w:sz w:val="28"/>
                            <w:szCs w:val="28"/>
                          </w:rPr>
                          <w:t xml:space="preserve">Report </w:t>
                        </w:r>
                      </w:p>
                      <w:p w14:paraId="3DBA9AD5" w14:textId="77777777" w:rsidR="00BE1373" w:rsidRDefault="00BE1373" w:rsidP="0040713D">
                        <w:pPr>
                          <w:spacing w:before="40" w:after="40" w:line="460" w:lineRule="exact"/>
                          <w:jc w:val="center"/>
                          <w:rPr>
                            <w:rFonts w:ascii="Arial" w:hAnsi="Arial" w:cs="Arial"/>
                            <w:color w:val="005CE6"/>
                            <w:kern w:val="24"/>
                            <w:sz w:val="28"/>
                            <w:szCs w:val="28"/>
                          </w:rPr>
                        </w:pPr>
                        <w:r>
                          <w:rPr>
                            <w:rFonts w:ascii="Arial" w:hAnsi="Arial" w:cs="Arial"/>
                            <w:color w:val="005CE6"/>
                            <w:kern w:val="24"/>
                            <w:sz w:val="28"/>
                            <w:szCs w:val="28"/>
                          </w:rPr>
                          <w:t>November 7</w:t>
                        </w:r>
                        <w:r w:rsidRPr="00DF6294">
                          <w:rPr>
                            <w:rFonts w:ascii="Arial" w:hAnsi="Arial" w:cs="Arial"/>
                            <w:color w:val="005CE6"/>
                            <w:kern w:val="24"/>
                            <w:sz w:val="28"/>
                            <w:szCs w:val="28"/>
                          </w:rPr>
                          <w:t xml:space="preserve">, 2018 </w:t>
                        </w:r>
                      </w:p>
                      <w:p w14:paraId="3AD2AD8E" w14:textId="77777777" w:rsidR="00BE1373" w:rsidRDefault="00BE1373" w:rsidP="0040713D">
                        <w:pPr>
                          <w:keepNext/>
                          <w:keepLines/>
                          <w:spacing w:before="0" w:after="0"/>
                          <w:jc w:val="center"/>
                          <w:rPr>
                            <w:rFonts w:ascii="Arial" w:hAnsi="Arial" w:cs="Arial"/>
                            <w:b/>
                          </w:rPr>
                        </w:pPr>
                      </w:p>
                      <w:p w14:paraId="3F58E1B3" w14:textId="77777777" w:rsidR="00BE1373" w:rsidRDefault="00BE1373" w:rsidP="0040713D">
                        <w:pPr>
                          <w:keepNext/>
                          <w:keepLines/>
                          <w:spacing w:before="0" w:after="0"/>
                          <w:jc w:val="center"/>
                          <w:rPr>
                            <w:rFonts w:ascii="Arial" w:hAnsi="Arial" w:cs="Arial"/>
                            <w:b/>
                          </w:rPr>
                        </w:pPr>
                      </w:p>
                      <w:p w14:paraId="4FD763F2" w14:textId="77777777" w:rsidR="00BE1373" w:rsidRPr="00DF6294" w:rsidRDefault="00BE1373" w:rsidP="0040713D">
                        <w:pPr>
                          <w:keepNext/>
                          <w:keepLines/>
                          <w:spacing w:before="0" w:after="0"/>
                          <w:jc w:val="center"/>
                          <w:rPr>
                            <w:rFonts w:ascii="Arial" w:hAnsi="Arial" w:cs="Arial"/>
                            <w:b/>
                          </w:rPr>
                        </w:pPr>
                        <w:r w:rsidRPr="00DF6294">
                          <w:rPr>
                            <w:rFonts w:ascii="Arial" w:hAnsi="Arial" w:cs="Arial"/>
                            <w:b/>
                          </w:rPr>
                          <w:t>Submitted to:</w:t>
                        </w:r>
                      </w:p>
                      <w:p w14:paraId="1522258A" w14:textId="77777777" w:rsidR="00BE1373" w:rsidRPr="00DF6294" w:rsidRDefault="00BE1373" w:rsidP="0040713D">
                        <w:pPr>
                          <w:spacing w:before="0" w:after="0"/>
                          <w:jc w:val="center"/>
                          <w:rPr>
                            <w:rFonts w:ascii="Arial" w:hAnsi="Arial" w:cs="Arial"/>
                          </w:rPr>
                        </w:pPr>
                        <w:r w:rsidRPr="00DF6294">
                          <w:rPr>
                            <w:rFonts w:ascii="Arial" w:hAnsi="Arial" w:cs="Arial"/>
                          </w:rPr>
                          <w:t>Department of Social and Health Services</w:t>
                        </w:r>
                      </w:p>
                      <w:p w14:paraId="5A06E4D1" w14:textId="77777777" w:rsidR="00BE1373" w:rsidRDefault="00BE1373" w:rsidP="0040713D">
                        <w:pPr>
                          <w:spacing w:before="0" w:after="0"/>
                          <w:jc w:val="center"/>
                          <w:rPr>
                            <w:rFonts w:ascii="Arial" w:hAnsi="Arial" w:cs="Arial"/>
                          </w:rPr>
                        </w:pPr>
                        <w:r w:rsidRPr="00DF6294">
                          <w:rPr>
                            <w:rFonts w:ascii="Arial" w:hAnsi="Arial" w:cs="Arial"/>
                          </w:rPr>
                          <w:t>Rehabilitation Administration</w:t>
                        </w:r>
                      </w:p>
                      <w:p w14:paraId="5584FCEB" w14:textId="77777777" w:rsidR="00BE1373" w:rsidRDefault="00BE1373" w:rsidP="0040713D">
                        <w:pPr>
                          <w:spacing w:before="0" w:after="0"/>
                          <w:jc w:val="center"/>
                          <w:rPr>
                            <w:rFonts w:ascii="Arial" w:hAnsi="Arial" w:cs="Arial"/>
                          </w:rPr>
                        </w:pPr>
                      </w:p>
                      <w:p w14:paraId="69E798CA" w14:textId="77777777" w:rsidR="00BE1373" w:rsidRDefault="00BE1373" w:rsidP="0040713D">
                        <w:pPr>
                          <w:keepNext/>
                          <w:keepLines/>
                          <w:spacing w:before="0" w:after="0"/>
                          <w:jc w:val="center"/>
                          <w:rPr>
                            <w:rFonts w:ascii="Arial" w:hAnsi="Arial" w:cs="Arial"/>
                            <w:b/>
                          </w:rPr>
                        </w:pPr>
                      </w:p>
                      <w:p w14:paraId="74DD59EB" w14:textId="77777777" w:rsidR="00BE1373" w:rsidRPr="00DF6294" w:rsidRDefault="00BE1373" w:rsidP="0040713D">
                        <w:pPr>
                          <w:keepNext/>
                          <w:keepLines/>
                          <w:spacing w:before="0" w:after="0"/>
                          <w:jc w:val="center"/>
                          <w:rPr>
                            <w:rFonts w:ascii="Arial" w:hAnsi="Arial" w:cs="Arial"/>
                            <w:b/>
                          </w:rPr>
                        </w:pPr>
                        <w:r w:rsidRPr="00DF6294">
                          <w:rPr>
                            <w:rFonts w:ascii="Arial" w:hAnsi="Arial" w:cs="Arial"/>
                            <w:b/>
                          </w:rPr>
                          <w:t xml:space="preserve">Submitted </w:t>
                        </w:r>
                        <w:r>
                          <w:rPr>
                            <w:rFonts w:ascii="Arial" w:hAnsi="Arial" w:cs="Arial"/>
                            <w:b/>
                          </w:rPr>
                          <w:t>by</w:t>
                        </w:r>
                        <w:r w:rsidRPr="00DF6294">
                          <w:rPr>
                            <w:rFonts w:ascii="Arial" w:hAnsi="Arial" w:cs="Arial"/>
                            <w:b/>
                          </w:rPr>
                          <w:t>:</w:t>
                        </w:r>
                      </w:p>
                      <w:p w14:paraId="6ACF72B9" w14:textId="77777777" w:rsidR="00BE1373" w:rsidRDefault="00BE1373" w:rsidP="0040713D">
                        <w:pPr>
                          <w:spacing w:before="0" w:after="0"/>
                          <w:jc w:val="center"/>
                          <w:rPr>
                            <w:rFonts w:ascii="Arial" w:hAnsi="Arial" w:cs="Arial"/>
                          </w:rPr>
                        </w:pPr>
                        <w:r>
                          <w:rPr>
                            <w:rFonts w:ascii="Arial" w:hAnsi="Arial" w:cs="Arial"/>
                          </w:rPr>
                          <w:t xml:space="preserve">Hyzer Group LLC </w:t>
                        </w:r>
                      </w:p>
                      <w:p w14:paraId="337101D8" w14:textId="77777777" w:rsidR="00BE1373" w:rsidRDefault="00BE1373" w:rsidP="0040713D">
                        <w:pPr>
                          <w:spacing w:before="0" w:after="0"/>
                          <w:jc w:val="center"/>
                          <w:rPr>
                            <w:rFonts w:ascii="Arial" w:hAnsi="Arial" w:cs="Arial"/>
                          </w:rPr>
                        </w:pPr>
                      </w:p>
                      <w:p w14:paraId="11607ED5" w14:textId="77777777" w:rsidR="00BE1373" w:rsidRPr="00DF6294" w:rsidRDefault="00BE1373" w:rsidP="0040713D">
                        <w:pPr>
                          <w:spacing w:before="40" w:after="40" w:line="460" w:lineRule="exact"/>
                          <w:jc w:val="center"/>
                          <w:rPr>
                            <w:sz w:val="28"/>
                            <w:szCs w:val="28"/>
                          </w:rPr>
                        </w:pPr>
                      </w:p>
                      <w:p w14:paraId="3DEE702B" w14:textId="77777777" w:rsidR="00BE1373" w:rsidRPr="00DF6294" w:rsidRDefault="00BE1373" w:rsidP="0040713D">
                        <w:pPr>
                          <w:spacing w:before="0" w:after="0"/>
                          <w:jc w:val="center"/>
                          <w:rPr>
                            <w:rFonts w:ascii="Arial" w:hAnsi="Arial" w:cs="Arial"/>
                            <w:bCs/>
                            <w:color w:val="005CE6"/>
                            <w:kern w:val="24"/>
                            <w:sz w:val="28"/>
                            <w:szCs w:val="28"/>
                          </w:rPr>
                        </w:pPr>
                      </w:p>
                    </w:txbxContent>
                  </v:textbox>
                </v:shape>
                <v:rect id="Rectangle 8" o:spid="_x0000_s1028" style="position:absolute;left:4655;top:8674;width:127;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0864E151" w14:textId="77777777" w:rsidR="00BE1373" w:rsidRPr="00DF6294" w:rsidRDefault="00BE1373" w:rsidP="0040713D">
                        <w:pPr>
                          <w:spacing w:before="40" w:after="40" w:line="460" w:lineRule="exact"/>
                          <w:jc w:val="center"/>
                          <w:rPr>
                            <w:sz w:val="28"/>
                            <w:szCs w:val="28"/>
                          </w:rPr>
                        </w:pPr>
                      </w:p>
                    </w:txbxContent>
                  </v:textbox>
                </v:rect>
                <v:group id="Group 12" o:spid="_x0000_s1029" style="position:absolute;left:-108;top:5103;width:12240;height:302" coordorigin="-669,34445" coordsize="76946,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Rectangle 15" o:spid="_x0000_s1030" style="position:absolute;left:-669;top:34445;width:25648;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" fillcolor="#005ce6" stroked="f"/>
                  <v:rect id="Rectangle 16" o:spid="_x0000_s1031" style="position:absolute;left:24979;top:34458;width:25649;height:2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" fillcolor="#f96a1b" stroked="f"/>
                  <v:rect id="Rectangle 17" o:spid="_x0000_s1032" style="position:absolute;left:50628;top:34445;width:25649;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" fillcolor="#92d050" stroked="f"/>
                </v:group>
              </v:group>
            </w:pict>
          </mc:Fallback>
        </mc:AlternateContent>
      </w:r>
    </w:p>
    <w:p w14:paraId="4F333871" w14:textId="77777777" w:rsidR="00723799" w:rsidRDefault="00723799">
      <w:pPr>
        <w:spacing w:before="0" w:after="0"/>
      </w:pPr>
    </w:p>
    <w:p w14:paraId="7B0935B7" w14:textId="77777777" w:rsidR="00723799" w:rsidRDefault="00723799">
      <w:pPr>
        <w:spacing w:before="0" w:after="0"/>
      </w:pPr>
    </w:p>
    <w:p w14:paraId="2B5EB88D" w14:textId="77777777" w:rsidR="00723799" w:rsidRDefault="00723799">
      <w:pPr>
        <w:spacing w:before="0" w:after="0"/>
      </w:pPr>
    </w:p>
    <w:p w14:paraId="6BDAB17E" w14:textId="77777777" w:rsidR="00723799" w:rsidRDefault="00723799">
      <w:pPr>
        <w:spacing w:before="0" w:after="0"/>
      </w:pPr>
    </w:p>
    <w:p w14:paraId="3FD8186C" w14:textId="77777777" w:rsidR="00723799" w:rsidRDefault="00723799">
      <w:pPr>
        <w:spacing w:before="0" w:after="0"/>
      </w:pPr>
    </w:p>
    <w:p w14:paraId="602DC591" w14:textId="77777777" w:rsidR="00723799" w:rsidRDefault="00723799">
      <w:pPr>
        <w:spacing w:before="0" w:after="0"/>
      </w:pPr>
    </w:p>
    <w:p w14:paraId="57013FD0" w14:textId="77777777" w:rsidR="00723799" w:rsidRDefault="00723799">
      <w:pPr>
        <w:spacing w:before="0" w:after="0"/>
      </w:pPr>
    </w:p>
    <w:p w14:paraId="65F9FD3B" w14:textId="77777777" w:rsidR="00723799" w:rsidRDefault="00723799">
      <w:pPr>
        <w:spacing w:before="0" w:after="0"/>
      </w:pPr>
    </w:p>
    <w:p w14:paraId="4274A523" w14:textId="77777777" w:rsidR="00723799" w:rsidRDefault="00723799">
      <w:pPr>
        <w:spacing w:before="0" w:after="0"/>
      </w:pPr>
    </w:p>
    <w:p w14:paraId="0FF00E5A" w14:textId="77777777" w:rsidR="00723799" w:rsidRDefault="00723799">
      <w:pPr>
        <w:spacing w:before="0" w:after="0"/>
      </w:pPr>
    </w:p>
    <w:p w14:paraId="076355FC" w14:textId="77777777" w:rsidR="00723799" w:rsidRDefault="00723799">
      <w:pPr>
        <w:spacing w:before="0" w:after="0"/>
      </w:pPr>
    </w:p>
    <w:p w14:paraId="08E65C5F" w14:textId="77777777" w:rsidR="00723799" w:rsidRDefault="00723799">
      <w:pPr>
        <w:spacing w:before="0" w:after="0"/>
        <w:sectPr w:rsidR="00723799" w:rsidSect="00BC5B02">
          <w:headerReference w:type="default" r:id="rId22"/>
          <w:footerReference w:type="default" r:id="rId23"/>
          <w:footnotePr>
            <w:pos w:val="beneathText"/>
          </w:footnotePr>
          <w:pgSz w:w="12240" w:h="15840" w:code="1"/>
          <w:pgMar w:top="1440" w:right="1440" w:bottom="1440" w:left="1440" w:header="720" w:footer="720" w:gutter="0"/>
          <w:pgNumType w:fmt="lowerRoman" w:start="1"/>
          <w:cols w:space="720"/>
          <w:docGrid w:linePitch="360"/>
        </w:sectPr>
      </w:pPr>
    </w:p>
    <w:p w14:paraId="0872685B" w14:textId="77777777" w:rsidR="00C07F6E" w:rsidRDefault="00C07F6E">
      <w:pPr>
        <w:spacing w:before="0" w:after="0"/>
      </w:pPr>
    </w:p>
    <w:sdt>
      <w:sdtPr>
        <w:rPr>
          <w:rFonts w:ascii="Times New Roman" w:eastAsia="Calibri" w:hAnsi="Times New Roman"/>
          <w:b w:val="0"/>
          <w:bCs w:val="0"/>
          <w:caps w:val="0"/>
          <w:color w:val="auto"/>
          <w:sz w:val="24"/>
          <w:szCs w:val="24"/>
        </w:rPr>
        <w:id w:val="-50008168"/>
        <w:docPartObj>
          <w:docPartGallery w:val="Table of Contents"/>
          <w:docPartUnique/>
        </w:docPartObj>
      </w:sdtPr>
      <w:sdtEndPr>
        <w:rPr>
          <w:noProof/>
        </w:rPr>
      </w:sdtEndPr>
      <w:sdtContent>
        <w:p w14:paraId="281A153F" w14:textId="77777777" w:rsidR="00560A2D" w:rsidRDefault="00560A2D" w:rsidP="002323A9">
          <w:pPr>
            <w:pStyle w:val="TOCHeading"/>
          </w:pPr>
          <w:r>
            <w:t>Contents</w:t>
          </w:r>
        </w:p>
        <w:bookmarkStart w:id="0" w:name="_Hlk521401402"/>
        <w:p w14:paraId="72CB5EE5" w14:textId="0BD19BB5" w:rsidR="00460E92" w:rsidRDefault="00560A2D">
          <w:pPr>
            <w:pStyle w:val="TOC1"/>
            <w:rPr>
              <w:rFonts w:asciiTheme="minorHAnsi" w:eastAsiaTheme="minorEastAsia" w:hAnsiTheme="minorHAnsi" w:cstheme="minorBidi"/>
              <w:noProof/>
              <w:sz w:val="22"/>
              <w:szCs w:val="22"/>
            </w:rPr>
          </w:pPr>
          <w:r w:rsidRPr="2CC84893">
            <w:fldChar w:fldCharType="begin"/>
          </w:r>
          <w:r>
            <w:rPr>
              <w:b/>
              <w:bCs/>
              <w:noProof/>
            </w:rPr>
            <w:instrText xml:space="preserve"> TOC \o "1-3" \h \z \u </w:instrText>
          </w:r>
          <w:r w:rsidRPr="2CC84893">
            <w:rPr>
              <w:b/>
              <w:bCs/>
              <w:noProof/>
            </w:rPr>
            <w:fldChar w:fldCharType="separate"/>
          </w:r>
          <w:hyperlink w:anchor="_Toc531597461" w:history="1">
            <w:r w:rsidR="00460E92" w:rsidRPr="00E56E5C">
              <w:rPr>
                <w:rStyle w:val="Hyperlink"/>
                <w:noProof/>
              </w:rPr>
              <w:t>Acknowledgements</w:t>
            </w:r>
            <w:r w:rsidR="00460E92">
              <w:rPr>
                <w:noProof/>
                <w:webHidden/>
              </w:rPr>
              <w:tab/>
            </w:r>
            <w:r w:rsidR="00460E92">
              <w:rPr>
                <w:noProof/>
                <w:webHidden/>
              </w:rPr>
              <w:fldChar w:fldCharType="begin"/>
            </w:r>
            <w:r w:rsidR="00460E92">
              <w:rPr>
                <w:noProof/>
                <w:webHidden/>
              </w:rPr>
              <w:instrText xml:space="preserve"> PAGEREF _Toc531597461 \h </w:instrText>
            </w:r>
            <w:r w:rsidR="00460E92">
              <w:rPr>
                <w:noProof/>
                <w:webHidden/>
              </w:rPr>
            </w:r>
            <w:r w:rsidR="00460E92">
              <w:rPr>
                <w:noProof/>
                <w:webHidden/>
              </w:rPr>
              <w:fldChar w:fldCharType="separate"/>
            </w:r>
            <w:r w:rsidR="00460E92">
              <w:rPr>
                <w:noProof/>
                <w:webHidden/>
              </w:rPr>
              <w:t>iv</w:t>
            </w:r>
            <w:r w:rsidR="00460E92">
              <w:rPr>
                <w:noProof/>
                <w:webHidden/>
              </w:rPr>
              <w:fldChar w:fldCharType="end"/>
            </w:r>
          </w:hyperlink>
        </w:p>
        <w:p w14:paraId="7F046136" w14:textId="6CA19294" w:rsidR="00460E92" w:rsidRDefault="00320DFB">
          <w:pPr>
            <w:pStyle w:val="TOC1"/>
            <w:tabs>
              <w:tab w:val="left" w:pos="440"/>
            </w:tabs>
            <w:rPr>
              <w:rFonts w:asciiTheme="minorHAnsi" w:eastAsiaTheme="minorEastAsia" w:hAnsiTheme="minorHAnsi" w:cstheme="minorBidi"/>
              <w:noProof/>
              <w:sz w:val="22"/>
              <w:szCs w:val="22"/>
            </w:rPr>
          </w:pPr>
          <w:hyperlink w:anchor="_Toc531597462" w:history="1">
            <w:r w:rsidR="00460E92" w:rsidRPr="00E56E5C">
              <w:rPr>
                <w:rStyle w:val="Hyperlink"/>
                <w:noProof/>
              </w:rPr>
              <w:t>1</w:t>
            </w:r>
            <w:r w:rsidR="00460E92">
              <w:rPr>
                <w:rFonts w:asciiTheme="minorHAnsi" w:eastAsiaTheme="minorEastAsia" w:hAnsiTheme="minorHAnsi" w:cstheme="minorBidi"/>
                <w:noProof/>
                <w:sz w:val="22"/>
                <w:szCs w:val="22"/>
              </w:rPr>
              <w:tab/>
            </w:r>
            <w:r w:rsidR="00460E92" w:rsidRPr="00E56E5C">
              <w:rPr>
                <w:rStyle w:val="Hyperlink"/>
                <w:noProof/>
              </w:rPr>
              <w:t>Executive Summary</w:t>
            </w:r>
            <w:r w:rsidR="00460E92">
              <w:rPr>
                <w:noProof/>
                <w:webHidden/>
              </w:rPr>
              <w:tab/>
            </w:r>
            <w:r w:rsidR="00460E92">
              <w:rPr>
                <w:noProof/>
                <w:webHidden/>
              </w:rPr>
              <w:fldChar w:fldCharType="begin"/>
            </w:r>
            <w:r w:rsidR="00460E92">
              <w:rPr>
                <w:noProof/>
                <w:webHidden/>
              </w:rPr>
              <w:instrText xml:space="preserve"> PAGEREF _Toc531597462 \h </w:instrText>
            </w:r>
            <w:r w:rsidR="00460E92">
              <w:rPr>
                <w:noProof/>
                <w:webHidden/>
              </w:rPr>
            </w:r>
            <w:r w:rsidR="00460E92">
              <w:rPr>
                <w:noProof/>
                <w:webHidden/>
              </w:rPr>
              <w:fldChar w:fldCharType="separate"/>
            </w:r>
            <w:r w:rsidR="00460E92">
              <w:rPr>
                <w:noProof/>
                <w:webHidden/>
              </w:rPr>
              <w:t>1</w:t>
            </w:r>
            <w:r w:rsidR="00460E92">
              <w:rPr>
                <w:noProof/>
                <w:webHidden/>
              </w:rPr>
              <w:fldChar w:fldCharType="end"/>
            </w:r>
          </w:hyperlink>
        </w:p>
        <w:p w14:paraId="661255B7" w14:textId="35568BFC"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63" w:history="1">
            <w:r w:rsidR="00460E92" w:rsidRPr="00E56E5C">
              <w:rPr>
                <w:rStyle w:val="Hyperlink"/>
                <w:noProof/>
              </w:rPr>
              <w:t>1.1</w:t>
            </w:r>
            <w:r w:rsidR="00460E92">
              <w:rPr>
                <w:rFonts w:asciiTheme="minorHAnsi" w:eastAsiaTheme="minorEastAsia" w:hAnsiTheme="minorHAnsi" w:cstheme="minorBidi"/>
                <w:noProof/>
                <w:sz w:val="22"/>
                <w:szCs w:val="22"/>
              </w:rPr>
              <w:tab/>
            </w:r>
            <w:r w:rsidR="00460E92" w:rsidRPr="00E56E5C">
              <w:rPr>
                <w:rStyle w:val="Hyperlink"/>
                <w:noProof/>
              </w:rPr>
              <w:t>Purpose of the Report and Methodology</w:t>
            </w:r>
            <w:r w:rsidR="00460E92">
              <w:rPr>
                <w:noProof/>
                <w:webHidden/>
              </w:rPr>
              <w:tab/>
            </w:r>
            <w:r w:rsidR="00460E92">
              <w:rPr>
                <w:noProof/>
                <w:webHidden/>
              </w:rPr>
              <w:fldChar w:fldCharType="begin"/>
            </w:r>
            <w:r w:rsidR="00460E92">
              <w:rPr>
                <w:noProof/>
                <w:webHidden/>
              </w:rPr>
              <w:instrText xml:space="preserve"> PAGEREF _Toc531597463 \h </w:instrText>
            </w:r>
            <w:r w:rsidR="00460E92">
              <w:rPr>
                <w:noProof/>
                <w:webHidden/>
              </w:rPr>
            </w:r>
            <w:r w:rsidR="00460E92">
              <w:rPr>
                <w:noProof/>
                <w:webHidden/>
              </w:rPr>
              <w:fldChar w:fldCharType="separate"/>
            </w:r>
            <w:r w:rsidR="00460E92">
              <w:rPr>
                <w:noProof/>
                <w:webHidden/>
              </w:rPr>
              <w:t>2</w:t>
            </w:r>
            <w:r w:rsidR="00460E92">
              <w:rPr>
                <w:noProof/>
                <w:webHidden/>
              </w:rPr>
              <w:fldChar w:fldCharType="end"/>
            </w:r>
          </w:hyperlink>
        </w:p>
        <w:p w14:paraId="686F4C7B" w14:textId="25F9F25E"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64" w:history="1">
            <w:r w:rsidR="00460E92" w:rsidRPr="00E56E5C">
              <w:rPr>
                <w:rStyle w:val="Hyperlink"/>
                <w:noProof/>
              </w:rPr>
              <w:t>1.2</w:t>
            </w:r>
            <w:r w:rsidR="00460E92">
              <w:rPr>
                <w:rFonts w:asciiTheme="minorHAnsi" w:eastAsiaTheme="minorEastAsia" w:hAnsiTheme="minorHAnsi" w:cstheme="minorBidi"/>
                <w:noProof/>
                <w:sz w:val="22"/>
                <w:szCs w:val="22"/>
              </w:rPr>
              <w:tab/>
            </w:r>
            <w:r w:rsidR="00460E92" w:rsidRPr="00E56E5C">
              <w:rPr>
                <w:rStyle w:val="Hyperlink"/>
                <w:noProof/>
              </w:rPr>
              <w:t>Major Findings</w:t>
            </w:r>
            <w:r w:rsidR="00460E92">
              <w:rPr>
                <w:noProof/>
                <w:webHidden/>
              </w:rPr>
              <w:tab/>
            </w:r>
            <w:r w:rsidR="00460E92">
              <w:rPr>
                <w:noProof/>
                <w:webHidden/>
              </w:rPr>
              <w:fldChar w:fldCharType="begin"/>
            </w:r>
            <w:r w:rsidR="00460E92">
              <w:rPr>
                <w:noProof/>
                <w:webHidden/>
              </w:rPr>
              <w:instrText xml:space="preserve"> PAGEREF _Toc531597464 \h </w:instrText>
            </w:r>
            <w:r w:rsidR="00460E92">
              <w:rPr>
                <w:noProof/>
                <w:webHidden/>
              </w:rPr>
            </w:r>
            <w:r w:rsidR="00460E92">
              <w:rPr>
                <w:noProof/>
                <w:webHidden/>
              </w:rPr>
              <w:fldChar w:fldCharType="separate"/>
            </w:r>
            <w:r w:rsidR="00460E92">
              <w:rPr>
                <w:noProof/>
                <w:webHidden/>
              </w:rPr>
              <w:t>2</w:t>
            </w:r>
            <w:r w:rsidR="00460E92">
              <w:rPr>
                <w:noProof/>
                <w:webHidden/>
              </w:rPr>
              <w:fldChar w:fldCharType="end"/>
            </w:r>
          </w:hyperlink>
        </w:p>
        <w:p w14:paraId="10D60652" w14:textId="6A90F128"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65" w:history="1">
            <w:r w:rsidR="00460E92" w:rsidRPr="00E56E5C">
              <w:rPr>
                <w:rStyle w:val="Hyperlink"/>
                <w:noProof/>
              </w:rPr>
              <w:t>1.2.1</w:t>
            </w:r>
            <w:r w:rsidR="00460E92">
              <w:rPr>
                <w:rFonts w:asciiTheme="minorHAnsi" w:eastAsiaTheme="minorEastAsia" w:hAnsiTheme="minorHAnsi" w:cstheme="minorBidi"/>
                <w:noProof/>
                <w:sz w:val="22"/>
                <w:szCs w:val="22"/>
              </w:rPr>
              <w:tab/>
            </w:r>
            <w:r w:rsidR="00460E92" w:rsidRPr="00E56E5C">
              <w:rPr>
                <w:rStyle w:val="Hyperlink"/>
                <w:noProof/>
              </w:rPr>
              <w:t>Fidelity to the Rehabilitation Model / Integrated Treatment Model</w:t>
            </w:r>
            <w:r w:rsidR="00460E92">
              <w:rPr>
                <w:noProof/>
                <w:webHidden/>
              </w:rPr>
              <w:tab/>
            </w:r>
            <w:r w:rsidR="00460E92">
              <w:rPr>
                <w:noProof/>
                <w:webHidden/>
              </w:rPr>
              <w:fldChar w:fldCharType="begin"/>
            </w:r>
            <w:r w:rsidR="00460E92">
              <w:rPr>
                <w:noProof/>
                <w:webHidden/>
              </w:rPr>
              <w:instrText xml:space="preserve"> PAGEREF _Toc531597465 \h </w:instrText>
            </w:r>
            <w:r w:rsidR="00460E92">
              <w:rPr>
                <w:noProof/>
                <w:webHidden/>
              </w:rPr>
            </w:r>
            <w:r w:rsidR="00460E92">
              <w:rPr>
                <w:noProof/>
                <w:webHidden/>
              </w:rPr>
              <w:fldChar w:fldCharType="separate"/>
            </w:r>
            <w:r w:rsidR="00460E92">
              <w:rPr>
                <w:noProof/>
                <w:webHidden/>
              </w:rPr>
              <w:t>3</w:t>
            </w:r>
            <w:r w:rsidR="00460E92">
              <w:rPr>
                <w:noProof/>
                <w:webHidden/>
              </w:rPr>
              <w:fldChar w:fldCharType="end"/>
            </w:r>
          </w:hyperlink>
        </w:p>
        <w:p w14:paraId="7DBD2006" w14:textId="7D5BA1E0"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66" w:history="1">
            <w:r w:rsidR="00460E92" w:rsidRPr="00E56E5C">
              <w:rPr>
                <w:rStyle w:val="Hyperlink"/>
                <w:noProof/>
              </w:rPr>
              <w:t>1.2.2</w:t>
            </w:r>
            <w:r w:rsidR="00460E92">
              <w:rPr>
                <w:rFonts w:asciiTheme="minorHAnsi" w:eastAsiaTheme="minorEastAsia" w:hAnsiTheme="minorHAnsi" w:cstheme="minorBidi"/>
                <w:noProof/>
                <w:sz w:val="22"/>
                <w:szCs w:val="22"/>
              </w:rPr>
              <w:tab/>
            </w:r>
            <w:r w:rsidR="00460E92" w:rsidRPr="00E56E5C">
              <w:rPr>
                <w:rStyle w:val="Hyperlink"/>
                <w:noProof/>
              </w:rPr>
              <w:t>Overtime and On-Call Usage</w:t>
            </w:r>
            <w:r w:rsidR="00460E92">
              <w:rPr>
                <w:noProof/>
                <w:webHidden/>
              </w:rPr>
              <w:tab/>
            </w:r>
            <w:r w:rsidR="00460E92">
              <w:rPr>
                <w:noProof/>
                <w:webHidden/>
              </w:rPr>
              <w:fldChar w:fldCharType="begin"/>
            </w:r>
            <w:r w:rsidR="00460E92">
              <w:rPr>
                <w:noProof/>
                <w:webHidden/>
              </w:rPr>
              <w:instrText xml:space="preserve"> PAGEREF _Toc531597466 \h </w:instrText>
            </w:r>
            <w:r w:rsidR="00460E92">
              <w:rPr>
                <w:noProof/>
                <w:webHidden/>
              </w:rPr>
            </w:r>
            <w:r w:rsidR="00460E92">
              <w:rPr>
                <w:noProof/>
                <w:webHidden/>
              </w:rPr>
              <w:fldChar w:fldCharType="separate"/>
            </w:r>
            <w:r w:rsidR="00460E92">
              <w:rPr>
                <w:noProof/>
                <w:webHidden/>
              </w:rPr>
              <w:t>4</w:t>
            </w:r>
            <w:r w:rsidR="00460E92">
              <w:rPr>
                <w:noProof/>
                <w:webHidden/>
              </w:rPr>
              <w:fldChar w:fldCharType="end"/>
            </w:r>
          </w:hyperlink>
        </w:p>
        <w:p w14:paraId="5B8274C6" w14:textId="45847DDB"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67" w:history="1">
            <w:r w:rsidR="00460E92" w:rsidRPr="00E56E5C">
              <w:rPr>
                <w:rStyle w:val="Hyperlink"/>
                <w:noProof/>
              </w:rPr>
              <w:t>1.2.3</w:t>
            </w:r>
            <w:r w:rsidR="00460E92">
              <w:rPr>
                <w:rFonts w:asciiTheme="minorHAnsi" w:eastAsiaTheme="minorEastAsia" w:hAnsiTheme="minorHAnsi" w:cstheme="minorBidi"/>
                <w:noProof/>
                <w:sz w:val="22"/>
                <w:szCs w:val="22"/>
              </w:rPr>
              <w:tab/>
            </w:r>
            <w:r w:rsidR="00460E92" w:rsidRPr="00E56E5C">
              <w:rPr>
                <w:rStyle w:val="Hyperlink"/>
                <w:noProof/>
              </w:rPr>
              <w:t>Supervision</w:t>
            </w:r>
            <w:r w:rsidR="00460E92">
              <w:rPr>
                <w:noProof/>
                <w:webHidden/>
              </w:rPr>
              <w:tab/>
            </w:r>
            <w:r w:rsidR="00460E92">
              <w:rPr>
                <w:noProof/>
                <w:webHidden/>
              </w:rPr>
              <w:fldChar w:fldCharType="begin"/>
            </w:r>
            <w:r w:rsidR="00460E92">
              <w:rPr>
                <w:noProof/>
                <w:webHidden/>
              </w:rPr>
              <w:instrText xml:space="preserve"> PAGEREF _Toc531597467 \h </w:instrText>
            </w:r>
            <w:r w:rsidR="00460E92">
              <w:rPr>
                <w:noProof/>
                <w:webHidden/>
              </w:rPr>
            </w:r>
            <w:r w:rsidR="00460E92">
              <w:rPr>
                <w:noProof/>
                <w:webHidden/>
              </w:rPr>
              <w:fldChar w:fldCharType="separate"/>
            </w:r>
            <w:r w:rsidR="00460E92">
              <w:rPr>
                <w:noProof/>
                <w:webHidden/>
              </w:rPr>
              <w:t>4</w:t>
            </w:r>
            <w:r w:rsidR="00460E92">
              <w:rPr>
                <w:noProof/>
                <w:webHidden/>
              </w:rPr>
              <w:fldChar w:fldCharType="end"/>
            </w:r>
          </w:hyperlink>
        </w:p>
        <w:p w14:paraId="36C6ADAA" w14:textId="45B20E6C"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68" w:history="1">
            <w:r w:rsidR="00460E92" w:rsidRPr="00E56E5C">
              <w:rPr>
                <w:rStyle w:val="Hyperlink"/>
                <w:noProof/>
              </w:rPr>
              <w:t>1.2.4</w:t>
            </w:r>
            <w:r w:rsidR="00460E92">
              <w:rPr>
                <w:rFonts w:asciiTheme="minorHAnsi" w:eastAsiaTheme="minorEastAsia" w:hAnsiTheme="minorHAnsi" w:cstheme="minorBidi"/>
                <w:noProof/>
                <w:sz w:val="22"/>
                <w:szCs w:val="22"/>
              </w:rPr>
              <w:tab/>
            </w:r>
            <w:r w:rsidR="00460E92" w:rsidRPr="00E56E5C">
              <w:rPr>
                <w:rStyle w:val="Hyperlink"/>
                <w:noProof/>
              </w:rPr>
              <w:t>Training</w:t>
            </w:r>
            <w:r w:rsidR="00460E92">
              <w:rPr>
                <w:noProof/>
                <w:webHidden/>
              </w:rPr>
              <w:tab/>
            </w:r>
            <w:r w:rsidR="00460E92">
              <w:rPr>
                <w:noProof/>
                <w:webHidden/>
              </w:rPr>
              <w:fldChar w:fldCharType="begin"/>
            </w:r>
            <w:r w:rsidR="00460E92">
              <w:rPr>
                <w:noProof/>
                <w:webHidden/>
              </w:rPr>
              <w:instrText xml:space="preserve"> PAGEREF _Toc531597468 \h </w:instrText>
            </w:r>
            <w:r w:rsidR="00460E92">
              <w:rPr>
                <w:noProof/>
                <w:webHidden/>
              </w:rPr>
            </w:r>
            <w:r w:rsidR="00460E92">
              <w:rPr>
                <w:noProof/>
                <w:webHidden/>
              </w:rPr>
              <w:fldChar w:fldCharType="separate"/>
            </w:r>
            <w:r w:rsidR="00460E92">
              <w:rPr>
                <w:noProof/>
                <w:webHidden/>
              </w:rPr>
              <w:t>4</w:t>
            </w:r>
            <w:r w:rsidR="00460E92">
              <w:rPr>
                <w:noProof/>
                <w:webHidden/>
              </w:rPr>
              <w:fldChar w:fldCharType="end"/>
            </w:r>
          </w:hyperlink>
        </w:p>
        <w:p w14:paraId="7F013583" w14:textId="17255CEA"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69" w:history="1">
            <w:r w:rsidR="00460E92" w:rsidRPr="00E56E5C">
              <w:rPr>
                <w:rStyle w:val="Hyperlink"/>
                <w:noProof/>
              </w:rPr>
              <w:t>1.2.5</w:t>
            </w:r>
            <w:r w:rsidR="00460E92">
              <w:rPr>
                <w:rFonts w:asciiTheme="minorHAnsi" w:eastAsiaTheme="minorEastAsia" w:hAnsiTheme="minorHAnsi" w:cstheme="minorBidi"/>
                <w:noProof/>
                <w:sz w:val="22"/>
                <w:szCs w:val="22"/>
              </w:rPr>
              <w:tab/>
            </w:r>
            <w:r w:rsidR="00460E92" w:rsidRPr="00E56E5C">
              <w:rPr>
                <w:rStyle w:val="Hyperlink"/>
                <w:noProof/>
              </w:rPr>
              <w:t>Staff Demographics</w:t>
            </w:r>
            <w:r w:rsidR="00460E92">
              <w:rPr>
                <w:noProof/>
                <w:webHidden/>
              </w:rPr>
              <w:tab/>
            </w:r>
            <w:r w:rsidR="00460E92">
              <w:rPr>
                <w:noProof/>
                <w:webHidden/>
              </w:rPr>
              <w:fldChar w:fldCharType="begin"/>
            </w:r>
            <w:r w:rsidR="00460E92">
              <w:rPr>
                <w:noProof/>
                <w:webHidden/>
              </w:rPr>
              <w:instrText xml:space="preserve"> PAGEREF _Toc531597469 \h </w:instrText>
            </w:r>
            <w:r w:rsidR="00460E92">
              <w:rPr>
                <w:noProof/>
                <w:webHidden/>
              </w:rPr>
            </w:r>
            <w:r w:rsidR="00460E92">
              <w:rPr>
                <w:noProof/>
                <w:webHidden/>
              </w:rPr>
              <w:fldChar w:fldCharType="separate"/>
            </w:r>
            <w:r w:rsidR="00460E92">
              <w:rPr>
                <w:noProof/>
                <w:webHidden/>
              </w:rPr>
              <w:t>5</w:t>
            </w:r>
            <w:r w:rsidR="00460E92">
              <w:rPr>
                <w:noProof/>
                <w:webHidden/>
              </w:rPr>
              <w:fldChar w:fldCharType="end"/>
            </w:r>
          </w:hyperlink>
        </w:p>
        <w:p w14:paraId="6C6ECBDD" w14:textId="1A5172B7"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70" w:history="1">
            <w:r w:rsidR="00460E92" w:rsidRPr="00E56E5C">
              <w:rPr>
                <w:rStyle w:val="Hyperlink"/>
                <w:noProof/>
              </w:rPr>
              <w:t>1.2.6</w:t>
            </w:r>
            <w:r w:rsidR="00460E92">
              <w:rPr>
                <w:rFonts w:asciiTheme="minorHAnsi" w:eastAsiaTheme="minorEastAsia" w:hAnsiTheme="minorHAnsi" w:cstheme="minorBidi"/>
                <w:noProof/>
                <w:sz w:val="22"/>
                <w:szCs w:val="22"/>
              </w:rPr>
              <w:tab/>
            </w:r>
            <w:r w:rsidR="00460E92" w:rsidRPr="00E56E5C">
              <w:rPr>
                <w:rStyle w:val="Hyperlink"/>
                <w:noProof/>
              </w:rPr>
              <w:t>Turnover</w:t>
            </w:r>
            <w:r w:rsidR="00460E92">
              <w:rPr>
                <w:noProof/>
                <w:webHidden/>
              </w:rPr>
              <w:tab/>
            </w:r>
            <w:r w:rsidR="00460E92">
              <w:rPr>
                <w:noProof/>
                <w:webHidden/>
              </w:rPr>
              <w:fldChar w:fldCharType="begin"/>
            </w:r>
            <w:r w:rsidR="00460E92">
              <w:rPr>
                <w:noProof/>
                <w:webHidden/>
              </w:rPr>
              <w:instrText xml:space="preserve"> PAGEREF _Toc531597470 \h </w:instrText>
            </w:r>
            <w:r w:rsidR="00460E92">
              <w:rPr>
                <w:noProof/>
                <w:webHidden/>
              </w:rPr>
            </w:r>
            <w:r w:rsidR="00460E92">
              <w:rPr>
                <w:noProof/>
                <w:webHidden/>
              </w:rPr>
              <w:fldChar w:fldCharType="separate"/>
            </w:r>
            <w:r w:rsidR="00460E92">
              <w:rPr>
                <w:noProof/>
                <w:webHidden/>
              </w:rPr>
              <w:t>5</w:t>
            </w:r>
            <w:r w:rsidR="00460E92">
              <w:rPr>
                <w:noProof/>
                <w:webHidden/>
              </w:rPr>
              <w:fldChar w:fldCharType="end"/>
            </w:r>
          </w:hyperlink>
        </w:p>
        <w:p w14:paraId="718FBF10" w14:textId="44C8110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71" w:history="1">
            <w:r w:rsidR="00460E92" w:rsidRPr="00E56E5C">
              <w:rPr>
                <w:rStyle w:val="Hyperlink"/>
                <w:noProof/>
              </w:rPr>
              <w:t>1.2.7</w:t>
            </w:r>
            <w:r w:rsidR="00460E92">
              <w:rPr>
                <w:rFonts w:asciiTheme="minorHAnsi" w:eastAsiaTheme="minorEastAsia" w:hAnsiTheme="minorHAnsi" w:cstheme="minorBidi"/>
                <w:noProof/>
                <w:sz w:val="22"/>
                <w:szCs w:val="22"/>
              </w:rPr>
              <w:tab/>
            </w:r>
            <w:r w:rsidR="00460E92" w:rsidRPr="00E56E5C">
              <w:rPr>
                <w:rStyle w:val="Hyperlink"/>
                <w:noProof/>
              </w:rPr>
              <w:t>Salary</w:t>
            </w:r>
            <w:r w:rsidR="00460E92">
              <w:rPr>
                <w:noProof/>
                <w:webHidden/>
              </w:rPr>
              <w:tab/>
            </w:r>
            <w:r w:rsidR="00460E92">
              <w:rPr>
                <w:noProof/>
                <w:webHidden/>
              </w:rPr>
              <w:fldChar w:fldCharType="begin"/>
            </w:r>
            <w:r w:rsidR="00460E92">
              <w:rPr>
                <w:noProof/>
                <w:webHidden/>
              </w:rPr>
              <w:instrText xml:space="preserve"> PAGEREF _Toc531597471 \h </w:instrText>
            </w:r>
            <w:r w:rsidR="00460E92">
              <w:rPr>
                <w:noProof/>
                <w:webHidden/>
              </w:rPr>
            </w:r>
            <w:r w:rsidR="00460E92">
              <w:rPr>
                <w:noProof/>
                <w:webHidden/>
              </w:rPr>
              <w:fldChar w:fldCharType="separate"/>
            </w:r>
            <w:r w:rsidR="00460E92">
              <w:rPr>
                <w:noProof/>
                <w:webHidden/>
              </w:rPr>
              <w:t>6</w:t>
            </w:r>
            <w:r w:rsidR="00460E92">
              <w:rPr>
                <w:noProof/>
                <w:webHidden/>
              </w:rPr>
              <w:fldChar w:fldCharType="end"/>
            </w:r>
          </w:hyperlink>
        </w:p>
        <w:p w14:paraId="32A1CAAA" w14:textId="5E9E869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72" w:history="1">
            <w:r w:rsidR="00460E92" w:rsidRPr="00E56E5C">
              <w:rPr>
                <w:rStyle w:val="Hyperlink"/>
                <w:noProof/>
              </w:rPr>
              <w:t>1.2.8</w:t>
            </w:r>
            <w:r w:rsidR="00460E92">
              <w:rPr>
                <w:rFonts w:asciiTheme="minorHAnsi" w:eastAsiaTheme="minorEastAsia" w:hAnsiTheme="minorHAnsi" w:cstheme="minorBidi"/>
                <w:noProof/>
                <w:sz w:val="22"/>
                <w:szCs w:val="22"/>
              </w:rPr>
              <w:tab/>
            </w:r>
            <w:r w:rsidR="00460E92" w:rsidRPr="00E56E5C">
              <w:rPr>
                <w:rStyle w:val="Hyperlink"/>
                <w:noProof/>
              </w:rPr>
              <w:t>Recruitment, Selection and Retention</w:t>
            </w:r>
            <w:r w:rsidR="00460E92">
              <w:rPr>
                <w:noProof/>
                <w:webHidden/>
              </w:rPr>
              <w:tab/>
            </w:r>
            <w:r w:rsidR="00460E92">
              <w:rPr>
                <w:noProof/>
                <w:webHidden/>
              </w:rPr>
              <w:fldChar w:fldCharType="begin"/>
            </w:r>
            <w:r w:rsidR="00460E92">
              <w:rPr>
                <w:noProof/>
                <w:webHidden/>
              </w:rPr>
              <w:instrText xml:space="preserve"> PAGEREF _Toc531597472 \h </w:instrText>
            </w:r>
            <w:r w:rsidR="00460E92">
              <w:rPr>
                <w:noProof/>
                <w:webHidden/>
              </w:rPr>
            </w:r>
            <w:r w:rsidR="00460E92">
              <w:rPr>
                <w:noProof/>
                <w:webHidden/>
              </w:rPr>
              <w:fldChar w:fldCharType="separate"/>
            </w:r>
            <w:r w:rsidR="00460E92">
              <w:rPr>
                <w:noProof/>
                <w:webHidden/>
              </w:rPr>
              <w:t>6</w:t>
            </w:r>
            <w:r w:rsidR="00460E92">
              <w:rPr>
                <w:noProof/>
                <w:webHidden/>
              </w:rPr>
              <w:fldChar w:fldCharType="end"/>
            </w:r>
          </w:hyperlink>
        </w:p>
        <w:p w14:paraId="03E8AD5C" w14:textId="769F6AD3"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73" w:history="1">
            <w:r w:rsidR="00460E92" w:rsidRPr="00E56E5C">
              <w:rPr>
                <w:rStyle w:val="Hyperlink"/>
                <w:noProof/>
              </w:rPr>
              <w:t>1.3</w:t>
            </w:r>
            <w:r w:rsidR="00460E92">
              <w:rPr>
                <w:rFonts w:asciiTheme="minorHAnsi" w:eastAsiaTheme="minorEastAsia" w:hAnsiTheme="minorHAnsi" w:cstheme="minorBidi"/>
                <w:noProof/>
                <w:sz w:val="22"/>
                <w:szCs w:val="22"/>
              </w:rPr>
              <w:tab/>
            </w:r>
            <w:r w:rsidR="00460E92" w:rsidRPr="00E56E5C">
              <w:rPr>
                <w:rStyle w:val="Hyperlink"/>
                <w:noProof/>
              </w:rPr>
              <w:t>Factors for New Residential Staffing Model</w:t>
            </w:r>
            <w:r w:rsidR="00460E92">
              <w:rPr>
                <w:noProof/>
                <w:webHidden/>
              </w:rPr>
              <w:tab/>
            </w:r>
            <w:r w:rsidR="00460E92">
              <w:rPr>
                <w:noProof/>
                <w:webHidden/>
              </w:rPr>
              <w:fldChar w:fldCharType="begin"/>
            </w:r>
            <w:r w:rsidR="00460E92">
              <w:rPr>
                <w:noProof/>
                <w:webHidden/>
              </w:rPr>
              <w:instrText xml:space="preserve"> PAGEREF _Toc531597473 \h </w:instrText>
            </w:r>
            <w:r w:rsidR="00460E92">
              <w:rPr>
                <w:noProof/>
                <w:webHidden/>
              </w:rPr>
            </w:r>
            <w:r w:rsidR="00460E92">
              <w:rPr>
                <w:noProof/>
                <w:webHidden/>
              </w:rPr>
              <w:fldChar w:fldCharType="separate"/>
            </w:r>
            <w:r w:rsidR="00460E92">
              <w:rPr>
                <w:noProof/>
                <w:webHidden/>
              </w:rPr>
              <w:t>7</w:t>
            </w:r>
            <w:r w:rsidR="00460E92">
              <w:rPr>
                <w:noProof/>
                <w:webHidden/>
              </w:rPr>
              <w:fldChar w:fldCharType="end"/>
            </w:r>
          </w:hyperlink>
        </w:p>
        <w:p w14:paraId="104F4E7C" w14:textId="316780E5"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74" w:history="1">
            <w:r w:rsidR="00460E92" w:rsidRPr="00E56E5C">
              <w:rPr>
                <w:rStyle w:val="Hyperlink"/>
                <w:noProof/>
              </w:rPr>
              <w:t>1.3.1</w:t>
            </w:r>
            <w:r w:rsidR="00460E92">
              <w:rPr>
                <w:rFonts w:asciiTheme="minorHAnsi" w:eastAsiaTheme="minorEastAsia" w:hAnsiTheme="minorHAnsi" w:cstheme="minorBidi"/>
                <w:noProof/>
                <w:sz w:val="22"/>
                <w:szCs w:val="22"/>
              </w:rPr>
              <w:tab/>
            </w:r>
            <w:r w:rsidR="00460E92" w:rsidRPr="00E56E5C">
              <w:rPr>
                <w:rStyle w:val="Hyperlink"/>
                <w:noProof/>
              </w:rPr>
              <w:t>Staffing Levels</w:t>
            </w:r>
            <w:r w:rsidR="00460E92">
              <w:rPr>
                <w:noProof/>
                <w:webHidden/>
              </w:rPr>
              <w:tab/>
            </w:r>
            <w:r w:rsidR="00460E92">
              <w:rPr>
                <w:noProof/>
                <w:webHidden/>
              </w:rPr>
              <w:fldChar w:fldCharType="begin"/>
            </w:r>
            <w:r w:rsidR="00460E92">
              <w:rPr>
                <w:noProof/>
                <w:webHidden/>
              </w:rPr>
              <w:instrText xml:space="preserve"> PAGEREF _Toc531597474 \h </w:instrText>
            </w:r>
            <w:r w:rsidR="00460E92">
              <w:rPr>
                <w:noProof/>
                <w:webHidden/>
              </w:rPr>
            </w:r>
            <w:r w:rsidR="00460E92">
              <w:rPr>
                <w:noProof/>
                <w:webHidden/>
              </w:rPr>
              <w:fldChar w:fldCharType="separate"/>
            </w:r>
            <w:r w:rsidR="00460E92">
              <w:rPr>
                <w:noProof/>
                <w:webHidden/>
              </w:rPr>
              <w:t>7</w:t>
            </w:r>
            <w:r w:rsidR="00460E92">
              <w:rPr>
                <w:noProof/>
                <w:webHidden/>
              </w:rPr>
              <w:fldChar w:fldCharType="end"/>
            </w:r>
          </w:hyperlink>
        </w:p>
        <w:p w14:paraId="4D829707" w14:textId="76C65C49"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75" w:history="1">
            <w:r w:rsidR="00460E92" w:rsidRPr="00E56E5C">
              <w:rPr>
                <w:rStyle w:val="Hyperlink"/>
                <w:noProof/>
              </w:rPr>
              <w:t>1.3.2</w:t>
            </w:r>
            <w:r w:rsidR="00460E92">
              <w:rPr>
                <w:rFonts w:asciiTheme="minorHAnsi" w:eastAsiaTheme="minorEastAsia" w:hAnsiTheme="minorHAnsi" w:cstheme="minorBidi"/>
                <w:noProof/>
                <w:sz w:val="22"/>
                <w:szCs w:val="22"/>
              </w:rPr>
              <w:tab/>
            </w:r>
            <w:r w:rsidR="00460E92" w:rsidRPr="00E56E5C">
              <w:rPr>
                <w:rStyle w:val="Hyperlink"/>
                <w:noProof/>
              </w:rPr>
              <w:t>Organizational Factors</w:t>
            </w:r>
            <w:r w:rsidR="00460E92">
              <w:rPr>
                <w:noProof/>
                <w:webHidden/>
              </w:rPr>
              <w:tab/>
            </w:r>
            <w:r w:rsidR="00460E92">
              <w:rPr>
                <w:noProof/>
                <w:webHidden/>
              </w:rPr>
              <w:fldChar w:fldCharType="begin"/>
            </w:r>
            <w:r w:rsidR="00460E92">
              <w:rPr>
                <w:noProof/>
                <w:webHidden/>
              </w:rPr>
              <w:instrText xml:space="preserve"> PAGEREF _Toc531597475 \h </w:instrText>
            </w:r>
            <w:r w:rsidR="00460E92">
              <w:rPr>
                <w:noProof/>
                <w:webHidden/>
              </w:rPr>
            </w:r>
            <w:r w:rsidR="00460E92">
              <w:rPr>
                <w:noProof/>
                <w:webHidden/>
              </w:rPr>
              <w:fldChar w:fldCharType="separate"/>
            </w:r>
            <w:r w:rsidR="00460E92">
              <w:rPr>
                <w:noProof/>
                <w:webHidden/>
              </w:rPr>
              <w:t>7</w:t>
            </w:r>
            <w:r w:rsidR="00460E92">
              <w:rPr>
                <w:noProof/>
                <w:webHidden/>
              </w:rPr>
              <w:fldChar w:fldCharType="end"/>
            </w:r>
          </w:hyperlink>
        </w:p>
        <w:p w14:paraId="25E8D949" w14:textId="30FE9EBB" w:rsidR="00460E92" w:rsidRDefault="00320DFB">
          <w:pPr>
            <w:pStyle w:val="TOC1"/>
            <w:tabs>
              <w:tab w:val="left" w:pos="440"/>
            </w:tabs>
            <w:rPr>
              <w:rFonts w:asciiTheme="minorHAnsi" w:eastAsiaTheme="minorEastAsia" w:hAnsiTheme="minorHAnsi" w:cstheme="minorBidi"/>
              <w:noProof/>
              <w:sz w:val="22"/>
              <w:szCs w:val="22"/>
            </w:rPr>
          </w:pPr>
          <w:hyperlink w:anchor="_Toc531597476" w:history="1">
            <w:r w:rsidR="00460E92" w:rsidRPr="00E56E5C">
              <w:rPr>
                <w:rStyle w:val="Hyperlink"/>
                <w:noProof/>
              </w:rPr>
              <w:t>2</w:t>
            </w:r>
            <w:r w:rsidR="00460E92">
              <w:rPr>
                <w:rFonts w:asciiTheme="minorHAnsi" w:eastAsiaTheme="minorEastAsia" w:hAnsiTheme="minorHAnsi" w:cstheme="minorBidi"/>
                <w:noProof/>
                <w:sz w:val="22"/>
                <w:szCs w:val="22"/>
              </w:rPr>
              <w:tab/>
            </w:r>
            <w:r w:rsidR="00460E92" w:rsidRPr="00E56E5C">
              <w:rPr>
                <w:rStyle w:val="Hyperlink"/>
                <w:noProof/>
              </w:rPr>
              <w:t>Background</w:t>
            </w:r>
            <w:r w:rsidR="00460E92">
              <w:rPr>
                <w:noProof/>
                <w:webHidden/>
              </w:rPr>
              <w:tab/>
            </w:r>
            <w:r w:rsidR="00460E92">
              <w:rPr>
                <w:noProof/>
                <w:webHidden/>
              </w:rPr>
              <w:fldChar w:fldCharType="begin"/>
            </w:r>
            <w:r w:rsidR="00460E92">
              <w:rPr>
                <w:noProof/>
                <w:webHidden/>
              </w:rPr>
              <w:instrText xml:space="preserve"> PAGEREF _Toc531597476 \h </w:instrText>
            </w:r>
            <w:r w:rsidR="00460E92">
              <w:rPr>
                <w:noProof/>
                <w:webHidden/>
              </w:rPr>
            </w:r>
            <w:r w:rsidR="00460E92">
              <w:rPr>
                <w:noProof/>
                <w:webHidden/>
              </w:rPr>
              <w:fldChar w:fldCharType="separate"/>
            </w:r>
            <w:r w:rsidR="00460E92">
              <w:rPr>
                <w:noProof/>
                <w:webHidden/>
              </w:rPr>
              <w:t>7</w:t>
            </w:r>
            <w:r w:rsidR="00460E92">
              <w:rPr>
                <w:noProof/>
                <w:webHidden/>
              </w:rPr>
              <w:fldChar w:fldCharType="end"/>
            </w:r>
          </w:hyperlink>
        </w:p>
        <w:p w14:paraId="70E49504" w14:textId="779DA60F"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77" w:history="1">
            <w:r w:rsidR="00460E92" w:rsidRPr="00E56E5C">
              <w:rPr>
                <w:rStyle w:val="Hyperlink"/>
                <w:noProof/>
              </w:rPr>
              <w:t>2.1</w:t>
            </w:r>
            <w:r w:rsidR="00460E92">
              <w:rPr>
                <w:rFonts w:asciiTheme="minorHAnsi" w:eastAsiaTheme="minorEastAsia" w:hAnsiTheme="minorHAnsi" w:cstheme="minorBidi"/>
                <w:noProof/>
                <w:sz w:val="22"/>
                <w:szCs w:val="22"/>
              </w:rPr>
              <w:tab/>
            </w:r>
            <w:r w:rsidR="00460E92" w:rsidRPr="00E56E5C">
              <w:rPr>
                <w:rStyle w:val="Hyperlink"/>
                <w:noProof/>
              </w:rPr>
              <w:t>Current Residential Staffing Model</w:t>
            </w:r>
            <w:r w:rsidR="00460E92">
              <w:rPr>
                <w:noProof/>
                <w:webHidden/>
              </w:rPr>
              <w:tab/>
            </w:r>
            <w:r w:rsidR="00460E92">
              <w:rPr>
                <w:noProof/>
                <w:webHidden/>
              </w:rPr>
              <w:fldChar w:fldCharType="begin"/>
            </w:r>
            <w:r w:rsidR="00460E92">
              <w:rPr>
                <w:noProof/>
                <w:webHidden/>
              </w:rPr>
              <w:instrText xml:space="preserve"> PAGEREF _Toc531597477 \h </w:instrText>
            </w:r>
            <w:r w:rsidR="00460E92">
              <w:rPr>
                <w:noProof/>
                <w:webHidden/>
              </w:rPr>
            </w:r>
            <w:r w:rsidR="00460E92">
              <w:rPr>
                <w:noProof/>
                <w:webHidden/>
              </w:rPr>
              <w:fldChar w:fldCharType="separate"/>
            </w:r>
            <w:r w:rsidR="00460E92">
              <w:rPr>
                <w:noProof/>
                <w:webHidden/>
              </w:rPr>
              <w:t>9</w:t>
            </w:r>
            <w:r w:rsidR="00460E92">
              <w:rPr>
                <w:noProof/>
                <w:webHidden/>
              </w:rPr>
              <w:fldChar w:fldCharType="end"/>
            </w:r>
          </w:hyperlink>
        </w:p>
        <w:p w14:paraId="0C35AFF2" w14:textId="40523F8A"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78" w:history="1">
            <w:r w:rsidR="00460E92" w:rsidRPr="00E56E5C">
              <w:rPr>
                <w:rStyle w:val="Hyperlink"/>
                <w:noProof/>
              </w:rPr>
              <w:t>2.2</w:t>
            </w:r>
            <w:r w:rsidR="00460E92">
              <w:rPr>
                <w:rFonts w:asciiTheme="minorHAnsi" w:eastAsiaTheme="minorEastAsia" w:hAnsiTheme="minorHAnsi" w:cstheme="minorBidi"/>
                <w:noProof/>
                <w:sz w:val="22"/>
                <w:szCs w:val="22"/>
              </w:rPr>
              <w:tab/>
            </w:r>
            <w:r w:rsidR="00460E92" w:rsidRPr="00E56E5C">
              <w:rPr>
                <w:rStyle w:val="Hyperlink"/>
                <w:noProof/>
              </w:rPr>
              <w:t>Juvenile Rehabilitation</w:t>
            </w:r>
            <w:r w:rsidR="00460E92">
              <w:rPr>
                <w:noProof/>
                <w:webHidden/>
              </w:rPr>
              <w:tab/>
            </w:r>
            <w:r w:rsidR="00460E92">
              <w:rPr>
                <w:noProof/>
                <w:webHidden/>
              </w:rPr>
              <w:fldChar w:fldCharType="begin"/>
            </w:r>
            <w:r w:rsidR="00460E92">
              <w:rPr>
                <w:noProof/>
                <w:webHidden/>
              </w:rPr>
              <w:instrText xml:space="preserve"> PAGEREF _Toc531597478 \h </w:instrText>
            </w:r>
            <w:r w:rsidR="00460E92">
              <w:rPr>
                <w:noProof/>
                <w:webHidden/>
              </w:rPr>
            </w:r>
            <w:r w:rsidR="00460E92">
              <w:rPr>
                <w:noProof/>
                <w:webHidden/>
              </w:rPr>
              <w:fldChar w:fldCharType="separate"/>
            </w:r>
            <w:r w:rsidR="00460E92">
              <w:rPr>
                <w:noProof/>
                <w:webHidden/>
              </w:rPr>
              <w:t>9</w:t>
            </w:r>
            <w:r w:rsidR="00460E92">
              <w:rPr>
                <w:noProof/>
                <w:webHidden/>
              </w:rPr>
              <w:fldChar w:fldCharType="end"/>
            </w:r>
          </w:hyperlink>
        </w:p>
        <w:p w14:paraId="02AB8333" w14:textId="08A3BD90"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79" w:history="1">
            <w:r w:rsidR="00460E92" w:rsidRPr="00E56E5C">
              <w:rPr>
                <w:rStyle w:val="Hyperlink"/>
                <w:noProof/>
              </w:rPr>
              <w:t>2.3</w:t>
            </w:r>
            <w:r w:rsidR="00460E92">
              <w:rPr>
                <w:rFonts w:asciiTheme="minorHAnsi" w:eastAsiaTheme="minorEastAsia" w:hAnsiTheme="minorHAnsi" w:cstheme="minorBidi"/>
                <w:noProof/>
                <w:sz w:val="22"/>
                <w:szCs w:val="22"/>
              </w:rPr>
              <w:tab/>
            </w:r>
            <w:r w:rsidR="00460E92" w:rsidRPr="00E56E5C">
              <w:rPr>
                <w:rStyle w:val="Hyperlink"/>
                <w:noProof/>
              </w:rPr>
              <w:t>Juvenile Rehabilitation Staffing Study</w:t>
            </w:r>
            <w:r w:rsidR="00460E92">
              <w:rPr>
                <w:noProof/>
                <w:webHidden/>
              </w:rPr>
              <w:tab/>
            </w:r>
            <w:r w:rsidR="00460E92">
              <w:rPr>
                <w:noProof/>
                <w:webHidden/>
              </w:rPr>
              <w:fldChar w:fldCharType="begin"/>
            </w:r>
            <w:r w:rsidR="00460E92">
              <w:rPr>
                <w:noProof/>
                <w:webHidden/>
              </w:rPr>
              <w:instrText xml:space="preserve"> PAGEREF _Toc531597479 \h </w:instrText>
            </w:r>
            <w:r w:rsidR="00460E92">
              <w:rPr>
                <w:noProof/>
                <w:webHidden/>
              </w:rPr>
            </w:r>
            <w:r w:rsidR="00460E92">
              <w:rPr>
                <w:noProof/>
                <w:webHidden/>
              </w:rPr>
              <w:fldChar w:fldCharType="separate"/>
            </w:r>
            <w:r w:rsidR="00460E92">
              <w:rPr>
                <w:noProof/>
                <w:webHidden/>
              </w:rPr>
              <w:t>10</w:t>
            </w:r>
            <w:r w:rsidR="00460E92">
              <w:rPr>
                <w:noProof/>
                <w:webHidden/>
              </w:rPr>
              <w:fldChar w:fldCharType="end"/>
            </w:r>
          </w:hyperlink>
        </w:p>
        <w:p w14:paraId="08D4FC6B" w14:textId="513A5DB7" w:rsidR="00460E92" w:rsidRDefault="00320DFB">
          <w:pPr>
            <w:pStyle w:val="TOC1"/>
            <w:tabs>
              <w:tab w:val="left" w:pos="440"/>
            </w:tabs>
            <w:rPr>
              <w:rFonts w:asciiTheme="minorHAnsi" w:eastAsiaTheme="minorEastAsia" w:hAnsiTheme="minorHAnsi" w:cstheme="minorBidi"/>
              <w:noProof/>
              <w:sz w:val="22"/>
              <w:szCs w:val="22"/>
            </w:rPr>
          </w:pPr>
          <w:hyperlink w:anchor="_Toc531597480" w:history="1">
            <w:r w:rsidR="00460E92" w:rsidRPr="00E56E5C">
              <w:rPr>
                <w:rStyle w:val="Hyperlink"/>
                <w:noProof/>
              </w:rPr>
              <w:t>3</w:t>
            </w:r>
            <w:r w:rsidR="00460E92">
              <w:rPr>
                <w:rFonts w:asciiTheme="minorHAnsi" w:eastAsiaTheme="minorEastAsia" w:hAnsiTheme="minorHAnsi" w:cstheme="minorBidi"/>
                <w:noProof/>
                <w:sz w:val="22"/>
                <w:szCs w:val="22"/>
              </w:rPr>
              <w:tab/>
            </w:r>
            <w:r w:rsidR="00460E92" w:rsidRPr="00E56E5C">
              <w:rPr>
                <w:rStyle w:val="Hyperlink"/>
                <w:noProof/>
              </w:rPr>
              <w:t>Methodology</w:t>
            </w:r>
            <w:r w:rsidR="00460E92">
              <w:rPr>
                <w:noProof/>
                <w:webHidden/>
              </w:rPr>
              <w:tab/>
            </w:r>
            <w:r w:rsidR="00460E92">
              <w:rPr>
                <w:noProof/>
                <w:webHidden/>
              </w:rPr>
              <w:fldChar w:fldCharType="begin"/>
            </w:r>
            <w:r w:rsidR="00460E92">
              <w:rPr>
                <w:noProof/>
                <w:webHidden/>
              </w:rPr>
              <w:instrText xml:space="preserve"> PAGEREF _Toc531597480 \h </w:instrText>
            </w:r>
            <w:r w:rsidR="00460E92">
              <w:rPr>
                <w:noProof/>
                <w:webHidden/>
              </w:rPr>
            </w:r>
            <w:r w:rsidR="00460E92">
              <w:rPr>
                <w:noProof/>
                <w:webHidden/>
              </w:rPr>
              <w:fldChar w:fldCharType="separate"/>
            </w:r>
            <w:r w:rsidR="00460E92">
              <w:rPr>
                <w:noProof/>
                <w:webHidden/>
              </w:rPr>
              <w:t>11</w:t>
            </w:r>
            <w:r w:rsidR="00460E92">
              <w:rPr>
                <w:noProof/>
                <w:webHidden/>
              </w:rPr>
              <w:fldChar w:fldCharType="end"/>
            </w:r>
          </w:hyperlink>
        </w:p>
        <w:p w14:paraId="6DE453E3" w14:textId="1FDEB734" w:rsidR="00460E92" w:rsidRDefault="00320DFB">
          <w:pPr>
            <w:pStyle w:val="TOC1"/>
            <w:tabs>
              <w:tab w:val="left" w:pos="440"/>
            </w:tabs>
            <w:rPr>
              <w:rFonts w:asciiTheme="minorHAnsi" w:eastAsiaTheme="minorEastAsia" w:hAnsiTheme="minorHAnsi" w:cstheme="minorBidi"/>
              <w:noProof/>
              <w:sz w:val="22"/>
              <w:szCs w:val="22"/>
            </w:rPr>
          </w:pPr>
          <w:hyperlink w:anchor="_Toc531597481" w:history="1">
            <w:r w:rsidR="00460E92" w:rsidRPr="00E56E5C">
              <w:rPr>
                <w:rStyle w:val="Hyperlink"/>
                <w:noProof/>
              </w:rPr>
              <w:t>4</w:t>
            </w:r>
            <w:r w:rsidR="00460E92">
              <w:rPr>
                <w:rFonts w:asciiTheme="minorHAnsi" w:eastAsiaTheme="minorEastAsia" w:hAnsiTheme="minorHAnsi" w:cstheme="minorBidi"/>
                <w:noProof/>
                <w:sz w:val="22"/>
                <w:szCs w:val="22"/>
              </w:rPr>
              <w:tab/>
            </w:r>
            <w:r w:rsidR="00460E92" w:rsidRPr="00E56E5C">
              <w:rPr>
                <w:rStyle w:val="Hyperlink"/>
                <w:noProof/>
              </w:rPr>
              <w:t>Workforce Context</w:t>
            </w:r>
            <w:r w:rsidR="00460E92">
              <w:rPr>
                <w:noProof/>
                <w:webHidden/>
              </w:rPr>
              <w:tab/>
            </w:r>
            <w:r w:rsidR="00460E92">
              <w:rPr>
                <w:noProof/>
                <w:webHidden/>
              </w:rPr>
              <w:fldChar w:fldCharType="begin"/>
            </w:r>
            <w:r w:rsidR="00460E92">
              <w:rPr>
                <w:noProof/>
                <w:webHidden/>
              </w:rPr>
              <w:instrText xml:space="preserve"> PAGEREF _Toc531597481 \h </w:instrText>
            </w:r>
            <w:r w:rsidR="00460E92">
              <w:rPr>
                <w:noProof/>
                <w:webHidden/>
              </w:rPr>
            </w:r>
            <w:r w:rsidR="00460E92">
              <w:rPr>
                <w:noProof/>
                <w:webHidden/>
              </w:rPr>
              <w:fldChar w:fldCharType="separate"/>
            </w:r>
            <w:r w:rsidR="00460E92">
              <w:rPr>
                <w:noProof/>
                <w:webHidden/>
              </w:rPr>
              <w:t>12</w:t>
            </w:r>
            <w:r w:rsidR="00460E92">
              <w:rPr>
                <w:noProof/>
                <w:webHidden/>
              </w:rPr>
              <w:fldChar w:fldCharType="end"/>
            </w:r>
          </w:hyperlink>
        </w:p>
        <w:p w14:paraId="6B731314" w14:textId="6CD631D0"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82" w:history="1">
            <w:r w:rsidR="00460E92" w:rsidRPr="00E56E5C">
              <w:rPr>
                <w:rStyle w:val="Hyperlink"/>
                <w:noProof/>
              </w:rPr>
              <w:t>4.1</w:t>
            </w:r>
            <w:r w:rsidR="00460E92">
              <w:rPr>
                <w:rFonts w:asciiTheme="minorHAnsi" w:eastAsiaTheme="minorEastAsia" w:hAnsiTheme="minorHAnsi" w:cstheme="minorBidi"/>
                <w:noProof/>
                <w:sz w:val="22"/>
                <w:szCs w:val="22"/>
              </w:rPr>
              <w:tab/>
            </w:r>
            <w:r w:rsidR="00460E92" w:rsidRPr="00E56E5C">
              <w:rPr>
                <w:rStyle w:val="Hyperlink"/>
                <w:noProof/>
              </w:rPr>
              <w:t>Custodial Care of Youth</w:t>
            </w:r>
            <w:r w:rsidR="00460E92">
              <w:rPr>
                <w:noProof/>
                <w:webHidden/>
              </w:rPr>
              <w:tab/>
            </w:r>
            <w:r w:rsidR="00460E92">
              <w:rPr>
                <w:noProof/>
                <w:webHidden/>
              </w:rPr>
              <w:fldChar w:fldCharType="begin"/>
            </w:r>
            <w:r w:rsidR="00460E92">
              <w:rPr>
                <w:noProof/>
                <w:webHidden/>
              </w:rPr>
              <w:instrText xml:space="preserve"> PAGEREF _Toc531597482 \h </w:instrText>
            </w:r>
            <w:r w:rsidR="00460E92">
              <w:rPr>
                <w:noProof/>
                <w:webHidden/>
              </w:rPr>
            </w:r>
            <w:r w:rsidR="00460E92">
              <w:rPr>
                <w:noProof/>
                <w:webHidden/>
              </w:rPr>
              <w:fldChar w:fldCharType="separate"/>
            </w:r>
            <w:r w:rsidR="00460E92">
              <w:rPr>
                <w:noProof/>
                <w:webHidden/>
              </w:rPr>
              <w:t>12</w:t>
            </w:r>
            <w:r w:rsidR="00460E92">
              <w:rPr>
                <w:noProof/>
                <w:webHidden/>
              </w:rPr>
              <w:fldChar w:fldCharType="end"/>
            </w:r>
          </w:hyperlink>
        </w:p>
        <w:p w14:paraId="38AFDF47" w14:textId="4F4B27F2"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83" w:history="1">
            <w:r w:rsidR="00460E92" w:rsidRPr="00E56E5C">
              <w:rPr>
                <w:rStyle w:val="Hyperlink"/>
                <w:noProof/>
              </w:rPr>
              <w:t>4.2</w:t>
            </w:r>
            <w:r w:rsidR="00460E92">
              <w:rPr>
                <w:rFonts w:asciiTheme="minorHAnsi" w:eastAsiaTheme="minorEastAsia" w:hAnsiTheme="minorHAnsi" w:cstheme="minorBidi"/>
                <w:noProof/>
                <w:sz w:val="22"/>
                <w:szCs w:val="22"/>
              </w:rPr>
              <w:tab/>
            </w:r>
            <w:r w:rsidR="00460E92" w:rsidRPr="00E56E5C">
              <w:rPr>
                <w:rStyle w:val="Hyperlink"/>
                <w:noProof/>
                <w:shd w:val="clear" w:color="auto" w:fill="FFFFFF"/>
              </w:rPr>
              <w:t>Rehabilitation Model</w:t>
            </w:r>
            <w:r w:rsidR="00460E92">
              <w:rPr>
                <w:noProof/>
                <w:webHidden/>
              </w:rPr>
              <w:tab/>
            </w:r>
            <w:r w:rsidR="00460E92">
              <w:rPr>
                <w:noProof/>
                <w:webHidden/>
              </w:rPr>
              <w:fldChar w:fldCharType="begin"/>
            </w:r>
            <w:r w:rsidR="00460E92">
              <w:rPr>
                <w:noProof/>
                <w:webHidden/>
              </w:rPr>
              <w:instrText xml:space="preserve"> PAGEREF _Toc531597483 \h </w:instrText>
            </w:r>
            <w:r w:rsidR="00460E92">
              <w:rPr>
                <w:noProof/>
                <w:webHidden/>
              </w:rPr>
            </w:r>
            <w:r w:rsidR="00460E92">
              <w:rPr>
                <w:noProof/>
                <w:webHidden/>
              </w:rPr>
              <w:fldChar w:fldCharType="separate"/>
            </w:r>
            <w:r w:rsidR="00460E92">
              <w:rPr>
                <w:noProof/>
                <w:webHidden/>
              </w:rPr>
              <w:t>13</w:t>
            </w:r>
            <w:r w:rsidR="00460E92">
              <w:rPr>
                <w:noProof/>
                <w:webHidden/>
              </w:rPr>
              <w:fldChar w:fldCharType="end"/>
            </w:r>
          </w:hyperlink>
        </w:p>
        <w:p w14:paraId="4E1567C1" w14:textId="3529D9E3"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84" w:history="1">
            <w:r w:rsidR="00460E92" w:rsidRPr="00E56E5C">
              <w:rPr>
                <w:rStyle w:val="Hyperlink"/>
                <w:noProof/>
              </w:rPr>
              <w:t>4.2.2</w:t>
            </w:r>
            <w:r w:rsidR="00460E92">
              <w:rPr>
                <w:rFonts w:asciiTheme="minorHAnsi" w:eastAsiaTheme="minorEastAsia" w:hAnsiTheme="minorHAnsi" w:cstheme="minorBidi"/>
                <w:noProof/>
                <w:sz w:val="22"/>
                <w:szCs w:val="22"/>
              </w:rPr>
              <w:tab/>
            </w:r>
            <w:r w:rsidR="00460E92" w:rsidRPr="00E56E5C">
              <w:rPr>
                <w:rStyle w:val="Hyperlink"/>
                <w:noProof/>
              </w:rPr>
              <w:t>Primary Treatment</w:t>
            </w:r>
            <w:r w:rsidR="00460E92">
              <w:rPr>
                <w:noProof/>
                <w:webHidden/>
              </w:rPr>
              <w:tab/>
            </w:r>
            <w:r w:rsidR="00460E92">
              <w:rPr>
                <w:noProof/>
                <w:webHidden/>
              </w:rPr>
              <w:fldChar w:fldCharType="begin"/>
            </w:r>
            <w:r w:rsidR="00460E92">
              <w:rPr>
                <w:noProof/>
                <w:webHidden/>
              </w:rPr>
              <w:instrText xml:space="preserve"> PAGEREF _Toc531597484 \h </w:instrText>
            </w:r>
            <w:r w:rsidR="00460E92">
              <w:rPr>
                <w:noProof/>
                <w:webHidden/>
              </w:rPr>
            </w:r>
            <w:r w:rsidR="00460E92">
              <w:rPr>
                <w:noProof/>
                <w:webHidden/>
              </w:rPr>
              <w:fldChar w:fldCharType="separate"/>
            </w:r>
            <w:r w:rsidR="00460E92">
              <w:rPr>
                <w:noProof/>
                <w:webHidden/>
              </w:rPr>
              <w:t>14</w:t>
            </w:r>
            <w:r w:rsidR="00460E92">
              <w:rPr>
                <w:noProof/>
                <w:webHidden/>
              </w:rPr>
              <w:fldChar w:fldCharType="end"/>
            </w:r>
          </w:hyperlink>
        </w:p>
        <w:p w14:paraId="263A4376" w14:textId="180CB62E"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85" w:history="1">
            <w:r w:rsidR="00460E92" w:rsidRPr="00E56E5C">
              <w:rPr>
                <w:rStyle w:val="Hyperlink"/>
                <w:noProof/>
              </w:rPr>
              <w:t>4.2.3</w:t>
            </w:r>
            <w:r w:rsidR="00460E92">
              <w:rPr>
                <w:rFonts w:asciiTheme="minorHAnsi" w:eastAsiaTheme="minorEastAsia" w:hAnsiTheme="minorHAnsi" w:cstheme="minorBidi"/>
                <w:noProof/>
                <w:sz w:val="22"/>
                <w:szCs w:val="22"/>
              </w:rPr>
              <w:tab/>
            </w:r>
            <w:r w:rsidR="00460E92" w:rsidRPr="00E56E5C">
              <w:rPr>
                <w:rStyle w:val="Hyperlink"/>
                <w:noProof/>
              </w:rPr>
              <w:t>Key Programs and Services</w:t>
            </w:r>
            <w:r w:rsidR="00460E92">
              <w:rPr>
                <w:noProof/>
                <w:webHidden/>
              </w:rPr>
              <w:tab/>
            </w:r>
            <w:r w:rsidR="00460E92">
              <w:rPr>
                <w:noProof/>
                <w:webHidden/>
              </w:rPr>
              <w:fldChar w:fldCharType="begin"/>
            </w:r>
            <w:r w:rsidR="00460E92">
              <w:rPr>
                <w:noProof/>
                <w:webHidden/>
              </w:rPr>
              <w:instrText xml:space="preserve"> PAGEREF _Toc531597485 \h </w:instrText>
            </w:r>
            <w:r w:rsidR="00460E92">
              <w:rPr>
                <w:noProof/>
                <w:webHidden/>
              </w:rPr>
            </w:r>
            <w:r w:rsidR="00460E92">
              <w:rPr>
                <w:noProof/>
                <w:webHidden/>
              </w:rPr>
              <w:fldChar w:fldCharType="separate"/>
            </w:r>
            <w:r w:rsidR="00460E92">
              <w:rPr>
                <w:noProof/>
                <w:webHidden/>
              </w:rPr>
              <w:t>15</w:t>
            </w:r>
            <w:r w:rsidR="00460E92">
              <w:rPr>
                <w:noProof/>
                <w:webHidden/>
              </w:rPr>
              <w:fldChar w:fldCharType="end"/>
            </w:r>
          </w:hyperlink>
        </w:p>
        <w:p w14:paraId="243AD25F" w14:textId="1453DB87"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86" w:history="1">
            <w:r w:rsidR="00460E92" w:rsidRPr="00E56E5C">
              <w:rPr>
                <w:rStyle w:val="Hyperlink"/>
                <w:noProof/>
              </w:rPr>
              <w:t>4.2.4</w:t>
            </w:r>
            <w:r w:rsidR="00460E92">
              <w:rPr>
                <w:rFonts w:asciiTheme="minorHAnsi" w:eastAsiaTheme="minorEastAsia" w:hAnsiTheme="minorHAnsi" w:cstheme="minorBidi"/>
                <w:noProof/>
                <w:sz w:val="22"/>
                <w:szCs w:val="22"/>
              </w:rPr>
              <w:tab/>
            </w:r>
            <w:r w:rsidR="00460E92" w:rsidRPr="00E56E5C">
              <w:rPr>
                <w:rStyle w:val="Hyperlink"/>
                <w:noProof/>
              </w:rPr>
              <w:t>Reentry Planning and Services</w:t>
            </w:r>
            <w:r w:rsidR="00460E92">
              <w:rPr>
                <w:noProof/>
                <w:webHidden/>
              </w:rPr>
              <w:tab/>
            </w:r>
            <w:r w:rsidR="00460E92">
              <w:rPr>
                <w:noProof/>
                <w:webHidden/>
              </w:rPr>
              <w:fldChar w:fldCharType="begin"/>
            </w:r>
            <w:r w:rsidR="00460E92">
              <w:rPr>
                <w:noProof/>
                <w:webHidden/>
              </w:rPr>
              <w:instrText xml:space="preserve"> PAGEREF _Toc531597486 \h </w:instrText>
            </w:r>
            <w:r w:rsidR="00460E92">
              <w:rPr>
                <w:noProof/>
                <w:webHidden/>
              </w:rPr>
            </w:r>
            <w:r w:rsidR="00460E92">
              <w:rPr>
                <w:noProof/>
                <w:webHidden/>
              </w:rPr>
              <w:fldChar w:fldCharType="separate"/>
            </w:r>
            <w:r w:rsidR="00460E92">
              <w:rPr>
                <w:noProof/>
                <w:webHidden/>
              </w:rPr>
              <w:t>15</w:t>
            </w:r>
            <w:r w:rsidR="00460E92">
              <w:rPr>
                <w:noProof/>
                <w:webHidden/>
              </w:rPr>
              <w:fldChar w:fldCharType="end"/>
            </w:r>
          </w:hyperlink>
        </w:p>
        <w:p w14:paraId="7FA54B71" w14:textId="197F1F28"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87" w:history="1">
            <w:r w:rsidR="00460E92" w:rsidRPr="00E56E5C">
              <w:rPr>
                <w:rStyle w:val="Hyperlink"/>
                <w:noProof/>
              </w:rPr>
              <w:t>4.3</w:t>
            </w:r>
            <w:r w:rsidR="00460E92">
              <w:rPr>
                <w:rFonts w:asciiTheme="minorHAnsi" w:eastAsiaTheme="minorEastAsia" w:hAnsiTheme="minorHAnsi" w:cstheme="minorBidi"/>
                <w:noProof/>
                <w:sz w:val="22"/>
                <w:szCs w:val="22"/>
              </w:rPr>
              <w:tab/>
            </w:r>
            <w:r w:rsidR="00460E92" w:rsidRPr="00E56E5C">
              <w:rPr>
                <w:rStyle w:val="Hyperlink"/>
                <w:noProof/>
              </w:rPr>
              <w:t>Population Served</w:t>
            </w:r>
            <w:r w:rsidR="00460E92">
              <w:rPr>
                <w:noProof/>
                <w:webHidden/>
              </w:rPr>
              <w:tab/>
            </w:r>
            <w:r w:rsidR="00460E92">
              <w:rPr>
                <w:noProof/>
                <w:webHidden/>
              </w:rPr>
              <w:fldChar w:fldCharType="begin"/>
            </w:r>
            <w:r w:rsidR="00460E92">
              <w:rPr>
                <w:noProof/>
                <w:webHidden/>
              </w:rPr>
              <w:instrText xml:space="preserve"> PAGEREF _Toc531597487 \h </w:instrText>
            </w:r>
            <w:r w:rsidR="00460E92">
              <w:rPr>
                <w:noProof/>
                <w:webHidden/>
              </w:rPr>
            </w:r>
            <w:r w:rsidR="00460E92">
              <w:rPr>
                <w:noProof/>
                <w:webHidden/>
              </w:rPr>
              <w:fldChar w:fldCharType="separate"/>
            </w:r>
            <w:r w:rsidR="00460E92">
              <w:rPr>
                <w:noProof/>
                <w:webHidden/>
              </w:rPr>
              <w:t>17</w:t>
            </w:r>
            <w:r w:rsidR="00460E92">
              <w:rPr>
                <w:noProof/>
                <w:webHidden/>
              </w:rPr>
              <w:fldChar w:fldCharType="end"/>
            </w:r>
          </w:hyperlink>
        </w:p>
        <w:p w14:paraId="034C3274" w14:textId="1A6D6247" w:rsidR="00460E92" w:rsidRDefault="00320DFB">
          <w:pPr>
            <w:pStyle w:val="TOC1"/>
            <w:tabs>
              <w:tab w:val="left" w:pos="440"/>
            </w:tabs>
            <w:rPr>
              <w:rFonts w:asciiTheme="minorHAnsi" w:eastAsiaTheme="minorEastAsia" w:hAnsiTheme="minorHAnsi" w:cstheme="minorBidi"/>
              <w:noProof/>
              <w:sz w:val="22"/>
              <w:szCs w:val="22"/>
            </w:rPr>
          </w:pPr>
          <w:hyperlink w:anchor="_Toc531597488" w:history="1">
            <w:r w:rsidR="00460E92" w:rsidRPr="00E56E5C">
              <w:rPr>
                <w:rStyle w:val="Hyperlink"/>
                <w:noProof/>
              </w:rPr>
              <w:t>5</w:t>
            </w:r>
            <w:r w:rsidR="00460E92">
              <w:rPr>
                <w:rFonts w:asciiTheme="minorHAnsi" w:eastAsiaTheme="minorEastAsia" w:hAnsiTheme="minorHAnsi" w:cstheme="minorBidi"/>
                <w:noProof/>
                <w:sz w:val="22"/>
                <w:szCs w:val="22"/>
              </w:rPr>
              <w:tab/>
            </w:r>
            <w:r w:rsidR="00460E92" w:rsidRPr="00E56E5C">
              <w:rPr>
                <w:rStyle w:val="Hyperlink"/>
                <w:noProof/>
              </w:rPr>
              <w:t>Key Findings</w:t>
            </w:r>
            <w:r w:rsidR="00460E92">
              <w:rPr>
                <w:noProof/>
                <w:webHidden/>
              </w:rPr>
              <w:tab/>
            </w:r>
            <w:r w:rsidR="00460E92">
              <w:rPr>
                <w:noProof/>
                <w:webHidden/>
              </w:rPr>
              <w:fldChar w:fldCharType="begin"/>
            </w:r>
            <w:r w:rsidR="00460E92">
              <w:rPr>
                <w:noProof/>
                <w:webHidden/>
              </w:rPr>
              <w:instrText xml:space="preserve"> PAGEREF _Toc531597488 \h </w:instrText>
            </w:r>
            <w:r w:rsidR="00460E92">
              <w:rPr>
                <w:noProof/>
                <w:webHidden/>
              </w:rPr>
            </w:r>
            <w:r w:rsidR="00460E92">
              <w:rPr>
                <w:noProof/>
                <w:webHidden/>
              </w:rPr>
              <w:fldChar w:fldCharType="separate"/>
            </w:r>
            <w:r w:rsidR="00460E92">
              <w:rPr>
                <w:noProof/>
                <w:webHidden/>
              </w:rPr>
              <w:t>18</w:t>
            </w:r>
            <w:r w:rsidR="00460E92">
              <w:rPr>
                <w:noProof/>
                <w:webHidden/>
              </w:rPr>
              <w:fldChar w:fldCharType="end"/>
            </w:r>
          </w:hyperlink>
        </w:p>
        <w:p w14:paraId="1D383E1F" w14:textId="1ACA6633"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89" w:history="1">
            <w:r w:rsidR="00460E92" w:rsidRPr="00E56E5C">
              <w:rPr>
                <w:rStyle w:val="Hyperlink"/>
                <w:noProof/>
              </w:rPr>
              <w:t>5.1</w:t>
            </w:r>
            <w:r w:rsidR="00460E92">
              <w:rPr>
                <w:rFonts w:asciiTheme="minorHAnsi" w:eastAsiaTheme="minorEastAsia" w:hAnsiTheme="minorHAnsi" w:cstheme="minorBidi"/>
                <w:noProof/>
                <w:sz w:val="22"/>
                <w:szCs w:val="22"/>
              </w:rPr>
              <w:tab/>
            </w:r>
            <w:r w:rsidR="00460E92" w:rsidRPr="00E56E5C">
              <w:rPr>
                <w:rStyle w:val="Hyperlink"/>
                <w:noProof/>
              </w:rPr>
              <w:t>Fidelity to the Rehabilitation Model</w:t>
            </w:r>
            <w:r w:rsidR="00460E92">
              <w:rPr>
                <w:noProof/>
                <w:webHidden/>
              </w:rPr>
              <w:tab/>
            </w:r>
            <w:r w:rsidR="00460E92">
              <w:rPr>
                <w:noProof/>
                <w:webHidden/>
              </w:rPr>
              <w:fldChar w:fldCharType="begin"/>
            </w:r>
            <w:r w:rsidR="00460E92">
              <w:rPr>
                <w:noProof/>
                <w:webHidden/>
              </w:rPr>
              <w:instrText xml:space="preserve"> PAGEREF _Toc531597489 \h </w:instrText>
            </w:r>
            <w:r w:rsidR="00460E92">
              <w:rPr>
                <w:noProof/>
                <w:webHidden/>
              </w:rPr>
            </w:r>
            <w:r w:rsidR="00460E92">
              <w:rPr>
                <w:noProof/>
                <w:webHidden/>
              </w:rPr>
              <w:fldChar w:fldCharType="separate"/>
            </w:r>
            <w:r w:rsidR="00460E92">
              <w:rPr>
                <w:noProof/>
                <w:webHidden/>
              </w:rPr>
              <w:t>19</w:t>
            </w:r>
            <w:r w:rsidR="00460E92">
              <w:rPr>
                <w:noProof/>
                <w:webHidden/>
              </w:rPr>
              <w:fldChar w:fldCharType="end"/>
            </w:r>
          </w:hyperlink>
        </w:p>
        <w:p w14:paraId="11B3E4AA" w14:textId="3FB4162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0" w:history="1">
            <w:r w:rsidR="00460E92" w:rsidRPr="00E56E5C">
              <w:rPr>
                <w:rStyle w:val="Hyperlink"/>
                <w:noProof/>
              </w:rPr>
              <w:t>5.1.1</w:t>
            </w:r>
            <w:r w:rsidR="00460E92">
              <w:rPr>
                <w:rFonts w:asciiTheme="minorHAnsi" w:eastAsiaTheme="minorEastAsia" w:hAnsiTheme="minorHAnsi" w:cstheme="minorBidi"/>
                <w:noProof/>
                <w:sz w:val="22"/>
                <w:szCs w:val="22"/>
              </w:rPr>
              <w:tab/>
            </w:r>
            <w:r w:rsidR="00460E92" w:rsidRPr="00E56E5C">
              <w:rPr>
                <w:rStyle w:val="Hyperlink"/>
                <w:noProof/>
              </w:rPr>
              <w:t>Primary Treatment</w:t>
            </w:r>
            <w:r w:rsidR="00460E92">
              <w:rPr>
                <w:noProof/>
                <w:webHidden/>
              </w:rPr>
              <w:tab/>
            </w:r>
            <w:r w:rsidR="00460E92">
              <w:rPr>
                <w:noProof/>
                <w:webHidden/>
              </w:rPr>
              <w:fldChar w:fldCharType="begin"/>
            </w:r>
            <w:r w:rsidR="00460E92">
              <w:rPr>
                <w:noProof/>
                <w:webHidden/>
              </w:rPr>
              <w:instrText xml:space="preserve"> PAGEREF _Toc531597490 \h </w:instrText>
            </w:r>
            <w:r w:rsidR="00460E92">
              <w:rPr>
                <w:noProof/>
                <w:webHidden/>
              </w:rPr>
            </w:r>
            <w:r w:rsidR="00460E92">
              <w:rPr>
                <w:noProof/>
                <w:webHidden/>
              </w:rPr>
              <w:fldChar w:fldCharType="separate"/>
            </w:r>
            <w:r w:rsidR="00460E92">
              <w:rPr>
                <w:noProof/>
                <w:webHidden/>
              </w:rPr>
              <w:t>19</w:t>
            </w:r>
            <w:r w:rsidR="00460E92">
              <w:rPr>
                <w:noProof/>
                <w:webHidden/>
              </w:rPr>
              <w:fldChar w:fldCharType="end"/>
            </w:r>
          </w:hyperlink>
        </w:p>
        <w:p w14:paraId="3D57F71E" w14:textId="76B0EAC5"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1" w:history="1">
            <w:r w:rsidR="00460E92" w:rsidRPr="00E56E5C">
              <w:rPr>
                <w:rStyle w:val="Hyperlink"/>
                <w:noProof/>
              </w:rPr>
              <w:t>5.1.2</w:t>
            </w:r>
            <w:r w:rsidR="00460E92">
              <w:rPr>
                <w:rFonts w:asciiTheme="minorHAnsi" w:eastAsiaTheme="minorEastAsia" w:hAnsiTheme="minorHAnsi" w:cstheme="minorBidi"/>
                <w:noProof/>
                <w:sz w:val="22"/>
                <w:szCs w:val="22"/>
              </w:rPr>
              <w:tab/>
            </w:r>
            <w:r w:rsidR="00460E92" w:rsidRPr="00E56E5C">
              <w:rPr>
                <w:rStyle w:val="Hyperlink"/>
                <w:noProof/>
              </w:rPr>
              <w:t>Key Programs and Services</w:t>
            </w:r>
            <w:r w:rsidR="00460E92">
              <w:rPr>
                <w:noProof/>
                <w:webHidden/>
              </w:rPr>
              <w:tab/>
            </w:r>
            <w:r w:rsidR="00460E92">
              <w:rPr>
                <w:noProof/>
                <w:webHidden/>
              </w:rPr>
              <w:fldChar w:fldCharType="begin"/>
            </w:r>
            <w:r w:rsidR="00460E92">
              <w:rPr>
                <w:noProof/>
                <w:webHidden/>
              </w:rPr>
              <w:instrText xml:space="preserve"> PAGEREF _Toc531597491 \h </w:instrText>
            </w:r>
            <w:r w:rsidR="00460E92">
              <w:rPr>
                <w:noProof/>
                <w:webHidden/>
              </w:rPr>
            </w:r>
            <w:r w:rsidR="00460E92">
              <w:rPr>
                <w:noProof/>
                <w:webHidden/>
              </w:rPr>
              <w:fldChar w:fldCharType="separate"/>
            </w:r>
            <w:r w:rsidR="00460E92">
              <w:rPr>
                <w:noProof/>
                <w:webHidden/>
              </w:rPr>
              <w:t>23</w:t>
            </w:r>
            <w:r w:rsidR="00460E92">
              <w:rPr>
                <w:noProof/>
                <w:webHidden/>
              </w:rPr>
              <w:fldChar w:fldCharType="end"/>
            </w:r>
          </w:hyperlink>
        </w:p>
        <w:p w14:paraId="72B01DED" w14:textId="563E532C"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2" w:history="1">
            <w:r w:rsidR="00460E92" w:rsidRPr="00E56E5C">
              <w:rPr>
                <w:rStyle w:val="Hyperlink"/>
                <w:noProof/>
              </w:rPr>
              <w:t>5.1.3</w:t>
            </w:r>
            <w:r w:rsidR="00460E92">
              <w:rPr>
                <w:rFonts w:asciiTheme="minorHAnsi" w:eastAsiaTheme="minorEastAsia" w:hAnsiTheme="minorHAnsi" w:cstheme="minorBidi"/>
                <w:noProof/>
                <w:sz w:val="22"/>
                <w:szCs w:val="22"/>
              </w:rPr>
              <w:tab/>
            </w:r>
            <w:r w:rsidR="00460E92" w:rsidRPr="00E56E5C">
              <w:rPr>
                <w:rStyle w:val="Hyperlink"/>
                <w:noProof/>
              </w:rPr>
              <w:t>Reentry Planning and Services</w:t>
            </w:r>
            <w:r w:rsidR="00460E92">
              <w:rPr>
                <w:noProof/>
                <w:webHidden/>
              </w:rPr>
              <w:tab/>
            </w:r>
            <w:r w:rsidR="00460E92">
              <w:rPr>
                <w:noProof/>
                <w:webHidden/>
              </w:rPr>
              <w:fldChar w:fldCharType="begin"/>
            </w:r>
            <w:r w:rsidR="00460E92">
              <w:rPr>
                <w:noProof/>
                <w:webHidden/>
              </w:rPr>
              <w:instrText xml:space="preserve"> PAGEREF _Toc531597492 \h </w:instrText>
            </w:r>
            <w:r w:rsidR="00460E92">
              <w:rPr>
                <w:noProof/>
                <w:webHidden/>
              </w:rPr>
            </w:r>
            <w:r w:rsidR="00460E92">
              <w:rPr>
                <w:noProof/>
                <w:webHidden/>
              </w:rPr>
              <w:fldChar w:fldCharType="separate"/>
            </w:r>
            <w:r w:rsidR="00460E92">
              <w:rPr>
                <w:noProof/>
                <w:webHidden/>
              </w:rPr>
              <w:t>23</w:t>
            </w:r>
            <w:r w:rsidR="00460E92">
              <w:rPr>
                <w:noProof/>
                <w:webHidden/>
              </w:rPr>
              <w:fldChar w:fldCharType="end"/>
            </w:r>
          </w:hyperlink>
        </w:p>
        <w:p w14:paraId="6978F9BE" w14:textId="7B3E4289"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493" w:history="1">
            <w:r w:rsidR="00460E92" w:rsidRPr="00E56E5C">
              <w:rPr>
                <w:rStyle w:val="Hyperlink"/>
                <w:noProof/>
              </w:rPr>
              <w:t>5.2</w:t>
            </w:r>
            <w:r w:rsidR="00460E92">
              <w:rPr>
                <w:rFonts w:asciiTheme="minorHAnsi" w:eastAsiaTheme="minorEastAsia" w:hAnsiTheme="minorHAnsi" w:cstheme="minorBidi"/>
                <w:noProof/>
                <w:sz w:val="22"/>
                <w:szCs w:val="22"/>
              </w:rPr>
              <w:tab/>
            </w:r>
            <w:r w:rsidR="00460E92" w:rsidRPr="00E56E5C">
              <w:rPr>
                <w:rStyle w:val="Hyperlink"/>
                <w:noProof/>
              </w:rPr>
              <w:t>Staffing Challenges</w:t>
            </w:r>
            <w:r w:rsidR="00460E92">
              <w:rPr>
                <w:noProof/>
                <w:webHidden/>
              </w:rPr>
              <w:tab/>
            </w:r>
            <w:r w:rsidR="00460E92">
              <w:rPr>
                <w:noProof/>
                <w:webHidden/>
              </w:rPr>
              <w:fldChar w:fldCharType="begin"/>
            </w:r>
            <w:r w:rsidR="00460E92">
              <w:rPr>
                <w:noProof/>
                <w:webHidden/>
              </w:rPr>
              <w:instrText xml:space="preserve"> PAGEREF _Toc531597493 \h </w:instrText>
            </w:r>
            <w:r w:rsidR="00460E92">
              <w:rPr>
                <w:noProof/>
                <w:webHidden/>
              </w:rPr>
            </w:r>
            <w:r w:rsidR="00460E92">
              <w:rPr>
                <w:noProof/>
                <w:webHidden/>
              </w:rPr>
              <w:fldChar w:fldCharType="separate"/>
            </w:r>
            <w:r w:rsidR="00460E92">
              <w:rPr>
                <w:noProof/>
                <w:webHidden/>
              </w:rPr>
              <w:t>23</w:t>
            </w:r>
            <w:r w:rsidR="00460E92">
              <w:rPr>
                <w:noProof/>
                <w:webHidden/>
              </w:rPr>
              <w:fldChar w:fldCharType="end"/>
            </w:r>
          </w:hyperlink>
        </w:p>
        <w:p w14:paraId="6111D68C" w14:textId="34DB3A76"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4" w:history="1">
            <w:r w:rsidR="00460E92" w:rsidRPr="00E56E5C">
              <w:rPr>
                <w:rStyle w:val="Hyperlink"/>
                <w:noProof/>
              </w:rPr>
              <w:t>5.2.1</w:t>
            </w:r>
            <w:r w:rsidR="00460E92">
              <w:rPr>
                <w:rFonts w:asciiTheme="minorHAnsi" w:eastAsiaTheme="minorEastAsia" w:hAnsiTheme="minorHAnsi" w:cstheme="minorBidi"/>
                <w:noProof/>
                <w:sz w:val="22"/>
                <w:szCs w:val="22"/>
              </w:rPr>
              <w:tab/>
            </w:r>
            <w:r w:rsidR="00460E92" w:rsidRPr="00E56E5C">
              <w:rPr>
                <w:rStyle w:val="Hyperlink"/>
                <w:noProof/>
              </w:rPr>
              <w:t>Adequacy of Staffing Levels</w:t>
            </w:r>
            <w:r w:rsidR="00460E92">
              <w:rPr>
                <w:noProof/>
                <w:webHidden/>
              </w:rPr>
              <w:tab/>
            </w:r>
            <w:r w:rsidR="00460E92">
              <w:rPr>
                <w:noProof/>
                <w:webHidden/>
              </w:rPr>
              <w:fldChar w:fldCharType="begin"/>
            </w:r>
            <w:r w:rsidR="00460E92">
              <w:rPr>
                <w:noProof/>
                <w:webHidden/>
              </w:rPr>
              <w:instrText xml:space="preserve"> PAGEREF _Toc531597494 \h </w:instrText>
            </w:r>
            <w:r w:rsidR="00460E92">
              <w:rPr>
                <w:noProof/>
                <w:webHidden/>
              </w:rPr>
            </w:r>
            <w:r w:rsidR="00460E92">
              <w:rPr>
                <w:noProof/>
                <w:webHidden/>
              </w:rPr>
              <w:fldChar w:fldCharType="separate"/>
            </w:r>
            <w:r w:rsidR="00460E92">
              <w:rPr>
                <w:noProof/>
                <w:webHidden/>
              </w:rPr>
              <w:t>24</w:t>
            </w:r>
            <w:r w:rsidR="00460E92">
              <w:rPr>
                <w:noProof/>
                <w:webHidden/>
              </w:rPr>
              <w:fldChar w:fldCharType="end"/>
            </w:r>
          </w:hyperlink>
        </w:p>
        <w:p w14:paraId="0460A19D" w14:textId="7323A84C"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5" w:history="1">
            <w:r w:rsidR="00460E92" w:rsidRPr="00E56E5C">
              <w:rPr>
                <w:rStyle w:val="Hyperlink"/>
                <w:noProof/>
              </w:rPr>
              <w:t>5.2.2</w:t>
            </w:r>
            <w:r w:rsidR="00460E92">
              <w:rPr>
                <w:rFonts w:asciiTheme="minorHAnsi" w:eastAsiaTheme="minorEastAsia" w:hAnsiTheme="minorHAnsi" w:cstheme="minorBidi"/>
                <w:noProof/>
                <w:sz w:val="22"/>
                <w:szCs w:val="22"/>
              </w:rPr>
              <w:tab/>
            </w:r>
            <w:r w:rsidR="00460E92" w:rsidRPr="00E56E5C">
              <w:rPr>
                <w:rStyle w:val="Hyperlink"/>
                <w:noProof/>
              </w:rPr>
              <w:t>Time Spent by Counselors</w:t>
            </w:r>
            <w:r w:rsidR="00460E92">
              <w:rPr>
                <w:noProof/>
                <w:webHidden/>
              </w:rPr>
              <w:tab/>
            </w:r>
            <w:r w:rsidR="00460E92">
              <w:rPr>
                <w:noProof/>
                <w:webHidden/>
              </w:rPr>
              <w:fldChar w:fldCharType="begin"/>
            </w:r>
            <w:r w:rsidR="00460E92">
              <w:rPr>
                <w:noProof/>
                <w:webHidden/>
              </w:rPr>
              <w:instrText xml:space="preserve"> PAGEREF _Toc531597495 \h </w:instrText>
            </w:r>
            <w:r w:rsidR="00460E92">
              <w:rPr>
                <w:noProof/>
                <w:webHidden/>
              </w:rPr>
            </w:r>
            <w:r w:rsidR="00460E92">
              <w:rPr>
                <w:noProof/>
                <w:webHidden/>
              </w:rPr>
              <w:fldChar w:fldCharType="separate"/>
            </w:r>
            <w:r w:rsidR="00460E92">
              <w:rPr>
                <w:noProof/>
                <w:webHidden/>
              </w:rPr>
              <w:t>25</w:t>
            </w:r>
            <w:r w:rsidR="00460E92">
              <w:rPr>
                <w:noProof/>
                <w:webHidden/>
              </w:rPr>
              <w:fldChar w:fldCharType="end"/>
            </w:r>
          </w:hyperlink>
        </w:p>
        <w:p w14:paraId="0A24B4F8" w14:textId="01AD2867"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6" w:history="1">
            <w:r w:rsidR="00460E92" w:rsidRPr="00E56E5C">
              <w:rPr>
                <w:rStyle w:val="Hyperlink"/>
                <w:noProof/>
              </w:rPr>
              <w:t>5.2.3</w:t>
            </w:r>
            <w:r w:rsidR="00460E92">
              <w:rPr>
                <w:rFonts w:asciiTheme="minorHAnsi" w:eastAsiaTheme="minorEastAsia" w:hAnsiTheme="minorHAnsi" w:cstheme="minorBidi"/>
                <w:noProof/>
                <w:sz w:val="22"/>
                <w:szCs w:val="22"/>
              </w:rPr>
              <w:tab/>
            </w:r>
            <w:r w:rsidR="00460E92" w:rsidRPr="00E56E5C">
              <w:rPr>
                <w:rStyle w:val="Hyperlink"/>
                <w:noProof/>
              </w:rPr>
              <w:t>Overtime</w:t>
            </w:r>
            <w:r w:rsidR="00460E92">
              <w:rPr>
                <w:noProof/>
                <w:webHidden/>
              </w:rPr>
              <w:tab/>
            </w:r>
            <w:r w:rsidR="00460E92">
              <w:rPr>
                <w:noProof/>
                <w:webHidden/>
              </w:rPr>
              <w:fldChar w:fldCharType="begin"/>
            </w:r>
            <w:r w:rsidR="00460E92">
              <w:rPr>
                <w:noProof/>
                <w:webHidden/>
              </w:rPr>
              <w:instrText xml:space="preserve"> PAGEREF _Toc531597496 \h </w:instrText>
            </w:r>
            <w:r w:rsidR="00460E92">
              <w:rPr>
                <w:noProof/>
                <w:webHidden/>
              </w:rPr>
            </w:r>
            <w:r w:rsidR="00460E92">
              <w:rPr>
                <w:noProof/>
                <w:webHidden/>
              </w:rPr>
              <w:fldChar w:fldCharType="separate"/>
            </w:r>
            <w:r w:rsidR="00460E92">
              <w:rPr>
                <w:noProof/>
                <w:webHidden/>
              </w:rPr>
              <w:t>29</w:t>
            </w:r>
            <w:r w:rsidR="00460E92">
              <w:rPr>
                <w:noProof/>
                <w:webHidden/>
              </w:rPr>
              <w:fldChar w:fldCharType="end"/>
            </w:r>
          </w:hyperlink>
        </w:p>
        <w:p w14:paraId="3D3F32A9" w14:textId="31959212"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7" w:history="1">
            <w:r w:rsidR="00460E92" w:rsidRPr="00E56E5C">
              <w:rPr>
                <w:rStyle w:val="Hyperlink"/>
                <w:noProof/>
              </w:rPr>
              <w:t>5.2.4</w:t>
            </w:r>
            <w:r w:rsidR="00460E92">
              <w:rPr>
                <w:rFonts w:asciiTheme="minorHAnsi" w:eastAsiaTheme="minorEastAsia" w:hAnsiTheme="minorHAnsi" w:cstheme="minorBidi"/>
                <w:noProof/>
                <w:sz w:val="22"/>
                <w:szCs w:val="22"/>
              </w:rPr>
              <w:tab/>
            </w:r>
            <w:r w:rsidR="00460E92" w:rsidRPr="00E56E5C">
              <w:rPr>
                <w:rStyle w:val="Hyperlink"/>
                <w:noProof/>
              </w:rPr>
              <w:t>On-call Staff Usage</w:t>
            </w:r>
            <w:r w:rsidR="00460E92">
              <w:rPr>
                <w:noProof/>
                <w:webHidden/>
              </w:rPr>
              <w:tab/>
            </w:r>
            <w:r w:rsidR="00460E92">
              <w:rPr>
                <w:noProof/>
                <w:webHidden/>
              </w:rPr>
              <w:fldChar w:fldCharType="begin"/>
            </w:r>
            <w:r w:rsidR="00460E92">
              <w:rPr>
                <w:noProof/>
                <w:webHidden/>
              </w:rPr>
              <w:instrText xml:space="preserve"> PAGEREF _Toc531597497 \h </w:instrText>
            </w:r>
            <w:r w:rsidR="00460E92">
              <w:rPr>
                <w:noProof/>
                <w:webHidden/>
              </w:rPr>
            </w:r>
            <w:r w:rsidR="00460E92">
              <w:rPr>
                <w:noProof/>
                <w:webHidden/>
              </w:rPr>
              <w:fldChar w:fldCharType="separate"/>
            </w:r>
            <w:r w:rsidR="00460E92">
              <w:rPr>
                <w:noProof/>
                <w:webHidden/>
              </w:rPr>
              <w:t>32</w:t>
            </w:r>
            <w:r w:rsidR="00460E92">
              <w:rPr>
                <w:noProof/>
                <w:webHidden/>
              </w:rPr>
              <w:fldChar w:fldCharType="end"/>
            </w:r>
          </w:hyperlink>
        </w:p>
        <w:p w14:paraId="3C874973" w14:textId="6A661B35"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8" w:history="1">
            <w:r w:rsidR="00460E92" w:rsidRPr="00E56E5C">
              <w:rPr>
                <w:rStyle w:val="Hyperlink"/>
                <w:noProof/>
              </w:rPr>
              <w:t>5.2.5</w:t>
            </w:r>
            <w:r w:rsidR="00460E92">
              <w:rPr>
                <w:rFonts w:asciiTheme="minorHAnsi" w:eastAsiaTheme="minorEastAsia" w:hAnsiTheme="minorHAnsi" w:cstheme="minorBidi"/>
                <w:noProof/>
                <w:sz w:val="22"/>
                <w:szCs w:val="22"/>
              </w:rPr>
              <w:tab/>
            </w:r>
            <w:r w:rsidR="00460E92" w:rsidRPr="00E56E5C">
              <w:rPr>
                <w:rStyle w:val="Hyperlink"/>
                <w:noProof/>
              </w:rPr>
              <w:t>Case Management</w:t>
            </w:r>
            <w:r w:rsidR="00460E92">
              <w:rPr>
                <w:noProof/>
                <w:webHidden/>
              </w:rPr>
              <w:tab/>
            </w:r>
            <w:r w:rsidR="00460E92">
              <w:rPr>
                <w:noProof/>
                <w:webHidden/>
              </w:rPr>
              <w:fldChar w:fldCharType="begin"/>
            </w:r>
            <w:r w:rsidR="00460E92">
              <w:rPr>
                <w:noProof/>
                <w:webHidden/>
              </w:rPr>
              <w:instrText xml:space="preserve"> PAGEREF _Toc531597498 \h </w:instrText>
            </w:r>
            <w:r w:rsidR="00460E92">
              <w:rPr>
                <w:noProof/>
                <w:webHidden/>
              </w:rPr>
            </w:r>
            <w:r w:rsidR="00460E92">
              <w:rPr>
                <w:noProof/>
                <w:webHidden/>
              </w:rPr>
              <w:fldChar w:fldCharType="separate"/>
            </w:r>
            <w:r w:rsidR="00460E92">
              <w:rPr>
                <w:noProof/>
                <w:webHidden/>
              </w:rPr>
              <w:t>35</w:t>
            </w:r>
            <w:r w:rsidR="00460E92">
              <w:rPr>
                <w:noProof/>
                <w:webHidden/>
              </w:rPr>
              <w:fldChar w:fldCharType="end"/>
            </w:r>
          </w:hyperlink>
        </w:p>
        <w:p w14:paraId="2D198244" w14:textId="2C07C644"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499" w:history="1">
            <w:r w:rsidR="00460E92" w:rsidRPr="00E56E5C">
              <w:rPr>
                <w:rStyle w:val="Hyperlink"/>
                <w:noProof/>
              </w:rPr>
              <w:t>5.2.6</w:t>
            </w:r>
            <w:r w:rsidR="00460E92">
              <w:rPr>
                <w:rFonts w:asciiTheme="minorHAnsi" w:eastAsiaTheme="minorEastAsia" w:hAnsiTheme="minorHAnsi" w:cstheme="minorBidi"/>
                <w:noProof/>
                <w:sz w:val="22"/>
                <w:szCs w:val="22"/>
              </w:rPr>
              <w:tab/>
            </w:r>
            <w:r w:rsidR="00460E92" w:rsidRPr="00E56E5C">
              <w:rPr>
                <w:rStyle w:val="Hyperlink"/>
                <w:noProof/>
              </w:rPr>
              <w:t>Caseloads</w:t>
            </w:r>
            <w:r w:rsidR="00460E92">
              <w:rPr>
                <w:noProof/>
                <w:webHidden/>
              </w:rPr>
              <w:tab/>
            </w:r>
            <w:r w:rsidR="00460E92">
              <w:rPr>
                <w:noProof/>
                <w:webHidden/>
              </w:rPr>
              <w:fldChar w:fldCharType="begin"/>
            </w:r>
            <w:r w:rsidR="00460E92">
              <w:rPr>
                <w:noProof/>
                <w:webHidden/>
              </w:rPr>
              <w:instrText xml:space="preserve"> PAGEREF _Toc531597499 \h </w:instrText>
            </w:r>
            <w:r w:rsidR="00460E92">
              <w:rPr>
                <w:noProof/>
                <w:webHidden/>
              </w:rPr>
            </w:r>
            <w:r w:rsidR="00460E92">
              <w:rPr>
                <w:noProof/>
                <w:webHidden/>
              </w:rPr>
              <w:fldChar w:fldCharType="separate"/>
            </w:r>
            <w:r w:rsidR="00460E92">
              <w:rPr>
                <w:noProof/>
                <w:webHidden/>
              </w:rPr>
              <w:t>37</w:t>
            </w:r>
            <w:r w:rsidR="00460E92">
              <w:rPr>
                <w:noProof/>
                <w:webHidden/>
              </w:rPr>
              <w:fldChar w:fldCharType="end"/>
            </w:r>
          </w:hyperlink>
        </w:p>
        <w:p w14:paraId="46A73B1A" w14:textId="5AC1395E"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0" w:history="1">
            <w:r w:rsidR="00460E92" w:rsidRPr="00E56E5C">
              <w:rPr>
                <w:rStyle w:val="Hyperlink"/>
                <w:noProof/>
              </w:rPr>
              <w:t>5.2.7</w:t>
            </w:r>
            <w:r w:rsidR="00460E92">
              <w:rPr>
                <w:rFonts w:asciiTheme="minorHAnsi" w:eastAsiaTheme="minorEastAsia" w:hAnsiTheme="minorHAnsi" w:cstheme="minorBidi"/>
                <w:noProof/>
                <w:sz w:val="22"/>
                <w:szCs w:val="22"/>
              </w:rPr>
              <w:tab/>
            </w:r>
            <w:r w:rsidR="00460E92" w:rsidRPr="00E56E5C">
              <w:rPr>
                <w:rStyle w:val="Hyperlink"/>
                <w:noProof/>
              </w:rPr>
              <w:t>Supervision</w:t>
            </w:r>
            <w:r w:rsidR="00460E92">
              <w:rPr>
                <w:noProof/>
                <w:webHidden/>
              </w:rPr>
              <w:tab/>
            </w:r>
            <w:r w:rsidR="00460E92">
              <w:rPr>
                <w:noProof/>
                <w:webHidden/>
              </w:rPr>
              <w:fldChar w:fldCharType="begin"/>
            </w:r>
            <w:r w:rsidR="00460E92">
              <w:rPr>
                <w:noProof/>
                <w:webHidden/>
              </w:rPr>
              <w:instrText xml:space="preserve"> PAGEREF _Toc531597500 \h </w:instrText>
            </w:r>
            <w:r w:rsidR="00460E92">
              <w:rPr>
                <w:noProof/>
                <w:webHidden/>
              </w:rPr>
            </w:r>
            <w:r w:rsidR="00460E92">
              <w:rPr>
                <w:noProof/>
                <w:webHidden/>
              </w:rPr>
              <w:fldChar w:fldCharType="separate"/>
            </w:r>
            <w:r w:rsidR="00460E92">
              <w:rPr>
                <w:noProof/>
                <w:webHidden/>
              </w:rPr>
              <w:t>39</w:t>
            </w:r>
            <w:r w:rsidR="00460E92">
              <w:rPr>
                <w:noProof/>
                <w:webHidden/>
              </w:rPr>
              <w:fldChar w:fldCharType="end"/>
            </w:r>
          </w:hyperlink>
        </w:p>
        <w:p w14:paraId="18932A77" w14:textId="712380B3"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1" w:history="1">
            <w:r w:rsidR="00460E92" w:rsidRPr="00E56E5C">
              <w:rPr>
                <w:rStyle w:val="Hyperlink"/>
                <w:noProof/>
              </w:rPr>
              <w:t>5.2.8</w:t>
            </w:r>
            <w:r w:rsidR="00460E92">
              <w:rPr>
                <w:rFonts w:asciiTheme="minorHAnsi" w:eastAsiaTheme="minorEastAsia" w:hAnsiTheme="minorHAnsi" w:cstheme="minorBidi"/>
                <w:noProof/>
                <w:sz w:val="22"/>
                <w:szCs w:val="22"/>
              </w:rPr>
              <w:tab/>
            </w:r>
            <w:r w:rsidR="00460E92" w:rsidRPr="00E56E5C">
              <w:rPr>
                <w:rStyle w:val="Hyperlink"/>
                <w:noProof/>
              </w:rPr>
              <w:t>Training &amp; Professional Development</w:t>
            </w:r>
            <w:r w:rsidR="00460E92">
              <w:rPr>
                <w:noProof/>
                <w:webHidden/>
              </w:rPr>
              <w:tab/>
            </w:r>
            <w:r w:rsidR="00460E92">
              <w:rPr>
                <w:noProof/>
                <w:webHidden/>
              </w:rPr>
              <w:fldChar w:fldCharType="begin"/>
            </w:r>
            <w:r w:rsidR="00460E92">
              <w:rPr>
                <w:noProof/>
                <w:webHidden/>
              </w:rPr>
              <w:instrText xml:space="preserve"> PAGEREF _Toc531597501 \h </w:instrText>
            </w:r>
            <w:r w:rsidR="00460E92">
              <w:rPr>
                <w:noProof/>
                <w:webHidden/>
              </w:rPr>
            </w:r>
            <w:r w:rsidR="00460E92">
              <w:rPr>
                <w:noProof/>
                <w:webHidden/>
              </w:rPr>
              <w:fldChar w:fldCharType="separate"/>
            </w:r>
            <w:r w:rsidR="00460E92">
              <w:rPr>
                <w:noProof/>
                <w:webHidden/>
              </w:rPr>
              <w:t>40</w:t>
            </w:r>
            <w:r w:rsidR="00460E92">
              <w:rPr>
                <w:noProof/>
                <w:webHidden/>
              </w:rPr>
              <w:fldChar w:fldCharType="end"/>
            </w:r>
          </w:hyperlink>
        </w:p>
        <w:p w14:paraId="60D0DEC9" w14:textId="61FF371E"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2" w:history="1">
            <w:r w:rsidR="00460E92" w:rsidRPr="00E56E5C">
              <w:rPr>
                <w:rStyle w:val="Hyperlink"/>
                <w:noProof/>
              </w:rPr>
              <w:t>5.2.9</w:t>
            </w:r>
            <w:r w:rsidR="00460E92">
              <w:rPr>
                <w:rFonts w:asciiTheme="minorHAnsi" w:eastAsiaTheme="minorEastAsia" w:hAnsiTheme="minorHAnsi" w:cstheme="minorBidi"/>
                <w:noProof/>
                <w:sz w:val="22"/>
                <w:szCs w:val="22"/>
              </w:rPr>
              <w:tab/>
            </w:r>
            <w:r w:rsidR="00460E92" w:rsidRPr="00E56E5C">
              <w:rPr>
                <w:rStyle w:val="Hyperlink"/>
                <w:noProof/>
              </w:rPr>
              <w:t>Staff Ratios</w:t>
            </w:r>
            <w:r w:rsidR="00460E92">
              <w:rPr>
                <w:noProof/>
                <w:webHidden/>
              </w:rPr>
              <w:tab/>
            </w:r>
            <w:r w:rsidR="00460E92">
              <w:rPr>
                <w:noProof/>
                <w:webHidden/>
              </w:rPr>
              <w:fldChar w:fldCharType="begin"/>
            </w:r>
            <w:r w:rsidR="00460E92">
              <w:rPr>
                <w:noProof/>
                <w:webHidden/>
              </w:rPr>
              <w:instrText xml:space="preserve"> PAGEREF _Toc531597502 \h </w:instrText>
            </w:r>
            <w:r w:rsidR="00460E92">
              <w:rPr>
                <w:noProof/>
                <w:webHidden/>
              </w:rPr>
            </w:r>
            <w:r w:rsidR="00460E92">
              <w:rPr>
                <w:noProof/>
                <w:webHidden/>
              </w:rPr>
              <w:fldChar w:fldCharType="separate"/>
            </w:r>
            <w:r w:rsidR="00460E92">
              <w:rPr>
                <w:noProof/>
                <w:webHidden/>
              </w:rPr>
              <w:t>42</w:t>
            </w:r>
            <w:r w:rsidR="00460E92">
              <w:rPr>
                <w:noProof/>
                <w:webHidden/>
              </w:rPr>
              <w:fldChar w:fldCharType="end"/>
            </w:r>
          </w:hyperlink>
        </w:p>
        <w:p w14:paraId="47FFB0C4" w14:textId="7821DC68"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3" w:history="1">
            <w:r w:rsidR="00460E92" w:rsidRPr="00E56E5C">
              <w:rPr>
                <w:rStyle w:val="Hyperlink"/>
                <w:noProof/>
              </w:rPr>
              <w:t>5.2.10</w:t>
            </w:r>
            <w:r w:rsidR="00460E92">
              <w:rPr>
                <w:rFonts w:asciiTheme="minorHAnsi" w:eastAsiaTheme="minorEastAsia" w:hAnsiTheme="minorHAnsi" w:cstheme="minorBidi"/>
                <w:noProof/>
                <w:sz w:val="22"/>
                <w:szCs w:val="22"/>
              </w:rPr>
              <w:tab/>
            </w:r>
            <w:r w:rsidR="00460E92" w:rsidRPr="00E56E5C">
              <w:rPr>
                <w:rStyle w:val="Hyperlink"/>
                <w:noProof/>
              </w:rPr>
              <w:t>Scheduling Challenges</w:t>
            </w:r>
            <w:r w:rsidR="00460E92">
              <w:rPr>
                <w:noProof/>
                <w:webHidden/>
              </w:rPr>
              <w:tab/>
            </w:r>
            <w:r w:rsidR="00460E92">
              <w:rPr>
                <w:noProof/>
                <w:webHidden/>
              </w:rPr>
              <w:fldChar w:fldCharType="begin"/>
            </w:r>
            <w:r w:rsidR="00460E92">
              <w:rPr>
                <w:noProof/>
                <w:webHidden/>
              </w:rPr>
              <w:instrText xml:space="preserve"> PAGEREF _Toc531597503 \h </w:instrText>
            </w:r>
            <w:r w:rsidR="00460E92">
              <w:rPr>
                <w:noProof/>
                <w:webHidden/>
              </w:rPr>
            </w:r>
            <w:r w:rsidR="00460E92">
              <w:rPr>
                <w:noProof/>
                <w:webHidden/>
              </w:rPr>
              <w:fldChar w:fldCharType="separate"/>
            </w:r>
            <w:r w:rsidR="00460E92">
              <w:rPr>
                <w:noProof/>
                <w:webHidden/>
              </w:rPr>
              <w:t>44</w:t>
            </w:r>
            <w:r w:rsidR="00460E92">
              <w:rPr>
                <w:noProof/>
                <w:webHidden/>
              </w:rPr>
              <w:fldChar w:fldCharType="end"/>
            </w:r>
          </w:hyperlink>
        </w:p>
        <w:p w14:paraId="372D30B0" w14:textId="3EF5E759"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4" w:history="1">
            <w:r w:rsidR="00460E92" w:rsidRPr="00E56E5C">
              <w:rPr>
                <w:rStyle w:val="Hyperlink"/>
                <w:noProof/>
              </w:rPr>
              <w:t>5.2.11</w:t>
            </w:r>
            <w:r w:rsidR="00460E92">
              <w:rPr>
                <w:rFonts w:asciiTheme="minorHAnsi" w:eastAsiaTheme="minorEastAsia" w:hAnsiTheme="minorHAnsi" w:cstheme="minorBidi"/>
                <w:noProof/>
                <w:sz w:val="22"/>
                <w:szCs w:val="22"/>
              </w:rPr>
              <w:tab/>
            </w:r>
            <w:r w:rsidR="00460E92" w:rsidRPr="00E56E5C">
              <w:rPr>
                <w:rStyle w:val="Hyperlink"/>
                <w:noProof/>
              </w:rPr>
              <w:t>Intakes and Discharges</w:t>
            </w:r>
            <w:r w:rsidR="00460E92">
              <w:rPr>
                <w:noProof/>
                <w:webHidden/>
              </w:rPr>
              <w:tab/>
            </w:r>
            <w:r w:rsidR="00460E92">
              <w:rPr>
                <w:noProof/>
                <w:webHidden/>
              </w:rPr>
              <w:fldChar w:fldCharType="begin"/>
            </w:r>
            <w:r w:rsidR="00460E92">
              <w:rPr>
                <w:noProof/>
                <w:webHidden/>
              </w:rPr>
              <w:instrText xml:space="preserve"> PAGEREF _Toc531597504 \h </w:instrText>
            </w:r>
            <w:r w:rsidR="00460E92">
              <w:rPr>
                <w:noProof/>
                <w:webHidden/>
              </w:rPr>
            </w:r>
            <w:r w:rsidR="00460E92">
              <w:rPr>
                <w:noProof/>
                <w:webHidden/>
              </w:rPr>
              <w:fldChar w:fldCharType="separate"/>
            </w:r>
            <w:r w:rsidR="00460E92">
              <w:rPr>
                <w:noProof/>
                <w:webHidden/>
              </w:rPr>
              <w:t>45</w:t>
            </w:r>
            <w:r w:rsidR="00460E92">
              <w:rPr>
                <w:noProof/>
                <w:webHidden/>
              </w:rPr>
              <w:fldChar w:fldCharType="end"/>
            </w:r>
          </w:hyperlink>
        </w:p>
        <w:p w14:paraId="5BB18F7A" w14:textId="2D7C7B4E"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05" w:history="1">
            <w:r w:rsidR="00460E92" w:rsidRPr="00E56E5C">
              <w:rPr>
                <w:rStyle w:val="Hyperlink"/>
                <w:noProof/>
              </w:rPr>
              <w:t>5.3</w:t>
            </w:r>
            <w:r w:rsidR="00460E92">
              <w:rPr>
                <w:rFonts w:asciiTheme="minorHAnsi" w:eastAsiaTheme="minorEastAsia" w:hAnsiTheme="minorHAnsi" w:cstheme="minorBidi"/>
                <w:noProof/>
                <w:sz w:val="22"/>
                <w:szCs w:val="22"/>
              </w:rPr>
              <w:tab/>
            </w:r>
            <w:r w:rsidR="00460E92" w:rsidRPr="00E56E5C">
              <w:rPr>
                <w:rStyle w:val="Hyperlink"/>
                <w:noProof/>
              </w:rPr>
              <w:t>Staff Demographics</w:t>
            </w:r>
            <w:r w:rsidR="00460E92">
              <w:rPr>
                <w:noProof/>
                <w:webHidden/>
              </w:rPr>
              <w:tab/>
            </w:r>
            <w:r w:rsidR="00460E92">
              <w:rPr>
                <w:noProof/>
                <w:webHidden/>
              </w:rPr>
              <w:fldChar w:fldCharType="begin"/>
            </w:r>
            <w:r w:rsidR="00460E92">
              <w:rPr>
                <w:noProof/>
                <w:webHidden/>
              </w:rPr>
              <w:instrText xml:space="preserve"> PAGEREF _Toc531597505 \h </w:instrText>
            </w:r>
            <w:r w:rsidR="00460E92">
              <w:rPr>
                <w:noProof/>
                <w:webHidden/>
              </w:rPr>
            </w:r>
            <w:r w:rsidR="00460E92">
              <w:rPr>
                <w:noProof/>
                <w:webHidden/>
              </w:rPr>
              <w:fldChar w:fldCharType="separate"/>
            </w:r>
            <w:r w:rsidR="00460E92">
              <w:rPr>
                <w:noProof/>
                <w:webHidden/>
              </w:rPr>
              <w:t>46</w:t>
            </w:r>
            <w:r w:rsidR="00460E92">
              <w:rPr>
                <w:noProof/>
                <w:webHidden/>
              </w:rPr>
              <w:fldChar w:fldCharType="end"/>
            </w:r>
          </w:hyperlink>
        </w:p>
        <w:p w14:paraId="45DA165C" w14:textId="22E9E8CF"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6" w:history="1">
            <w:r w:rsidR="00460E92" w:rsidRPr="00E56E5C">
              <w:rPr>
                <w:rStyle w:val="Hyperlink"/>
                <w:noProof/>
              </w:rPr>
              <w:t>5.3.1</w:t>
            </w:r>
            <w:r w:rsidR="00460E92">
              <w:rPr>
                <w:rFonts w:asciiTheme="minorHAnsi" w:eastAsiaTheme="minorEastAsia" w:hAnsiTheme="minorHAnsi" w:cstheme="minorBidi"/>
                <w:noProof/>
                <w:sz w:val="22"/>
                <w:szCs w:val="22"/>
              </w:rPr>
              <w:tab/>
            </w:r>
            <w:r w:rsidR="00460E92" w:rsidRPr="00E56E5C">
              <w:rPr>
                <w:rStyle w:val="Hyperlink"/>
                <w:noProof/>
              </w:rPr>
              <w:t>Age Distribution</w:t>
            </w:r>
            <w:r w:rsidR="00460E92">
              <w:rPr>
                <w:noProof/>
                <w:webHidden/>
              </w:rPr>
              <w:tab/>
            </w:r>
            <w:r w:rsidR="00460E92">
              <w:rPr>
                <w:noProof/>
                <w:webHidden/>
              </w:rPr>
              <w:fldChar w:fldCharType="begin"/>
            </w:r>
            <w:r w:rsidR="00460E92">
              <w:rPr>
                <w:noProof/>
                <w:webHidden/>
              </w:rPr>
              <w:instrText xml:space="preserve"> PAGEREF _Toc531597506 \h </w:instrText>
            </w:r>
            <w:r w:rsidR="00460E92">
              <w:rPr>
                <w:noProof/>
                <w:webHidden/>
              </w:rPr>
            </w:r>
            <w:r w:rsidR="00460E92">
              <w:rPr>
                <w:noProof/>
                <w:webHidden/>
              </w:rPr>
              <w:fldChar w:fldCharType="separate"/>
            </w:r>
            <w:r w:rsidR="00460E92">
              <w:rPr>
                <w:noProof/>
                <w:webHidden/>
              </w:rPr>
              <w:t>47</w:t>
            </w:r>
            <w:r w:rsidR="00460E92">
              <w:rPr>
                <w:noProof/>
                <w:webHidden/>
              </w:rPr>
              <w:fldChar w:fldCharType="end"/>
            </w:r>
          </w:hyperlink>
        </w:p>
        <w:p w14:paraId="5A98957F" w14:textId="084D62A2"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7" w:history="1">
            <w:r w:rsidR="00460E92" w:rsidRPr="00E56E5C">
              <w:rPr>
                <w:rStyle w:val="Hyperlink"/>
                <w:noProof/>
              </w:rPr>
              <w:t>5.3.2</w:t>
            </w:r>
            <w:r w:rsidR="00460E92">
              <w:rPr>
                <w:rFonts w:asciiTheme="minorHAnsi" w:eastAsiaTheme="minorEastAsia" w:hAnsiTheme="minorHAnsi" w:cstheme="minorBidi"/>
                <w:noProof/>
                <w:sz w:val="22"/>
                <w:szCs w:val="22"/>
              </w:rPr>
              <w:tab/>
            </w:r>
            <w:r w:rsidR="00460E92" w:rsidRPr="00E56E5C">
              <w:rPr>
                <w:rStyle w:val="Hyperlink"/>
                <w:noProof/>
              </w:rPr>
              <w:t>Gender, Race and Ethnicity</w:t>
            </w:r>
            <w:r w:rsidR="00460E92">
              <w:rPr>
                <w:noProof/>
                <w:webHidden/>
              </w:rPr>
              <w:tab/>
            </w:r>
            <w:r w:rsidR="00460E92">
              <w:rPr>
                <w:noProof/>
                <w:webHidden/>
              </w:rPr>
              <w:fldChar w:fldCharType="begin"/>
            </w:r>
            <w:r w:rsidR="00460E92">
              <w:rPr>
                <w:noProof/>
                <w:webHidden/>
              </w:rPr>
              <w:instrText xml:space="preserve"> PAGEREF _Toc531597507 \h </w:instrText>
            </w:r>
            <w:r w:rsidR="00460E92">
              <w:rPr>
                <w:noProof/>
                <w:webHidden/>
              </w:rPr>
            </w:r>
            <w:r w:rsidR="00460E92">
              <w:rPr>
                <w:noProof/>
                <w:webHidden/>
              </w:rPr>
              <w:fldChar w:fldCharType="separate"/>
            </w:r>
            <w:r w:rsidR="00460E92">
              <w:rPr>
                <w:noProof/>
                <w:webHidden/>
              </w:rPr>
              <w:t>47</w:t>
            </w:r>
            <w:r w:rsidR="00460E92">
              <w:rPr>
                <w:noProof/>
                <w:webHidden/>
              </w:rPr>
              <w:fldChar w:fldCharType="end"/>
            </w:r>
          </w:hyperlink>
        </w:p>
        <w:p w14:paraId="2AAC0D51" w14:textId="6AF0B0E9"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8" w:history="1">
            <w:r w:rsidR="00460E92" w:rsidRPr="00E56E5C">
              <w:rPr>
                <w:rStyle w:val="Hyperlink"/>
                <w:noProof/>
              </w:rPr>
              <w:t>5.3.3</w:t>
            </w:r>
            <w:r w:rsidR="00460E92">
              <w:rPr>
                <w:rFonts w:asciiTheme="minorHAnsi" w:eastAsiaTheme="minorEastAsia" w:hAnsiTheme="minorHAnsi" w:cstheme="minorBidi"/>
                <w:noProof/>
                <w:sz w:val="22"/>
                <w:szCs w:val="22"/>
              </w:rPr>
              <w:tab/>
            </w:r>
            <w:r w:rsidR="00460E92" w:rsidRPr="00E56E5C">
              <w:rPr>
                <w:rStyle w:val="Hyperlink"/>
                <w:noProof/>
              </w:rPr>
              <w:t>Staff Tenure</w:t>
            </w:r>
            <w:r w:rsidR="00460E92">
              <w:rPr>
                <w:noProof/>
                <w:webHidden/>
              </w:rPr>
              <w:tab/>
            </w:r>
            <w:r w:rsidR="00460E92">
              <w:rPr>
                <w:noProof/>
                <w:webHidden/>
              </w:rPr>
              <w:fldChar w:fldCharType="begin"/>
            </w:r>
            <w:r w:rsidR="00460E92">
              <w:rPr>
                <w:noProof/>
                <w:webHidden/>
              </w:rPr>
              <w:instrText xml:space="preserve"> PAGEREF _Toc531597508 \h </w:instrText>
            </w:r>
            <w:r w:rsidR="00460E92">
              <w:rPr>
                <w:noProof/>
                <w:webHidden/>
              </w:rPr>
            </w:r>
            <w:r w:rsidR="00460E92">
              <w:rPr>
                <w:noProof/>
                <w:webHidden/>
              </w:rPr>
              <w:fldChar w:fldCharType="separate"/>
            </w:r>
            <w:r w:rsidR="00460E92">
              <w:rPr>
                <w:noProof/>
                <w:webHidden/>
              </w:rPr>
              <w:t>48</w:t>
            </w:r>
            <w:r w:rsidR="00460E92">
              <w:rPr>
                <w:noProof/>
                <w:webHidden/>
              </w:rPr>
              <w:fldChar w:fldCharType="end"/>
            </w:r>
          </w:hyperlink>
        </w:p>
        <w:p w14:paraId="2587B0A6" w14:textId="3F7F0D7C"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09" w:history="1">
            <w:r w:rsidR="00460E92" w:rsidRPr="00E56E5C">
              <w:rPr>
                <w:rStyle w:val="Hyperlink"/>
                <w:noProof/>
              </w:rPr>
              <w:t>5.3.4</w:t>
            </w:r>
            <w:r w:rsidR="00460E92">
              <w:rPr>
                <w:rFonts w:asciiTheme="minorHAnsi" w:eastAsiaTheme="minorEastAsia" w:hAnsiTheme="minorHAnsi" w:cstheme="minorBidi"/>
                <w:noProof/>
                <w:sz w:val="22"/>
                <w:szCs w:val="22"/>
              </w:rPr>
              <w:tab/>
            </w:r>
            <w:r w:rsidR="00460E92" w:rsidRPr="00E56E5C">
              <w:rPr>
                <w:rStyle w:val="Hyperlink"/>
                <w:noProof/>
              </w:rPr>
              <w:t>Staff Qualifications</w:t>
            </w:r>
            <w:r w:rsidR="00460E92">
              <w:rPr>
                <w:noProof/>
                <w:webHidden/>
              </w:rPr>
              <w:tab/>
            </w:r>
            <w:r w:rsidR="00460E92">
              <w:rPr>
                <w:noProof/>
                <w:webHidden/>
              </w:rPr>
              <w:fldChar w:fldCharType="begin"/>
            </w:r>
            <w:r w:rsidR="00460E92">
              <w:rPr>
                <w:noProof/>
                <w:webHidden/>
              </w:rPr>
              <w:instrText xml:space="preserve"> PAGEREF _Toc531597509 \h </w:instrText>
            </w:r>
            <w:r w:rsidR="00460E92">
              <w:rPr>
                <w:noProof/>
                <w:webHidden/>
              </w:rPr>
            </w:r>
            <w:r w:rsidR="00460E92">
              <w:rPr>
                <w:noProof/>
                <w:webHidden/>
              </w:rPr>
              <w:fldChar w:fldCharType="separate"/>
            </w:r>
            <w:r w:rsidR="00460E92">
              <w:rPr>
                <w:noProof/>
                <w:webHidden/>
              </w:rPr>
              <w:t>49</w:t>
            </w:r>
            <w:r w:rsidR="00460E92">
              <w:rPr>
                <w:noProof/>
                <w:webHidden/>
              </w:rPr>
              <w:fldChar w:fldCharType="end"/>
            </w:r>
          </w:hyperlink>
        </w:p>
        <w:p w14:paraId="61908A13" w14:textId="37A258F1"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10" w:history="1">
            <w:r w:rsidR="00460E92" w:rsidRPr="00E56E5C">
              <w:rPr>
                <w:rStyle w:val="Hyperlink"/>
                <w:noProof/>
              </w:rPr>
              <w:t>5.4</w:t>
            </w:r>
            <w:r w:rsidR="00460E92">
              <w:rPr>
                <w:rFonts w:asciiTheme="minorHAnsi" w:eastAsiaTheme="minorEastAsia" w:hAnsiTheme="minorHAnsi" w:cstheme="minorBidi"/>
                <w:noProof/>
                <w:sz w:val="22"/>
                <w:szCs w:val="22"/>
              </w:rPr>
              <w:tab/>
            </w:r>
            <w:r w:rsidR="00460E92" w:rsidRPr="00E56E5C">
              <w:rPr>
                <w:rStyle w:val="Hyperlink"/>
                <w:noProof/>
              </w:rPr>
              <w:t>Salary</w:t>
            </w:r>
            <w:r w:rsidR="00460E92">
              <w:rPr>
                <w:noProof/>
                <w:webHidden/>
              </w:rPr>
              <w:tab/>
            </w:r>
            <w:r w:rsidR="00460E92">
              <w:rPr>
                <w:noProof/>
                <w:webHidden/>
              </w:rPr>
              <w:fldChar w:fldCharType="begin"/>
            </w:r>
            <w:r w:rsidR="00460E92">
              <w:rPr>
                <w:noProof/>
                <w:webHidden/>
              </w:rPr>
              <w:instrText xml:space="preserve"> PAGEREF _Toc531597510 \h </w:instrText>
            </w:r>
            <w:r w:rsidR="00460E92">
              <w:rPr>
                <w:noProof/>
                <w:webHidden/>
              </w:rPr>
            </w:r>
            <w:r w:rsidR="00460E92">
              <w:rPr>
                <w:noProof/>
                <w:webHidden/>
              </w:rPr>
              <w:fldChar w:fldCharType="separate"/>
            </w:r>
            <w:r w:rsidR="00460E92">
              <w:rPr>
                <w:noProof/>
                <w:webHidden/>
              </w:rPr>
              <w:t>51</w:t>
            </w:r>
            <w:r w:rsidR="00460E92">
              <w:rPr>
                <w:noProof/>
                <w:webHidden/>
              </w:rPr>
              <w:fldChar w:fldCharType="end"/>
            </w:r>
          </w:hyperlink>
        </w:p>
        <w:p w14:paraId="010DD678" w14:textId="47FBD2B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11" w:history="1">
            <w:r w:rsidR="00460E92" w:rsidRPr="00E56E5C">
              <w:rPr>
                <w:rStyle w:val="Hyperlink"/>
                <w:noProof/>
              </w:rPr>
              <w:t>5.4.1</w:t>
            </w:r>
            <w:r w:rsidR="00460E92">
              <w:rPr>
                <w:rFonts w:asciiTheme="minorHAnsi" w:eastAsiaTheme="minorEastAsia" w:hAnsiTheme="minorHAnsi" w:cstheme="minorBidi"/>
                <w:noProof/>
                <w:sz w:val="22"/>
                <w:szCs w:val="22"/>
              </w:rPr>
              <w:tab/>
            </w:r>
            <w:r w:rsidR="00460E92" w:rsidRPr="00E56E5C">
              <w:rPr>
                <w:rStyle w:val="Hyperlink"/>
                <w:noProof/>
              </w:rPr>
              <w:t>Adjustments for Cost of Living</w:t>
            </w:r>
            <w:r w:rsidR="00460E92">
              <w:rPr>
                <w:noProof/>
                <w:webHidden/>
              </w:rPr>
              <w:tab/>
            </w:r>
            <w:r w:rsidR="00460E92">
              <w:rPr>
                <w:noProof/>
                <w:webHidden/>
              </w:rPr>
              <w:fldChar w:fldCharType="begin"/>
            </w:r>
            <w:r w:rsidR="00460E92">
              <w:rPr>
                <w:noProof/>
                <w:webHidden/>
              </w:rPr>
              <w:instrText xml:space="preserve"> PAGEREF _Toc531597511 \h </w:instrText>
            </w:r>
            <w:r w:rsidR="00460E92">
              <w:rPr>
                <w:noProof/>
                <w:webHidden/>
              </w:rPr>
            </w:r>
            <w:r w:rsidR="00460E92">
              <w:rPr>
                <w:noProof/>
                <w:webHidden/>
              </w:rPr>
              <w:fldChar w:fldCharType="separate"/>
            </w:r>
            <w:r w:rsidR="00460E92">
              <w:rPr>
                <w:noProof/>
                <w:webHidden/>
              </w:rPr>
              <w:t>52</w:t>
            </w:r>
            <w:r w:rsidR="00460E92">
              <w:rPr>
                <w:noProof/>
                <w:webHidden/>
              </w:rPr>
              <w:fldChar w:fldCharType="end"/>
            </w:r>
          </w:hyperlink>
        </w:p>
        <w:p w14:paraId="0AE96BB9" w14:textId="4ADB0ED2"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12" w:history="1">
            <w:r w:rsidR="00460E92" w:rsidRPr="00E56E5C">
              <w:rPr>
                <w:rStyle w:val="Hyperlink"/>
                <w:noProof/>
              </w:rPr>
              <w:t>5.4.2</w:t>
            </w:r>
            <w:r w:rsidR="00460E92">
              <w:rPr>
                <w:rFonts w:asciiTheme="minorHAnsi" w:eastAsiaTheme="minorEastAsia" w:hAnsiTheme="minorHAnsi" w:cstheme="minorBidi"/>
                <w:noProof/>
                <w:sz w:val="22"/>
                <w:szCs w:val="22"/>
              </w:rPr>
              <w:tab/>
            </w:r>
            <w:r w:rsidR="00460E92" w:rsidRPr="00E56E5C">
              <w:rPr>
                <w:rStyle w:val="Hyperlink"/>
                <w:noProof/>
              </w:rPr>
              <w:t>Satisfaction with Salary</w:t>
            </w:r>
            <w:r w:rsidR="00460E92">
              <w:rPr>
                <w:noProof/>
                <w:webHidden/>
              </w:rPr>
              <w:tab/>
            </w:r>
            <w:r w:rsidR="00460E92">
              <w:rPr>
                <w:noProof/>
                <w:webHidden/>
              </w:rPr>
              <w:fldChar w:fldCharType="begin"/>
            </w:r>
            <w:r w:rsidR="00460E92">
              <w:rPr>
                <w:noProof/>
                <w:webHidden/>
              </w:rPr>
              <w:instrText xml:space="preserve"> PAGEREF _Toc531597512 \h </w:instrText>
            </w:r>
            <w:r w:rsidR="00460E92">
              <w:rPr>
                <w:noProof/>
                <w:webHidden/>
              </w:rPr>
            </w:r>
            <w:r w:rsidR="00460E92">
              <w:rPr>
                <w:noProof/>
                <w:webHidden/>
              </w:rPr>
              <w:fldChar w:fldCharType="separate"/>
            </w:r>
            <w:r w:rsidR="00460E92">
              <w:rPr>
                <w:noProof/>
                <w:webHidden/>
              </w:rPr>
              <w:t>53</w:t>
            </w:r>
            <w:r w:rsidR="00460E92">
              <w:rPr>
                <w:noProof/>
                <w:webHidden/>
              </w:rPr>
              <w:fldChar w:fldCharType="end"/>
            </w:r>
          </w:hyperlink>
        </w:p>
        <w:p w14:paraId="37D65F8A" w14:textId="5A7936BC"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13" w:history="1">
            <w:r w:rsidR="00460E92" w:rsidRPr="00E56E5C">
              <w:rPr>
                <w:rStyle w:val="Hyperlink"/>
                <w:noProof/>
              </w:rPr>
              <w:t>5.4.3</w:t>
            </w:r>
            <w:r w:rsidR="00460E92">
              <w:rPr>
                <w:rFonts w:asciiTheme="minorHAnsi" w:eastAsiaTheme="minorEastAsia" w:hAnsiTheme="minorHAnsi" w:cstheme="minorBidi"/>
                <w:noProof/>
                <w:sz w:val="22"/>
                <w:szCs w:val="22"/>
              </w:rPr>
              <w:tab/>
            </w:r>
            <w:r w:rsidR="00460E92" w:rsidRPr="00E56E5C">
              <w:rPr>
                <w:rStyle w:val="Hyperlink"/>
                <w:noProof/>
              </w:rPr>
              <w:t>Comparison with Similar Jobs at Other State Agencies</w:t>
            </w:r>
            <w:r w:rsidR="00460E92">
              <w:rPr>
                <w:noProof/>
                <w:webHidden/>
              </w:rPr>
              <w:tab/>
            </w:r>
            <w:r w:rsidR="00460E92">
              <w:rPr>
                <w:noProof/>
                <w:webHidden/>
              </w:rPr>
              <w:fldChar w:fldCharType="begin"/>
            </w:r>
            <w:r w:rsidR="00460E92">
              <w:rPr>
                <w:noProof/>
                <w:webHidden/>
              </w:rPr>
              <w:instrText xml:space="preserve"> PAGEREF _Toc531597513 \h </w:instrText>
            </w:r>
            <w:r w:rsidR="00460E92">
              <w:rPr>
                <w:noProof/>
                <w:webHidden/>
              </w:rPr>
            </w:r>
            <w:r w:rsidR="00460E92">
              <w:rPr>
                <w:noProof/>
                <w:webHidden/>
              </w:rPr>
              <w:fldChar w:fldCharType="separate"/>
            </w:r>
            <w:r w:rsidR="00460E92">
              <w:rPr>
                <w:noProof/>
                <w:webHidden/>
              </w:rPr>
              <w:t>54</w:t>
            </w:r>
            <w:r w:rsidR="00460E92">
              <w:rPr>
                <w:noProof/>
                <w:webHidden/>
              </w:rPr>
              <w:fldChar w:fldCharType="end"/>
            </w:r>
          </w:hyperlink>
        </w:p>
        <w:p w14:paraId="361C137A" w14:textId="27AD1830"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14" w:history="1">
            <w:r w:rsidR="00460E92" w:rsidRPr="00E56E5C">
              <w:rPr>
                <w:rStyle w:val="Hyperlink"/>
                <w:noProof/>
              </w:rPr>
              <w:t>5.5</w:t>
            </w:r>
            <w:r w:rsidR="00460E92">
              <w:rPr>
                <w:rFonts w:asciiTheme="minorHAnsi" w:eastAsiaTheme="minorEastAsia" w:hAnsiTheme="minorHAnsi" w:cstheme="minorBidi"/>
                <w:noProof/>
                <w:sz w:val="22"/>
                <w:szCs w:val="22"/>
              </w:rPr>
              <w:tab/>
            </w:r>
            <w:r w:rsidR="00460E92" w:rsidRPr="00E56E5C">
              <w:rPr>
                <w:rStyle w:val="Hyperlink"/>
                <w:noProof/>
              </w:rPr>
              <w:t>Turnover</w:t>
            </w:r>
            <w:r w:rsidR="00460E92">
              <w:rPr>
                <w:noProof/>
                <w:webHidden/>
              </w:rPr>
              <w:tab/>
            </w:r>
            <w:r w:rsidR="00460E92">
              <w:rPr>
                <w:noProof/>
                <w:webHidden/>
              </w:rPr>
              <w:fldChar w:fldCharType="begin"/>
            </w:r>
            <w:r w:rsidR="00460E92">
              <w:rPr>
                <w:noProof/>
                <w:webHidden/>
              </w:rPr>
              <w:instrText xml:space="preserve"> PAGEREF _Toc531597514 \h </w:instrText>
            </w:r>
            <w:r w:rsidR="00460E92">
              <w:rPr>
                <w:noProof/>
                <w:webHidden/>
              </w:rPr>
            </w:r>
            <w:r w:rsidR="00460E92">
              <w:rPr>
                <w:noProof/>
                <w:webHidden/>
              </w:rPr>
              <w:fldChar w:fldCharType="separate"/>
            </w:r>
            <w:r w:rsidR="00460E92">
              <w:rPr>
                <w:noProof/>
                <w:webHidden/>
              </w:rPr>
              <w:t>59</w:t>
            </w:r>
            <w:r w:rsidR="00460E92">
              <w:rPr>
                <w:noProof/>
                <w:webHidden/>
              </w:rPr>
              <w:fldChar w:fldCharType="end"/>
            </w:r>
          </w:hyperlink>
        </w:p>
        <w:p w14:paraId="6E24057C" w14:textId="7EC3A5A7"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15" w:history="1">
            <w:r w:rsidR="00460E92" w:rsidRPr="00E56E5C">
              <w:rPr>
                <w:rStyle w:val="Hyperlink"/>
                <w:noProof/>
              </w:rPr>
              <w:t>5.5.1</w:t>
            </w:r>
            <w:r w:rsidR="00460E92">
              <w:rPr>
                <w:rFonts w:asciiTheme="minorHAnsi" w:eastAsiaTheme="minorEastAsia" w:hAnsiTheme="minorHAnsi" w:cstheme="minorBidi"/>
                <w:noProof/>
                <w:sz w:val="22"/>
                <w:szCs w:val="22"/>
              </w:rPr>
              <w:tab/>
            </w:r>
            <w:r w:rsidR="00460E92" w:rsidRPr="00E56E5C">
              <w:rPr>
                <w:rStyle w:val="Hyperlink"/>
                <w:noProof/>
              </w:rPr>
              <w:t>Actual Turnover</w:t>
            </w:r>
            <w:r w:rsidR="00460E92">
              <w:rPr>
                <w:noProof/>
                <w:webHidden/>
              </w:rPr>
              <w:tab/>
            </w:r>
            <w:r w:rsidR="00460E92">
              <w:rPr>
                <w:noProof/>
                <w:webHidden/>
              </w:rPr>
              <w:fldChar w:fldCharType="begin"/>
            </w:r>
            <w:r w:rsidR="00460E92">
              <w:rPr>
                <w:noProof/>
                <w:webHidden/>
              </w:rPr>
              <w:instrText xml:space="preserve"> PAGEREF _Toc531597515 \h </w:instrText>
            </w:r>
            <w:r w:rsidR="00460E92">
              <w:rPr>
                <w:noProof/>
                <w:webHidden/>
              </w:rPr>
            </w:r>
            <w:r w:rsidR="00460E92">
              <w:rPr>
                <w:noProof/>
                <w:webHidden/>
              </w:rPr>
              <w:fldChar w:fldCharType="separate"/>
            </w:r>
            <w:r w:rsidR="00460E92">
              <w:rPr>
                <w:noProof/>
                <w:webHidden/>
              </w:rPr>
              <w:t>60</w:t>
            </w:r>
            <w:r w:rsidR="00460E92">
              <w:rPr>
                <w:noProof/>
                <w:webHidden/>
              </w:rPr>
              <w:fldChar w:fldCharType="end"/>
            </w:r>
          </w:hyperlink>
        </w:p>
        <w:p w14:paraId="76F361E6" w14:textId="778AE194"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16" w:history="1">
            <w:r w:rsidR="00460E92" w:rsidRPr="00E56E5C">
              <w:rPr>
                <w:rStyle w:val="Hyperlink"/>
                <w:noProof/>
              </w:rPr>
              <w:t>5.5.2</w:t>
            </w:r>
            <w:r w:rsidR="00460E92">
              <w:rPr>
                <w:rFonts w:asciiTheme="minorHAnsi" w:eastAsiaTheme="minorEastAsia" w:hAnsiTheme="minorHAnsi" w:cstheme="minorBidi"/>
                <w:noProof/>
                <w:sz w:val="22"/>
                <w:szCs w:val="22"/>
              </w:rPr>
              <w:tab/>
            </w:r>
            <w:r w:rsidR="00460E92" w:rsidRPr="00E56E5C">
              <w:rPr>
                <w:rStyle w:val="Hyperlink"/>
                <w:noProof/>
              </w:rPr>
              <w:t>Turnover Intent</w:t>
            </w:r>
            <w:r w:rsidR="00460E92">
              <w:rPr>
                <w:noProof/>
                <w:webHidden/>
              </w:rPr>
              <w:tab/>
            </w:r>
            <w:r w:rsidR="00460E92">
              <w:rPr>
                <w:noProof/>
                <w:webHidden/>
              </w:rPr>
              <w:fldChar w:fldCharType="begin"/>
            </w:r>
            <w:r w:rsidR="00460E92">
              <w:rPr>
                <w:noProof/>
                <w:webHidden/>
              </w:rPr>
              <w:instrText xml:space="preserve"> PAGEREF _Toc531597516 \h </w:instrText>
            </w:r>
            <w:r w:rsidR="00460E92">
              <w:rPr>
                <w:noProof/>
                <w:webHidden/>
              </w:rPr>
            </w:r>
            <w:r w:rsidR="00460E92">
              <w:rPr>
                <w:noProof/>
                <w:webHidden/>
              </w:rPr>
              <w:fldChar w:fldCharType="separate"/>
            </w:r>
            <w:r w:rsidR="00460E92">
              <w:rPr>
                <w:noProof/>
                <w:webHidden/>
              </w:rPr>
              <w:t>61</w:t>
            </w:r>
            <w:r w:rsidR="00460E92">
              <w:rPr>
                <w:noProof/>
                <w:webHidden/>
              </w:rPr>
              <w:fldChar w:fldCharType="end"/>
            </w:r>
          </w:hyperlink>
        </w:p>
        <w:p w14:paraId="71FFBE7F" w14:textId="17F9C0CD"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17" w:history="1">
            <w:r w:rsidR="00460E92" w:rsidRPr="00E56E5C">
              <w:rPr>
                <w:rStyle w:val="Hyperlink"/>
                <w:noProof/>
              </w:rPr>
              <w:t>5.6</w:t>
            </w:r>
            <w:r w:rsidR="00460E92">
              <w:rPr>
                <w:rFonts w:asciiTheme="minorHAnsi" w:eastAsiaTheme="minorEastAsia" w:hAnsiTheme="minorHAnsi" w:cstheme="minorBidi"/>
                <w:noProof/>
                <w:sz w:val="22"/>
                <w:szCs w:val="22"/>
              </w:rPr>
              <w:tab/>
            </w:r>
            <w:r w:rsidR="00460E92" w:rsidRPr="00E56E5C">
              <w:rPr>
                <w:rStyle w:val="Hyperlink"/>
                <w:noProof/>
              </w:rPr>
              <w:t>Factors Linked to Retention/Turnover</w:t>
            </w:r>
            <w:r w:rsidR="00460E92">
              <w:rPr>
                <w:noProof/>
                <w:webHidden/>
              </w:rPr>
              <w:tab/>
            </w:r>
            <w:r w:rsidR="00460E92">
              <w:rPr>
                <w:noProof/>
                <w:webHidden/>
              </w:rPr>
              <w:fldChar w:fldCharType="begin"/>
            </w:r>
            <w:r w:rsidR="00460E92">
              <w:rPr>
                <w:noProof/>
                <w:webHidden/>
              </w:rPr>
              <w:instrText xml:space="preserve"> PAGEREF _Toc531597517 \h </w:instrText>
            </w:r>
            <w:r w:rsidR="00460E92">
              <w:rPr>
                <w:noProof/>
                <w:webHidden/>
              </w:rPr>
            </w:r>
            <w:r w:rsidR="00460E92">
              <w:rPr>
                <w:noProof/>
                <w:webHidden/>
              </w:rPr>
              <w:fldChar w:fldCharType="separate"/>
            </w:r>
            <w:r w:rsidR="00460E92">
              <w:rPr>
                <w:noProof/>
                <w:webHidden/>
              </w:rPr>
              <w:t>61</w:t>
            </w:r>
            <w:r w:rsidR="00460E92">
              <w:rPr>
                <w:noProof/>
                <w:webHidden/>
              </w:rPr>
              <w:fldChar w:fldCharType="end"/>
            </w:r>
          </w:hyperlink>
        </w:p>
        <w:p w14:paraId="7B3BF768" w14:textId="02C7F8D5"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18" w:history="1">
            <w:r w:rsidR="00460E92" w:rsidRPr="00E56E5C">
              <w:rPr>
                <w:rStyle w:val="Hyperlink"/>
                <w:noProof/>
              </w:rPr>
              <w:t>5.7</w:t>
            </w:r>
            <w:r w:rsidR="00460E92">
              <w:rPr>
                <w:rFonts w:asciiTheme="minorHAnsi" w:eastAsiaTheme="minorEastAsia" w:hAnsiTheme="minorHAnsi" w:cstheme="minorBidi"/>
                <w:noProof/>
                <w:sz w:val="22"/>
                <w:szCs w:val="22"/>
              </w:rPr>
              <w:tab/>
            </w:r>
            <w:r w:rsidR="00460E92" w:rsidRPr="00E56E5C">
              <w:rPr>
                <w:rStyle w:val="Hyperlink"/>
                <w:noProof/>
              </w:rPr>
              <w:t>Safety</w:t>
            </w:r>
            <w:r w:rsidR="00460E92">
              <w:rPr>
                <w:noProof/>
                <w:webHidden/>
              </w:rPr>
              <w:tab/>
            </w:r>
            <w:r w:rsidR="00460E92">
              <w:rPr>
                <w:noProof/>
                <w:webHidden/>
              </w:rPr>
              <w:fldChar w:fldCharType="begin"/>
            </w:r>
            <w:r w:rsidR="00460E92">
              <w:rPr>
                <w:noProof/>
                <w:webHidden/>
              </w:rPr>
              <w:instrText xml:space="preserve"> PAGEREF _Toc531597518 \h </w:instrText>
            </w:r>
            <w:r w:rsidR="00460E92">
              <w:rPr>
                <w:noProof/>
                <w:webHidden/>
              </w:rPr>
            </w:r>
            <w:r w:rsidR="00460E92">
              <w:rPr>
                <w:noProof/>
                <w:webHidden/>
              </w:rPr>
              <w:fldChar w:fldCharType="separate"/>
            </w:r>
            <w:r w:rsidR="00460E92">
              <w:rPr>
                <w:noProof/>
                <w:webHidden/>
              </w:rPr>
              <w:t>63</w:t>
            </w:r>
            <w:r w:rsidR="00460E92">
              <w:rPr>
                <w:noProof/>
                <w:webHidden/>
              </w:rPr>
              <w:fldChar w:fldCharType="end"/>
            </w:r>
          </w:hyperlink>
        </w:p>
        <w:p w14:paraId="468F58ED" w14:textId="17D76FA7"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19" w:history="1">
            <w:r w:rsidR="00460E92" w:rsidRPr="00E56E5C">
              <w:rPr>
                <w:rStyle w:val="Hyperlink"/>
                <w:noProof/>
              </w:rPr>
              <w:t>5.7.1</w:t>
            </w:r>
            <w:r w:rsidR="00460E92">
              <w:rPr>
                <w:rFonts w:asciiTheme="minorHAnsi" w:eastAsiaTheme="minorEastAsia" w:hAnsiTheme="minorHAnsi" w:cstheme="minorBidi"/>
                <w:noProof/>
                <w:sz w:val="22"/>
                <w:szCs w:val="22"/>
              </w:rPr>
              <w:tab/>
            </w:r>
            <w:r w:rsidR="00460E92" w:rsidRPr="00E56E5C">
              <w:rPr>
                <w:rStyle w:val="Hyperlink"/>
                <w:noProof/>
              </w:rPr>
              <w:t>Staff Safety</w:t>
            </w:r>
            <w:r w:rsidR="00460E92">
              <w:rPr>
                <w:noProof/>
                <w:webHidden/>
              </w:rPr>
              <w:tab/>
            </w:r>
            <w:r w:rsidR="00460E92">
              <w:rPr>
                <w:noProof/>
                <w:webHidden/>
              </w:rPr>
              <w:fldChar w:fldCharType="begin"/>
            </w:r>
            <w:r w:rsidR="00460E92">
              <w:rPr>
                <w:noProof/>
                <w:webHidden/>
              </w:rPr>
              <w:instrText xml:space="preserve"> PAGEREF _Toc531597519 \h </w:instrText>
            </w:r>
            <w:r w:rsidR="00460E92">
              <w:rPr>
                <w:noProof/>
                <w:webHidden/>
              </w:rPr>
            </w:r>
            <w:r w:rsidR="00460E92">
              <w:rPr>
                <w:noProof/>
                <w:webHidden/>
              </w:rPr>
              <w:fldChar w:fldCharType="separate"/>
            </w:r>
            <w:r w:rsidR="00460E92">
              <w:rPr>
                <w:noProof/>
                <w:webHidden/>
              </w:rPr>
              <w:t>64</w:t>
            </w:r>
            <w:r w:rsidR="00460E92">
              <w:rPr>
                <w:noProof/>
                <w:webHidden/>
              </w:rPr>
              <w:fldChar w:fldCharType="end"/>
            </w:r>
          </w:hyperlink>
        </w:p>
        <w:p w14:paraId="04535797" w14:textId="0A3D93AB"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0" w:history="1">
            <w:r w:rsidR="00460E92" w:rsidRPr="00E56E5C">
              <w:rPr>
                <w:rStyle w:val="Hyperlink"/>
                <w:noProof/>
              </w:rPr>
              <w:t>5.7.2</w:t>
            </w:r>
            <w:r w:rsidR="00460E92">
              <w:rPr>
                <w:rFonts w:asciiTheme="minorHAnsi" w:eastAsiaTheme="minorEastAsia" w:hAnsiTheme="minorHAnsi" w:cstheme="minorBidi"/>
                <w:noProof/>
                <w:sz w:val="22"/>
                <w:szCs w:val="22"/>
              </w:rPr>
              <w:tab/>
            </w:r>
            <w:r w:rsidR="00460E92" w:rsidRPr="00E56E5C">
              <w:rPr>
                <w:rStyle w:val="Hyperlink"/>
                <w:noProof/>
              </w:rPr>
              <w:t>Youth Safety</w:t>
            </w:r>
            <w:r w:rsidR="00460E92">
              <w:rPr>
                <w:noProof/>
                <w:webHidden/>
              </w:rPr>
              <w:tab/>
            </w:r>
            <w:r w:rsidR="00460E92">
              <w:rPr>
                <w:noProof/>
                <w:webHidden/>
              </w:rPr>
              <w:fldChar w:fldCharType="begin"/>
            </w:r>
            <w:r w:rsidR="00460E92">
              <w:rPr>
                <w:noProof/>
                <w:webHidden/>
              </w:rPr>
              <w:instrText xml:space="preserve"> PAGEREF _Toc531597520 \h </w:instrText>
            </w:r>
            <w:r w:rsidR="00460E92">
              <w:rPr>
                <w:noProof/>
                <w:webHidden/>
              </w:rPr>
            </w:r>
            <w:r w:rsidR="00460E92">
              <w:rPr>
                <w:noProof/>
                <w:webHidden/>
              </w:rPr>
              <w:fldChar w:fldCharType="separate"/>
            </w:r>
            <w:r w:rsidR="00460E92">
              <w:rPr>
                <w:noProof/>
                <w:webHidden/>
              </w:rPr>
              <w:t>65</w:t>
            </w:r>
            <w:r w:rsidR="00460E92">
              <w:rPr>
                <w:noProof/>
                <w:webHidden/>
              </w:rPr>
              <w:fldChar w:fldCharType="end"/>
            </w:r>
          </w:hyperlink>
        </w:p>
        <w:p w14:paraId="0C53E705" w14:textId="64BF14A6"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1" w:history="1">
            <w:r w:rsidR="00460E92" w:rsidRPr="00E56E5C">
              <w:rPr>
                <w:rStyle w:val="Hyperlink"/>
                <w:noProof/>
              </w:rPr>
              <w:t>5.7.3</w:t>
            </w:r>
            <w:r w:rsidR="00460E92">
              <w:rPr>
                <w:rFonts w:asciiTheme="minorHAnsi" w:eastAsiaTheme="minorEastAsia" w:hAnsiTheme="minorHAnsi" w:cstheme="minorBidi"/>
                <w:noProof/>
                <w:sz w:val="22"/>
                <w:szCs w:val="22"/>
              </w:rPr>
              <w:tab/>
            </w:r>
            <w:r w:rsidR="00460E92" w:rsidRPr="00E56E5C">
              <w:rPr>
                <w:rStyle w:val="Hyperlink"/>
                <w:noProof/>
              </w:rPr>
              <w:t>Rehabilitation Administration Strategic Plan Objective</w:t>
            </w:r>
            <w:r w:rsidR="00460E92">
              <w:rPr>
                <w:noProof/>
                <w:webHidden/>
              </w:rPr>
              <w:tab/>
            </w:r>
            <w:r w:rsidR="00460E92">
              <w:rPr>
                <w:noProof/>
                <w:webHidden/>
              </w:rPr>
              <w:fldChar w:fldCharType="begin"/>
            </w:r>
            <w:r w:rsidR="00460E92">
              <w:rPr>
                <w:noProof/>
                <w:webHidden/>
              </w:rPr>
              <w:instrText xml:space="preserve"> PAGEREF _Toc531597521 \h </w:instrText>
            </w:r>
            <w:r w:rsidR="00460E92">
              <w:rPr>
                <w:noProof/>
                <w:webHidden/>
              </w:rPr>
            </w:r>
            <w:r w:rsidR="00460E92">
              <w:rPr>
                <w:noProof/>
                <w:webHidden/>
              </w:rPr>
              <w:fldChar w:fldCharType="separate"/>
            </w:r>
            <w:r w:rsidR="00460E92">
              <w:rPr>
                <w:noProof/>
                <w:webHidden/>
              </w:rPr>
              <w:t>66</w:t>
            </w:r>
            <w:r w:rsidR="00460E92">
              <w:rPr>
                <w:noProof/>
                <w:webHidden/>
              </w:rPr>
              <w:fldChar w:fldCharType="end"/>
            </w:r>
          </w:hyperlink>
        </w:p>
        <w:p w14:paraId="09D24FE9" w14:textId="56790FDD"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22" w:history="1">
            <w:r w:rsidR="00460E92" w:rsidRPr="00E56E5C">
              <w:rPr>
                <w:rStyle w:val="Hyperlink"/>
                <w:noProof/>
              </w:rPr>
              <w:t>5.8</w:t>
            </w:r>
            <w:r w:rsidR="00460E92">
              <w:rPr>
                <w:rFonts w:asciiTheme="minorHAnsi" w:eastAsiaTheme="minorEastAsia" w:hAnsiTheme="minorHAnsi" w:cstheme="minorBidi"/>
                <w:noProof/>
                <w:sz w:val="22"/>
                <w:szCs w:val="22"/>
              </w:rPr>
              <w:tab/>
            </w:r>
            <w:r w:rsidR="00460E92" w:rsidRPr="00E56E5C">
              <w:rPr>
                <w:rStyle w:val="Hyperlink"/>
                <w:noProof/>
              </w:rPr>
              <w:t>Culture and Climate</w:t>
            </w:r>
            <w:r w:rsidR="00460E92">
              <w:rPr>
                <w:noProof/>
                <w:webHidden/>
              </w:rPr>
              <w:tab/>
            </w:r>
            <w:r w:rsidR="00460E92">
              <w:rPr>
                <w:noProof/>
                <w:webHidden/>
              </w:rPr>
              <w:fldChar w:fldCharType="begin"/>
            </w:r>
            <w:r w:rsidR="00460E92">
              <w:rPr>
                <w:noProof/>
                <w:webHidden/>
              </w:rPr>
              <w:instrText xml:space="preserve"> PAGEREF _Toc531597522 \h </w:instrText>
            </w:r>
            <w:r w:rsidR="00460E92">
              <w:rPr>
                <w:noProof/>
                <w:webHidden/>
              </w:rPr>
            </w:r>
            <w:r w:rsidR="00460E92">
              <w:rPr>
                <w:noProof/>
                <w:webHidden/>
              </w:rPr>
              <w:fldChar w:fldCharType="separate"/>
            </w:r>
            <w:r w:rsidR="00460E92">
              <w:rPr>
                <w:noProof/>
                <w:webHidden/>
              </w:rPr>
              <w:t>66</w:t>
            </w:r>
            <w:r w:rsidR="00460E92">
              <w:rPr>
                <w:noProof/>
                <w:webHidden/>
              </w:rPr>
              <w:fldChar w:fldCharType="end"/>
            </w:r>
          </w:hyperlink>
        </w:p>
        <w:p w14:paraId="64504DBF" w14:textId="4D100D83"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3" w:history="1">
            <w:r w:rsidR="00460E92" w:rsidRPr="00E56E5C">
              <w:rPr>
                <w:rStyle w:val="Hyperlink"/>
                <w:noProof/>
              </w:rPr>
              <w:t>5.8.1</w:t>
            </w:r>
            <w:r w:rsidR="00460E92">
              <w:rPr>
                <w:rFonts w:asciiTheme="minorHAnsi" w:eastAsiaTheme="minorEastAsia" w:hAnsiTheme="minorHAnsi" w:cstheme="minorBidi"/>
                <w:noProof/>
                <w:sz w:val="22"/>
                <w:szCs w:val="22"/>
              </w:rPr>
              <w:tab/>
            </w:r>
            <w:r w:rsidR="00460E92" w:rsidRPr="00E56E5C">
              <w:rPr>
                <w:rStyle w:val="Hyperlink"/>
                <w:noProof/>
              </w:rPr>
              <w:t>Methods</w:t>
            </w:r>
            <w:r w:rsidR="00460E92">
              <w:rPr>
                <w:noProof/>
                <w:webHidden/>
              </w:rPr>
              <w:tab/>
            </w:r>
            <w:r w:rsidR="00460E92">
              <w:rPr>
                <w:noProof/>
                <w:webHidden/>
              </w:rPr>
              <w:fldChar w:fldCharType="begin"/>
            </w:r>
            <w:r w:rsidR="00460E92">
              <w:rPr>
                <w:noProof/>
                <w:webHidden/>
              </w:rPr>
              <w:instrText xml:space="preserve"> PAGEREF _Toc531597523 \h </w:instrText>
            </w:r>
            <w:r w:rsidR="00460E92">
              <w:rPr>
                <w:noProof/>
                <w:webHidden/>
              </w:rPr>
            </w:r>
            <w:r w:rsidR="00460E92">
              <w:rPr>
                <w:noProof/>
                <w:webHidden/>
              </w:rPr>
              <w:fldChar w:fldCharType="separate"/>
            </w:r>
            <w:r w:rsidR="00460E92">
              <w:rPr>
                <w:noProof/>
                <w:webHidden/>
              </w:rPr>
              <w:t>67</w:t>
            </w:r>
            <w:r w:rsidR="00460E92">
              <w:rPr>
                <w:noProof/>
                <w:webHidden/>
              </w:rPr>
              <w:fldChar w:fldCharType="end"/>
            </w:r>
          </w:hyperlink>
        </w:p>
        <w:p w14:paraId="77C389C0" w14:textId="3E0409F2"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4" w:history="1">
            <w:r w:rsidR="00460E92" w:rsidRPr="00E56E5C">
              <w:rPr>
                <w:rStyle w:val="Hyperlink"/>
                <w:noProof/>
              </w:rPr>
              <w:t>5.8.2</w:t>
            </w:r>
            <w:r w:rsidR="00460E92">
              <w:rPr>
                <w:rFonts w:asciiTheme="minorHAnsi" w:eastAsiaTheme="minorEastAsia" w:hAnsiTheme="minorHAnsi" w:cstheme="minorBidi"/>
                <w:noProof/>
                <w:sz w:val="22"/>
                <w:szCs w:val="22"/>
              </w:rPr>
              <w:tab/>
            </w:r>
            <w:r w:rsidR="00460E92" w:rsidRPr="00E56E5C">
              <w:rPr>
                <w:rStyle w:val="Hyperlink"/>
                <w:noProof/>
              </w:rPr>
              <w:t>Culture</w:t>
            </w:r>
            <w:r w:rsidR="00460E92">
              <w:rPr>
                <w:noProof/>
                <w:webHidden/>
              </w:rPr>
              <w:tab/>
            </w:r>
            <w:r w:rsidR="00460E92">
              <w:rPr>
                <w:noProof/>
                <w:webHidden/>
              </w:rPr>
              <w:fldChar w:fldCharType="begin"/>
            </w:r>
            <w:r w:rsidR="00460E92">
              <w:rPr>
                <w:noProof/>
                <w:webHidden/>
              </w:rPr>
              <w:instrText xml:space="preserve"> PAGEREF _Toc531597524 \h </w:instrText>
            </w:r>
            <w:r w:rsidR="00460E92">
              <w:rPr>
                <w:noProof/>
                <w:webHidden/>
              </w:rPr>
            </w:r>
            <w:r w:rsidR="00460E92">
              <w:rPr>
                <w:noProof/>
                <w:webHidden/>
              </w:rPr>
              <w:fldChar w:fldCharType="separate"/>
            </w:r>
            <w:r w:rsidR="00460E92">
              <w:rPr>
                <w:noProof/>
                <w:webHidden/>
              </w:rPr>
              <w:t>68</w:t>
            </w:r>
            <w:r w:rsidR="00460E92">
              <w:rPr>
                <w:noProof/>
                <w:webHidden/>
              </w:rPr>
              <w:fldChar w:fldCharType="end"/>
            </w:r>
          </w:hyperlink>
        </w:p>
        <w:p w14:paraId="23888423" w14:textId="201A5871"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5" w:history="1">
            <w:r w:rsidR="00460E92" w:rsidRPr="00E56E5C">
              <w:rPr>
                <w:rStyle w:val="Hyperlink"/>
                <w:noProof/>
              </w:rPr>
              <w:t>5.8.3</w:t>
            </w:r>
            <w:r w:rsidR="00460E92">
              <w:rPr>
                <w:rFonts w:asciiTheme="minorHAnsi" w:eastAsiaTheme="minorEastAsia" w:hAnsiTheme="minorHAnsi" w:cstheme="minorBidi"/>
                <w:noProof/>
                <w:sz w:val="22"/>
                <w:szCs w:val="22"/>
              </w:rPr>
              <w:tab/>
            </w:r>
            <w:r w:rsidR="00460E92" w:rsidRPr="00E56E5C">
              <w:rPr>
                <w:rStyle w:val="Hyperlink"/>
                <w:noProof/>
              </w:rPr>
              <w:t>Climate</w:t>
            </w:r>
            <w:r w:rsidR="00460E92">
              <w:rPr>
                <w:noProof/>
                <w:webHidden/>
              </w:rPr>
              <w:tab/>
            </w:r>
            <w:r w:rsidR="00460E92">
              <w:rPr>
                <w:noProof/>
                <w:webHidden/>
              </w:rPr>
              <w:fldChar w:fldCharType="begin"/>
            </w:r>
            <w:r w:rsidR="00460E92">
              <w:rPr>
                <w:noProof/>
                <w:webHidden/>
              </w:rPr>
              <w:instrText xml:space="preserve"> PAGEREF _Toc531597525 \h </w:instrText>
            </w:r>
            <w:r w:rsidR="00460E92">
              <w:rPr>
                <w:noProof/>
                <w:webHidden/>
              </w:rPr>
            </w:r>
            <w:r w:rsidR="00460E92">
              <w:rPr>
                <w:noProof/>
                <w:webHidden/>
              </w:rPr>
              <w:fldChar w:fldCharType="separate"/>
            </w:r>
            <w:r w:rsidR="00460E92">
              <w:rPr>
                <w:noProof/>
                <w:webHidden/>
              </w:rPr>
              <w:t>68</w:t>
            </w:r>
            <w:r w:rsidR="00460E92">
              <w:rPr>
                <w:noProof/>
                <w:webHidden/>
              </w:rPr>
              <w:fldChar w:fldCharType="end"/>
            </w:r>
          </w:hyperlink>
        </w:p>
        <w:p w14:paraId="4741F015" w14:textId="6B57809A"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6" w:history="1">
            <w:r w:rsidR="00460E92" w:rsidRPr="00E56E5C">
              <w:rPr>
                <w:rStyle w:val="Hyperlink"/>
                <w:noProof/>
              </w:rPr>
              <w:t>5.8.4</w:t>
            </w:r>
            <w:r w:rsidR="00460E92">
              <w:rPr>
                <w:rFonts w:asciiTheme="minorHAnsi" w:eastAsiaTheme="minorEastAsia" w:hAnsiTheme="minorHAnsi" w:cstheme="minorBidi"/>
                <w:noProof/>
                <w:sz w:val="22"/>
                <w:szCs w:val="22"/>
              </w:rPr>
              <w:tab/>
            </w:r>
            <w:r w:rsidR="00460E92" w:rsidRPr="00E56E5C">
              <w:rPr>
                <w:rStyle w:val="Hyperlink"/>
                <w:noProof/>
              </w:rPr>
              <w:t>Worker Morale: Job Satisfaction and Organizational Commitment</w:t>
            </w:r>
            <w:r w:rsidR="00460E92">
              <w:rPr>
                <w:noProof/>
                <w:webHidden/>
              </w:rPr>
              <w:tab/>
            </w:r>
            <w:r w:rsidR="00460E92">
              <w:rPr>
                <w:noProof/>
                <w:webHidden/>
              </w:rPr>
              <w:fldChar w:fldCharType="begin"/>
            </w:r>
            <w:r w:rsidR="00460E92">
              <w:rPr>
                <w:noProof/>
                <w:webHidden/>
              </w:rPr>
              <w:instrText xml:space="preserve"> PAGEREF _Toc531597526 \h </w:instrText>
            </w:r>
            <w:r w:rsidR="00460E92">
              <w:rPr>
                <w:noProof/>
                <w:webHidden/>
              </w:rPr>
            </w:r>
            <w:r w:rsidR="00460E92">
              <w:rPr>
                <w:noProof/>
                <w:webHidden/>
              </w:rPr>
              <w:fldChar w:fldCharType="separate"/>
            </w:r>
            <w:r w:rsidR="00460E92">
              <w:rPr>
                <w:noProof/>
                <w:webHidden/>
              </w:rPr>
              <w:t>69</w:t>
            </w:r>
            <w:r w:rsidR="00460E92">
              <w:rPr>
                <w:noProof/>
                <w:webHidden/>
              </w:rPr>
              <w:fldChar w:fldCharType="end"/>
            </w:r>
          </w:hyperlink>
        </w:p>
        <w:p w14:paraId="47A42667" w14:textId="74E45F7D"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27" w:history="1">
            <w:r w:rsidR="00460E92" w:rsidRPr="00E56E5C">
              <w:rPr>
                <w:rStyle w:val="Hyperlink"/>
                <w:noProof/>
              </w:rPr>
              <w:t>5.9</w:t>
            </w:r>
            <w:r w:rsidR="00460E92">
              <w:rPr>
                <w:rFonts w:asciiTheme="minorHAnsi" w:eastAsiaTheme="minorEastAsia" w:hAnsiTheme="minorHAnsi" w:cstheme="minorBidi"/>
                <w:noProof/>
                <w:sz w:val="22"/>
                <w:szCs w:val="22"/>
              </w:rPr>
              <w:tab/>
            </w:r>
            <w:r w:rsidR="00460E92" w:rsidRPr="00E56E5C">
              <w:rPr>
                <w:rStyle w:val="Hyperlink"/>
                <w:noProof/>
              </w:rPr>
              <w:t>Recruitment, Selection &amp; Retention</w:t>
            </w:r>
            <w:r w:rsidR="00460E92">
              <w:rPr>
                <w:noProof/>
                <w:webHidden/>
              </w:rPr>
              <w:tab/>
            </w:r>
            <w:r w:rsidR="00460E92">
              <w:rPr>
                <w:noProof/>
                <w:webHidden/>
              </w:rPr>
              <w:fldChar w:fldCharType="begin"/>
            </w:r>
            <w:r w:rsidR="00460E92">
              <w:rPr>
                <w:noProof/>
                <w:webHidden/>
              </w:rPr>
              <w:instrText xml:space="preserve"> PAGEREF _Toc531597527 \h </w:instrText>
            </w:r>
            <w:r w:rsidR="00460E92">
              <w:rPr>
                <w:noProof/>
                <w:webHidden/>
              </w:rPr>
            </w:r>
            <w:r w:rsidR="00460E92">
              <w:rPr>
                <w:noProof/>
                <w:webHidden/>
              </w:rPr>
              <w:fldChar w:fldCharType="separate"/>
            </w:r>
            <w:r w:rsidR="00460E92">
              <w:rPr>
                <w:noProof/>
                <w:webHidden/>
              </w:rPr>
              <w:t>71</w:t>
            </w:r>
            <w:r w:rsidR="00460E92">
              <w:rPr>
                <w:noProof/>
                <w:webHidden/>
              </w:rPr>
              <w:fldChar w:fldCharType="end"/>
            </w:r>
          </w:hyperlink>
        </w:p>
        <w:p w14:paraId="7F620FE9" w14:textId="4346B376"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8" w:history="1">
            <w:r w:rsidR="00460E92" w:rsidRPr="00E56E5C">
              <w:rPr>
                <w:rStyle w:val="Hyperlink"/>
                <w:noProof/>
              </w:rPr>
              <w:t>5.9.1</w:t>
            </w:r>
            <w:r w:rsidR="00460E92">
              <w:rPr>
                <w:rFonts w:asciiTheme="minorHAnsi" w:eastAsiaTheme="minorEastAsia" w:hAnsiTheme="minorHAnsi" w:cstheme="minorBidi"/>
                <w:noProof/>
                <w:sz w:val="22"/>
                <w:szCs w:val="22"/>
              </w:rPr>
              <w:tab/>
            </w:r>
            <w:r w:rsidR="00460E92" w:rsidRPr="00E56E5C">
              <w:rPr>
                <w:rStyle w:val="Hyperlink"/>
                <w:noProof/>
              </w:rPr>
              <w:t>Recruitment</w:t>
            </w:r>
            <w:r w:rsidR="00460E92">
              <w:rPr>
                <w:noProof/>
                <w:webHidden/>
              </w:rPr>
              <w:tab/>
            </w:r>
            <w:r w:rsidR="00460E92">
              <w:rPr>
                <w:noProof/>
                <w:webHidden/>
              </w:rPr>
              <w:fldChar w:fldCharType="begin"/>
            </w:r>
            <w:r w:rsidR="00460E92">
              <w:rPr>
                <w:noProof/>
                <w:webHidden/>
              </w:rPr>
              <w:instrText xml:space="preserve"> PAGEREF _Toc531597528 \h </w:instrText>
            </w:r>
            <w:r w:rsidR="00460E92">
              <w:rPr>
                <w:noProof/>
                <w:webHidden/>
              </w:rPr>
            </w:r>
            <w:r w:rsidR="00460E92">
              <w:rPr>
                <w:noProof/>
                <w:webHidden/>
              </w:rPr>
              <w:fldChar w:fldCharType="separate"/>
            </w:r>
            <w:r w:rsidR="00460E92">
              <w:rPr>
                <w:noProof/>
                <w:webHidden/>
              </w:rPr>
              <w:t>72</w:t>
            </w:r>
            <w:r w:rsidR="00460E92">
              <w:rPr>
                <w:noProof/>
                <w:webHidden/>
              </w:rPr>
              <w:fldChar w:fldCharType="end"/>
            </w:r>
          </w:hyperlink>
        </w:p>
        <w:p w14:paraId="70095D52" w14:textId="78D10F81"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29" w:history="1">
            <w:r w:rsidR="00460E92" w:rsidRPr="00E56E5C">
              <w:rPr>
                <w:rStyle w:val="Hyperlink"/>
                <w:noProof/>
              </w:rPr>
              <w:t>5.9.2</w:t>
            </w:r>
            <w:r w:rsidR="00460E92">
              <w:rPr>
                <w:rFonts w:asciiTheme="minorHAnsi" w:eastAsiaTheme="minorEastAsia" w:hAnsiTheme="minorHAnsi" w:cstheme="minorBidi"/>
                <w:noProof/>
                <w:sz w:val="22"/>
                <w:szCs w:val="22"/>
              </w:rPr>
              <w:tab/>
            </w:r>
            <w:r w:rsidR="00460E92" w:rsidRPr="00E56E5C">
              <w:rPr>
                <w:rStyle w:val="Hyperlink"/>
                <w:noProof/>
              </w:rPr>
              <w:t>Job Requirements</w:t>
            </w:r>
            <w:r w:rsidR="00460E92">
              <w:rPr>
                <w:noProof/>
                <w:webHidden/>
              </w:rPr>
              <w:tab/>
            </w:r>
            <w:r w:rsidR="00460E92">
              <w:rPr>
                <w:noProof/>
                <w:webHidden/>
              </w:rPr>
              <w:fldChar w:fldCharType="begin"/>
            </w:r>
            <w:r w:rsidR="00460E92">
              <w:rPr>
                <w:noProof/>
                <w:webHidden/>
              </w:rPr>
              <w:instrText xml:space="preserve"> PAGEREF _Toc531597529 \h </w:instrText>
            </w:r>
            <w:r w:rsidR="00460E92">
              <w:rPr>
                <w:noProof/>
                <w:webHidden/>
              </w:rPr>
            </w:r>
            <w:r w:rsidR="00460E92">
              <w:rPr>
                <w:noProof/>
                <w:webHidden/>
              </w:rPr>
              <w:fldChar w:fldCharType="separate"/>
            </w:r>
            <w:r w:rsidR="00460E92">
              <w:rPr>
                <w:noProof/>
                <w:webHidden/>
              </w:rPr>
              <w:t>73</w:t>
            </w:r>
            <w:r w:rsidR="00460E92">
              <w:rPr>
                <w:noProof/>
                <w:webHidden/>
              </w:rPr>
              <w:fldChar w:fldCharType="end"/>
            </w:r>
          </w:hyperlink>
        </w:p>
        <w:p w14:paraId="324E0069" w14:textId="2D9A649A"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0" w:history="1">
            <w:r w:rsidR="00460E92" w:rsidRPr="00E56E5C">
              <w:rPr>
                <w:rStyle w:val="Hyperlink"/>
                <w:noProof/>
              </w:rPr>
              <w:t>5.9.3</w:t>
            </w:r>
            <w:r w:rsidR="00460E92">
              <w:rPr>
                <w:rFonts w:asciiTheme="minorHAnsi" w:eastAsiaTheme="minorEastAsia" w:hAnsiTheme="minorHAnsi" w:cstheme="minorBidi"/>
                <w:noProof/>
                <w:sz w:val="22"/>
                <w:szCs w:val="22"/>
              </w:rPr>
              <w:tab/>
            </w:r>
            <w:r w:rsidR="00460E92" w:rsidRPr="00E56E5C">
              <w:rPr>
                <w:rStyle w:val="Hyperlink"/>
                <w:noProof/>
              </w:rPr>
              <w:t>Staff Qualifications</w:t>
            </w:r>
            <w:r w:rsidR="00460E92">
              <w:rPr>
                <w:noProof/>
                <w:webHidden/>
              </w:rPr>
              <w:tab/>
            </w:r>
            <w:r w:rsidR="00460E92">
              <w:rPr>
                <w:noProof/>
                <w:webHidden/>
              </w:rPr>
              <w:fldChar w:fldCharType="begin"/>
            </w:r>
            <w:r w:rsidR="00460E92">
              <w:rPr>
                <w:noProof/>
                <w:webHidden/>
              </w:rPr>
              <w:instrText xml:space="preserve"> PAGEREF _Toc531597530 \h </w:instrText>
            </w:r>
            <w:r w:rsidR="00460E92">
              <w:rPr>
                <w:noProof/>
                <w:webHidden/>
              </w:rPr>
            </w:r>
            <w:r w:rsidR="00460E92">
              <w:rPr>
                <w:noProof/>
                <w:webHidden/>
              </w:rPr>
              <w:fldChar w:fldCharType="separate"/>
            </w:r>
            <w:r w:rsidR="00460E92">
              <w:rPr>
                <w:noProof/>
                <w:webHidden/>
              </w:rPr>
              <w:t>74</w:t>
            </w:r>
            <w:r w:rsidR="00460E92">
              <w:rPr>
                <w:noProof/>
                <w:webHidden/>
              </w:rPr>
              <w:fldChar w:fldCharType="end"/>
            </w:r>
          </w:hyperlink>
        </w:p>
        <w:p w14:paraId="75728C17" w14:textId="4EA3F6BE"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1" w:history="1">
            <w:r w:rsidR="00460E92" w:rsidRPr="00E56E5C">
              <w:rPr>
                <w:rStyle w:val="Hyperlink"/>
                <w:noProof/>
              </w:rPr>
              <w:t>5.9.4</w:t>
            </w:r>
            <w:r w:rsidR="00460E92">
              <w:rPr>
                <w:rFonts w:asciiTheme="minorHAnsi" w:eastAsiaTheme="minorEastAsia" w:hAnsiTheme="minorHAnsi" w:cstheme="minorBidi"/>
                <w:noProof/>
                <w:sz w:val="22"/>
                <w:szCs w:val="22"/>
              </w:rPr>
              <w:tab/>
            </w:r>
            <w:r w:rsidR="00460E92" w:rsidRPr="00E56E5C">
              <w:rPr>
                <w:rStyle w:val="Hyperlink"/>
                <w:noProof/>
              </w:rPr>
              <w:t>Interviews and Competencies</w:t>
            </w:r>
            <w:r w:rsidR="00460E92">
              <w:rPr>
                <w:noProof/>
                <w:webHidden/>
              </w:rPr>
              <w:tab/>
            </w:r>
            <w:r w:rsidR="00460E92">
              <w:rPr>
                <w:noProof/>
                <w:webHidden/>
              </w:rPr>
              <w:fldChar w:fldCharType="begin"/>
            </w:r>
            <w:r w:rsidR="00460E92">
              <w:rPr>
                <w:noProof/>
                <w:webHidden/>
              </w:rPr>
              <w:instrText xml:space="preserve"> PAGEREF _Toc531597531 \h </w:instrText>
            </w:r>
            <w:r w:rsidR="00460E92">
              <w:rPr>
                <w:noProof/>
                <w:webHidden/>
              </w:rPr>
            </w:r>
            <w:r w:rsidR="00460E92">
              <w:rPr>
                <w:noProof/>
                <w:webHidden/>
              </w:rPr>
              <w:fldChar w:fldCharType="separate"/>
            </w:r>
            <w:r w:rsidR="00460E92">
              <w:rPr>
                <w:noProof/>
                <w:webHidden/>
              </w:rPr>
              <w:t>74</w:t>
            </w:r>
            <w:r w:rsidR="00460E92">
              <w:rPr>
                <w:noProof/>
                <w:webHidden/>
              </w:rPr>
              <w:fldChar w:fldCharType="end"/>
            </w:r>
          </w:hyperlink>
        </w:p>
        <w:p w14:paraId="4675474A" w14:textId="695C62F3"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2" w:history="1">
            <w:r w:rsidR="00460E92" w:rsidRPr="00E56E5C">
              <w:rPr>
                <w:rStyle w:val="Hyperlink"/>
                <w:noProof/>
              </w:rPr>
              <w:t>5.9.5</w:t>
            </w:r>
            <w:r w:rsidR="00460E92">
              <w:rPr>
                <w:rFonts w:asciiTheme="minorHAnsi" w:eastAsiaTheme="minorEastAsia" w:hAnsiTheme="minorHAnsi" w:cstheme="minorBidi"/>
                <w:noProof/>
                <w:sz w:val="22"/>
                <w:szCs w:val="22"/>
              </w:rPr>
              <w:tab/>
            </w:r>
            <w:r w:rsidR="00460E92" w:rsidRPr="00E56E5C">
              <w:rPr>
                <w:rStyle w:val="Hyperlink"/>
                <w:noProof/>
              </w:rPr>
              <w:t>Retention</w:t>
            </w:r>
            <w:r w:rsidR="00460E92">
              <w:rPr>
                <w:noProof/>
                <w:webHidden/>
              </w:rPr>
              <w:tab/>
            </w:r>
            <w:r w:rsidR="00460E92">
              <w:rPr>
                <w:noProof/>
                <w:webHidden/>
              </w:rPr>
              <w:fldChar w:fldCharType="begin"/>
            </w:r>
            <w:r w:rsidR="00460E92">
              <w:rPr>
                <w:noProof/>
                <w:webHidden/>
              </w:rPr>
              <w:instrText xml:space="preserve"> PAGEREF _Toc531597532 \h </w:instrText>
            </w:r>
            <w:r w:rsidR="00460E92">
              <w:rPr>
                <w:noProof/>
                <w:webHidden/>
              </w:rPr>
            </w:r>
            <w:r w:rsidR="00460E92">
              <w:rPr>
                <w:noProof/>
                <w:webHidden/>
              </w:rPr>
              <w:fldChar w:fldCharType="separate"/>
            </w:r>
            <w:r w:rsidR="00460E92">
              <w:rPr>
                <w:noProof/>
                <w:webHidden/>
              </w:rPr>
              <w:t>75</w:t>
            </w:r>
            <w:r w:rsidR="00460E92">
              <w:rPr>
                <w:noProof/>
                <w:webHidden/>
              </w:rPr>
              <w:fldChar w:fldCharType="end"/>
            </w:r>
          </w:hyperlink>
        </w:p>
        <w:p w14:paraId="1C3CC251" w14:textId="5AB4F662" w:rsidR="00460E92" w:rsidRDefault="00320DFB">
          <w:pPr>
            <w:pStyle w:val="TOC1"/>
            <w:tabs>
              <w:tab w:val="left" w:pos="440"/>
            </w:tabs>
            <w:rPr>
              <w:rFonts w:asciiTheme="minorHAnsi" w:eastAsiaTheme="minorEastAsia" w:hAnsiTheme="minorHAnsi" w:cstheme="minorBidi"/>
              <w:noProof/>
              <w:sz w:val="22"/>
              <w:szCs w:val="22"/>
            </w:rPr>
          </w:pPr>
          <w:hyperlink w:anchor="_Toc531597533" w:history="1">
            <w:r w:rsidR="00460E92" w:rsidRPr="00E56E5C">
              <w:rPr>
                <w:rStyle w:val="Hyperlink"/>
                <w:noProof/>
              </w:rPr>
              <w:t>6</w:t>
            </w:r>
            <w:r w:rsidR="00460E92">
              <w:rPr>
                <w:rFonts w:asciiTheme="minorHAnsi" w:eastAsiaTheme="minorEastAsia" w:hAnsiTheme="minorHAnsi" w:cstheme="minorBidi"/>
                <w:noProof/>
                <w:sz w:val="22"/>
                <w:szCs w:val="22"/>
              </w:rPr>
              <w:tab/>
            </w:r>
            <w:r w:rsidR="00460E92" w:rsidRPr="00E56E5C">
              <w:rPr>
                <w:rStyle w:val="Hyperlink"/>
                <w:noProof/>
              </w:rPr>
              <w:t>Implications for JR Residential Staffing Model</w:t>
            </w:r>
            <w:r w:rsidR="00460E92">
              <w:rPr>
                <w:noProof/>
                <w:webHidden/>
              </w:rPr>
              <w:tab/>
            </w:r>
            <w:r w:rsidR="00460E92">
              <w:rPr>
                <w:noProof/>
                <w:webHidden/>
              </w:rPr>
              <w:fldChar w:fldCharType="begin"/>
            </w:r>
            <w:r w:rsidR="00460E92">
              <w:rPr>
                <w:noProof/>
                <w:webHidden/>
              </w:rPr>
              <w:instrText xml:space="preserve"> PAGEREF _Toc531597533 \h </w:instrText>
            </w:r>
            <w:r w:rsidR="00460E92">
              <w:rPr>
                <w:noProof/>
                <w:webHidden/>
              </w:rPr>
            </w:r>
            <w:r w:rsidR="00460E92">
              <w:rPr>
                <w:noProof/>
                <w:webHidden/>
              </w:rPr>
              <w:fldChar w:fldCharType="separate"/>
            </w:r>
            <w:r w:rsidR="00460E92">
              <w:rPr>
                <w:noProof/>
                <w:webHidden/>
              </w:rPr>
              <w:t>77</w:t>
            </w:r>
            <w:r w:rsidR="00460E92">
              <w:rPr>
                <w:noProof/>
                <w:webHidden/>
              </w:rPr>
              <w:fldChar w:fldCharType="end"/>
            </w:r>
          </w:hyperlink>
        </w:p>
        <w:p w14:paraId="61F76E7F" w14:textId="4AE20EE6"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34" w:history="1">
            <w:r w:rsidR="00460E92" w:rsidRPr="00E56E5C">
              <w:rPr>
                <w:rStyle w:val="Hyperlink"/>
                <w:noProof/>
              </w:rPr>
              <w:t>6.1</w:t>
            </w:r>
            <w:r w:rsidR="00460E92">
              <w:rPr>
                <w:rFonts w:asciiTheme="minorHAnsi" w:eastAsiaTheme="minorEastAsia" w:hAnsiTheme="minorHAnsi" w:cstheme="minorBidi"/>
                <w:noProof/>
                <w:sz w:val="22"/>
                <w:szCs w:val="22"/>
              </w:rPr>
              <w:tab/>
            </w:r>
            <w:r w:rsidR="00460E92" w:rsidRPr="00E56E5C">
              <w:rPr>
                <w:rStyle w:val="Hyperlink"/>
                <w:noProof/>
              </w:rPr>
              <w:t>Staffing Levels and Ratios</w:t>
            </w:r>
            <w:r w:rsidR="00460E92">
              <w:rPr>
                <w:noProof/>
                <w:webHidden/>
              </w:rPr>
              <w:tab/>
            </w:r>
            <w:r w:rsidR="00460E92">
              <w:rPr>
                <w:noProof/>
                <w:webHidden/>
              </w:rPr>
              <w:fldChar w:fldCharType="begin"/>
            </w:r>
            <w:r w:rsidR="00460E92">
              <w:rPr>
                <w:noProof/>
                <w:webHidden/>
              </w:rPr>
              <w:instrText xml:space="preserve"> PAGEREF _Toc531597534 \h </w:instrText>
            </w:r>
            <w:r w:rsidR="00460E92">
              <w:rPr>
                <w:noProof/>
                <w:webHidden/>
              </w:rPr>
            </w:r>
            <w:r w:rsidR="00460E92">
              <w:rPr>
                <w:noProof/>
                <w:webHidden/>
              </w:rPr>
              <w:fldChar w:fldCharType="separate"/>
            </w:r>
            <w:r w:rsidR="00460E92">
              <w:rPr>
                <w:noProof/>
                <w:webHidden/>
              </w:rPr>
              <w:t>77</w:t>
            </w:r>
            <w:r w:rsidR="00460E92">
              <w:rPr>
                <w:noProof/>
                <w:webHidden/>
              </w:rPr>
              <w:fldChar w:fldCharType="end"/>
            </w:r>
          </w:hyperlink>
        </w:p>
        <w:p w14:paraId="6C56EC81" w14:textId="0D21FCF1"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5" w:history="1">
            <w:r w:rsidR="00460E92" w:rsidRPr="00E56E5C">
              <w:rPr>
                <w:rStyle w:val="Hyperlink"/>
                <w:noProof/>
              </w:rPr>
              <w:t>6.1.1</w:t>
            </w:r>
            <w:r w:rsidR="00460E92">
              <w:rPr>
                <w:rFonts w:asciiTheme="minorHAnsi" w:eastAsiaTheme="minorEastAsia" w:hAnsiTheme="minorHAnsi" w:cstheme="minorBidi"/>
                <w:noProof/>
                <w:sz w:val="22"/>
                <w:szCs w:val="22"/>
              </w:rPr>
              <w:tab/>
            </w:r>
            <w:r w:rsidR="00460E92" w:rsidRPr="00E56E5C">
              <w:rPr>
                <w:rStyle w:val="Hyperlink"/>
                <w:noProof/>
              </w:rPr>
              <w:t>Overtime and On-Call Staff</w:t>
            </w:r>
            <w:r w:rsidR="00460E92">
              <w:rPr>
                <w:noProof/>
                <w:webHidden/>
              </w:rPr>
              <w:tab/>
            </w:r>
            <w:r w:rsidR="00460E92">
              <w:rPr>
                <w:noProof/>
                <w:webHidden/>
              </w:rPr>
              <w:fldChar w:fldCharType="begin"/>
            </w:r>
            <w:r w:rsidR="00460E92">
              <w:rPr>
                <w:noProof/>
                <w:webHidden/>
              </w:rPr>
              <w:instrText xml:space="preserve"> PAGEREF _Toc531597535 \h </w:instrText>
            </w:r>
            <w:r w:rsidR="00460E92">
              <w:rPr>
                <w:noProof/>
                <w:webHidden/>
              </w:rPr>
            </w:r>
            <w:r w:rsidR="00460E92">
              <w:rPr>
                <w:noProof/>
                <w:webHidden/>
              </w:rPr>
              <w:fldChar w:fldCharType="separate"/>
            </w:r>
            <w:r w:rsidR="00460E92">
              <w:rPr>
                <w:noProof/>
                <w:webHidden/>
              </w:rPr>
              <w:t>77</w:t>
            </w:r>
            <w:r w:rsidR="00460E92">
              <w:rPr>
                <w:noProof/>
                <w:webHidden/>
              </w:rPr>
              <w:fldChar w:fldCharType="end"/>
            </w:r>
          </w:hyperlink>
        </w:p>
        <w:p w14:paraId="5DBC000E" w14:textId="1755ED50"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6" w:history="1">
            <w:r w:rsidR="00460E92" w:rsidRPr="00E56E5C">
              <w:rPr>
                <w:rStyle w:val="Hyperlink"/>
                <w:noProof/>
              </w:rPr>
              <w:t>6.1.2</w:t>
            </w:r>
            <w:r w:rsidR="00460E92">
              <w:rPr>
                <w:rFonts w:asciiTheme="minorHAnsi" w:eastAsiaTheme="minorEastAsia" w:hAnsiTheme="minorHAnsi" w:cstheme="minorBidi"/>
                <w:noProof/>
                <w:sz w:val="22"/>
                <w:szCs w:val="22"/>
              </w:rPr>
              <w:tab/>
            </w:r>
            <w:r w:rsidR="00460E92" w:rsidRPr="00E56E5C">
              <w:rPr>
                <w:rStyle w:val="Hyperlink"/>
                <w:noProof/>
              </w:rPr>
              <w:t>Shift Relief Factor</w:t>
            </w:r>
            <w:r w:rsidR="00460E92">
              <w:rPr>
                <w:noProof/>
                <w:webHidden/>
              </w:rPr>
              <w:tab/>
            </w:r>
            <w:r w:rsidR="00460E92">
              <w:rPr>
                <w:noProof/>
                <w:webHidden/>
              </w:rPr>
              <w:fldChar w:fldCharType="begin"/>
            </w:r>
            <w:r w:rsidR="00460E92">
              <w:rPr>
                <w:noProof/>
                <w:webHidden/>
              </w:rPr>
              <w:instrText xml:space="preserve"> PAGEREF _Toc531597536 \h </w:instrText>
            </w:r>
            <w:r w:rsidR="00460E92">
              <w:rPr>
                <w:noProof/>
                <w:webHidden/>
              </w:rPr>
            </w:r>
            <w:r w:rsidR="00460E92">
              <w:rPr>
                <w:noProof/>
                <w:webHidden/>
              </w:rPr>
              <w:fldChar w:fldCharType="separate"/>
            </w:r>
            <w:r w:rsidR="00460E92">
              <w:rPr>
                <w:noProof/>
                <w:webHidden/>
              </w:rPr>
              <w:t>78</w:t>
            </w:r>
            <w:r w:rsidR="00460E92">
              <w:rPr>
                <w:noProof/>
                <w:webHidden/>
              </w:rPr>
              <w:fldChar w:fldCharType="end"/>
            </w:r>
          </w:hyperlink>
        </w:p>
        <w:p w14:paraId="105B0835" w14:textId="19368AD0"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7" w:history="1">
            <w:r w:rsidR="00460E92" w:rsidRPr="00E56E5C">
              <w:rPr>
                <w:rStyle w:val="Hyperlink"/>
                <w:noProof/>
              </w:rPr>
              <w:t>6.1.3</w:t>
            </w:r>
            <w:r w:rsidR="00460E92">
              <w:rPr>
                <w:rFonts w:asciiTheme="minorHAnsi" w:eastAsiaTheme="minorEastAsia" w:hAnsiTheme="minorHAnsi" w:cstheme="minorBidi"/>
                <w:noProof/>
                <w:sz w:val="22"/>
                <w:szCs w:val="22"/>
              </w:rPr>
              <w:tab/>
            </w:r>
            <w:r w:rsidR="00460E92" w:rsidRPr="00E56E5C">
              <w:rPr>
                <w:rStyle w:val="Hyperlink"/>
                <w:noProof/>
              </w:rPr>
              <w:t>Staffing Ratios</w:t>
            </w:r>
            <w:r w:rsidR="00460E92">
              <w:rPr>
                <w:noProof/>
                <w:webHidden/>
              </w:rPr>
              <w:tab/>
            </w:r>
            <w:r w:rsidR="00460E92">
              <w:rPr>
                <w:noProof/>
                <w:webHidden/>
              </w:rPr>
              <w:fldChar w:fldCharType="begin"/>
            </w:r>
            <w:r w:rsidR="00460E92">
              <w:rPr>
                <w:noProof/>
                <w:webHidden/>
              </w:rPr>
              <w:instrText xml:space="preserve"> PAGEREF _Toc531597537 \h </w:instrText>
            </w:r>
            <w:r w:rsidR="00460E92">
              <w:rPr>
                <w:noProof/>
                <w:webHidden/>
              </w:rPr>
            </w:r>
            <w:r w:rsidR="00460E92">
              <w:rPr>
                <w:noProof/>
                <w:webHidden/>
              </w:rPr>
              <w:fldChar w:fldCharType="separate"/>
            </w:r>
            <w:r w:rsidR="00460E92">
              <w:rPr>
                <w:noProof/>
                <w:webHidden/>
              </w:rPr>
              <w:t>79</w:t>
            </w:r>
            <w:r w:rsidR="00460E92">
              <w:rPr>
                <w:noProof/>
                <w:webHidden/>
              </w:rPr>
              <w:fldChar w:fldCharType="end"/>
            </w:r>
          </w:hyperlink>
        </w:p>
        <w:p w14:paraId="0F569B0B" w14:textId="4BC4A481"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38" w:history="1">
            <w:r w:rsidR="00460E92" w:rsidRPr="00E56E5C">
              <w:rPr>
                <w:rStyle w:val="Hyperlink"/>
                <w:noProof/>
              </w:rPr>
              <w:t>6.2</w:t>
            </w:r>
            <w:r w:rsidR="00460E92">
              <w:rPr>
                <w:rFonts w:asciiTheme="minorHAnsi" w:eastAsiaTheme="minorEastAsia" w:hAnsiTheme="minorHAnsi" w:cstheme="minorBidi"/>
                <w:noProof/>
                <w:sz w:val="22"/>
                <w:szCs w:val="22"/>
              </w:rPr>
              <w:tab/>
            </w:r>
            <w:r w:rsidR="00460E92" w:rsidRPr="00E56E5C">
              <w:rPr>
                <w:rStyle w:val="Hyperlink"/>
                <w:noProof/>
              </w:rPr>
              <w:t>Staff Responsibilites and Requirements</w:t>
            </w:r>
            <w:r w:rsidR="00460E92">
              <w:rPr>
                <w:noProof/>
                <w:webHidden/>
              </w:rPr>
              <w:tab/>
            </w:r>
            <w:r w:rsidR="00460E92">
              <w:rPr>
                <w:noProof/>
                <w:webHidden/>
              </w:rPr>
              <w:fldChar w:fldCharType="begin"/>
            </w:r>
            <w:r w:rsidR="00460E92">
              <w:rPr>
                <w:noProof/>
                <w:webHidden/>
              </w:rPr>
              <w:instrText xml:space="preserve"> PAGEREF _Toc531597538 \h </w:instrText>
            </w:r>
            <w:r w:rsidR="00460E92">
              <w:rPr>
                <w:noProof/>
                <w:webHidden/>
              </w:rPr>
            </w:r>
            <w:r w:rsidR="00460E92">
              <w:rPr>
                <w:noProof/>
                <w:webHidden/>
              </w:rPr>
              <w:fldChar w:fldCharType="separate"/>
            </w:r>
            <w:r w:rsidR="00460E92">
              <w:rPr>
                <w:noProof/>
                <w:webHidden/>
              </w:rPr>
              <w:t>79</w:t>
            </w:r>
            <w:r w:rsidR="00460E92">
              <w:rPr>
                <w:noProof/>
                <w:webHidden/>
              </w:rPr>
              <w:fldChar w:fldCharType="end"/>
            </w:r>
          </w:hyperlink>
        </w:p>
        <w:p w14:paraId="0886BAE8" w14:textId="59458404"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39" w:history="1">
            <w:r w:rsidR="00460E92" w:rsidRPr="00E56E5C">
              <w:rPr>
                <w:rStyle w:val="Hyperlink"/>
                <w:noProof/>
              </w:rPr>
              <w:t>6.2.1</w:t>
            </w:r>
            <w:r w:rsidR="00460E92">
              <w:rPr>
                <w:rFonts w:asciiTheme="minorHAnsi" w:eastAsiaTheme="minorEastAsia" w:hAnsiTheme="minorHAnsi" w:cstheme="minorBidi"/>
                <w:noProof/>
                <w:sz w:val="22"/>
                <w:szCs w:val="22"/>
              </w:rPr>
              <w:tab/>
            </w:r>
            <w:r w:rsidR="00460E92" w:rsidRPr="00E56E5C">
              <w:rPr>
                <w:rStyle w:val="Hyperlink"/>
                <w:noProof/>
              </w:rPr>
              <w:t>Case Management and Rehabilitation Model Time Requirements</w:t>
            </w:r>
            <w:r w:rsidR="00460E92">
              <w:rPr>
                <w:noProof/>
                <w:webHidden/>
              </w:rPr>
              <w:tab/>
            </w:r>
            <w:r w:rsidR="00460E92">
              <w:rPr>
                <w:noProof/>
                <w:webHidden/>
              </w:rPr>
              <w:fldChar w:fldCharType="begin"/>
            </w:r>
            <w:r w:rsidR="00460E92">
              <w:rPr>
                <w:noProof/>
                <w:webHidden/>
              </w:rPr>
              <w:instrText xml:space="preserve"> PAGEREF _Toc531597539 \h </w:instrText>
            </w:r>
            <w:r w:rsidR="00460E92">
              <w:rPr>
                <w:noProof/>
                <w:webHidden/>
              </w:rPr>
            </w:r>
            <w:r w:rsidR="00460E92">
              <w:rPr>
                <w:noProof/>
                <w:webHidden/>
              </w:rPr>
              <w:fldChar w:fldCharType="separate"/>
            </w:r>
            <w:r w:rsidR="00460E92">
              <w:rPr>
                <w:noProof/>
                <w:webHidden/>
              </w:rPr>
              <w:t>80</w:t>
            </w:r>
            <w:r w:rsidR="00460E92">
              <w:rPr>
                <w:noProof/>
                <w:webHidden/>
              </w:rPr>
              <w:fldChar w:fldCharType="end"/>
            </w:r>
          </w:hyperlink>
        </w:p>
        <w:p w14:paraId="33BD1BD1" w14:textId="60C95F3F"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40" w:history="1">
            <w:r w:rsidR="00460E92" w:rsidRPr="00E56E5C">
              <w:rPr>
                <w:rStyle w:val="Hyperlink"/>
                <w:noProof/>
              </w:rPr>
              <w:t>6.2.2</w:t>
            </w:r>
            <w:r w:rsidR="00460E92">
              <w:rPr>
                <w:rFonts w:asciiTheme="minorHAnsi" w:eastAsiaTheme="minorEastAsia" w:hAnsiTheme="minorHAnsi" w:cstheme="minorBidi"/>
                <w:noProof/>
                <w:sz w:val="22"/>
                <w:szCs w:val="22"/>
              </w:rPr>
              <w:tab/>
            </w:r>
            <w:r w:rsidR="00460E92" w:rsidRPr="00E56E5C">
              <w:rPr>
                <w:rStyle w:val="Hyperlink"/>
                <w:noProof/>
              </w:rPr>
              <w:t>Staff Qualifications and Competencies</w:t>
            </w:r>
            <w:r w:rsidR="00460E92">
              <w:rPr>
                <w:noProof/>
                <w:webHidden/>
              </w:rPr>
              <w:tab/>
            </w:r>
            <w:r w:rsidR="00460E92">
              <w:rPr>
                <w:noProof/>
                <w:webHidden/>
              </w:rPr>
              <w:fldChar w:fldCharType="begin"/>
            </w:r>
            <w:r w:rsidR="00460E92">
              <w:rPr>
                <w:noProof/>
                <w:webHidden/>
              </w:rPr>
              <w:instrText xml:space="preserve"> PAGEREF _Toc531597540 \h </w:instrText>
            </w:r>
            <w:r w:rsidR="00460E92">
              <w:rPr>
                <w:noProof/>
                <w:webHidden/>
              </w:rPr>
            </w:r>
            <w:r w:rsidR="00460E92">
              <w:rPr>
                <w:noProof/>
                <w:webHidden/>
              </w:rPr>
              <w:fldChar w:fldCharType="separate"/>
            </w:r>
            <w:r w:rsidR="00460E92">
              <w:rPr>
                <w:noProof/>
                <w:webHidden/>
              </w:rPr>
              <w:t>80</w:t>
            </w:r>
            <w:r w:rsidR="00460E92">
              <w:rPr>
                <w:noProof/>
                <w:webHidden/>
              </w:rPr>
              <w:fldChar w:fldCharType="end"/>
            </w:r>
          </w:hyperlink>
        </w:p>
        <w:p w14:paraId="78E0E9FA" w14:textId="31D3F16A"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41" w:history="1">
            <w:r w:rsidR="00460E92" w:rsidRPr="00E56E5C">
              <w:rPr>
                <w:rStyle w:val="Hyperlink"/>
                <w:noProof/>
              </w:rPr>
              <w:t>6.2.3</w:t>
            </w:r>
            <w:r w:rsidR="00460E92">
              <w:rPr>
                <w:rFonts w:asciiTheme="minorHAnsi" w:eastAsiaTheme="minorEastAsia" w:hAnsiTheme="minorHAnsi" w:cstheme="minorBidi"/>
                <w:noProof/>
                <w:sz w:val="22"/>
                <w:szCs w:val="22"/>
              </w:rPr>
              <w:tab/>
            </w:r>
            <w:r w:rsidR="00460E92" w:rsidRPr="00E56E5C">
              <w:rPr>
                <w:rStyle w:val="Hyperlink"/>
                <w:noProof/>
              </w:rPr>
              <w:t>Training and Onboarding Staff to Meet Job Requirements</w:t>
            </w:r>
            <w:r w:rsidR="00460E92">
              <w:rPr>
                <w:noProof/>
                <w:webHidden/>
              </w:rPr>
              <w:tab/>
            </w:r>
            <w:r w:rsidR="00460E92">
              <w:rPr>
                <w:noProof/>
                <w:webHidden/>
              </w:rPr>
              <w:fldChar w:fldCharType="begin"/>
            </w:r>
            <w:r w:rsidR="00460E92">
              <w:rPr>
                <w:noProof/>
                <w:webHidden/>
              </w:rPr>
              <w:instrText xml:space="preserve"> PAGEREF _Toc531597541 \h </w:instrText>
            </w:r>
            <w:r w:rsidR="00460E92">
              <w:rPr>
                <w:noProof/>
                <w:webHidden/>
              </w:rPr>
            </w:r>
            <w:r w:rsidR="00460E92">
              <w:rPr>
                <w:noProof/>
                <w:webHidden/>
              </w:rPr>
              <w:fldChar w:fldCharType="separate"/>
            </w:r>
            <w:r w:rsidR="00460E92">
              <w:rPr>
                <w:noProof/>
                <w:webHidden/>
              </w:rPr>
              <w:t>81</w:t>
            </w:r>
            <w:r w:rsidR="00460E92">
              <w:rPr>
                <w:noProof/>
                <w:webHidden/>
              </w:rPr>
              <w:fldChar w:fldCharType="end"/>
            </w:r>
          </w:hyperlink>
        </w:p>
        <w:p w14:paraId="677D1FD8" w14:textId="59ACA8DF"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42" w:history="1">
            <w:r w:rsidR="00460E92" w:rsidRPr="00E56E5C">
              <w:rPr>
                <w:rStyle w:val="Hyperlink"/>
                <w:noProof/>
              </w:rPr>
              <w:t>6.3</w:t>
            </w:r>
            <w:r w:rsidR="00460E92">
              <w:rPr>
                <w:rFonts w:asciiTheme="minorHAnsi" w:eastAsiaTheme="minorEastAsia" w:hAnsiTheme="minorHAnsi" w:cstheme="minorBidi"/>
                <w:noProof/>
                <w:sz w:val="22"/>
                <w:szCs w:val="22"/>
              </w:rPr>
              <w:tab/>
            </w:r>
            <w:r w:rsidR="00460E92" w:rsidRPr="00E56E5C">
              <w:rPr>
                <w:rStyle w:val="Hyperlink"/>
                <w:noProof/>
              </w:rPr>
              <w:t>Organizational Factors Linked to Turnover/Retention</w:t>
            </w:r>
            <w:r w:rsidR="00460E92">
              <w:rPr>
                <w:noProof/>
                <w:webHidden/>
              </w:rPr>
              <w:tab/>
            </w:r>
            <w:r w:rsidR="00460E92">
              <w:rPr>
                <w:noProof/>
                <w:webHidden/>
              </w:rPr>
              <w:fldChar w:fldCharType="begin"/>
            </w:r>
            <w:r w:rsidR="00460E92">
              <w:rPr>
                <w:noProof/>
                <w:webHidden/>
              </w:rPr>
              <w:instrText xml:space="preserve"> PAGEREF _Toc531597542 \h </w:instrText>
            </w:r>
            <w:r w:rsidR="00460E92">
              <w:rPr>
                <w:noProof/>
                <w:webHidden/>
              </w:rPr>
            </w:r>
            <w:r w:rsidR="00460E92">
              <w:rPr>
                <w:noProof/>
                <w:webHidden/>
              </w:rPr>
              <w:fldChar w:fldCharType="separate"/>
            </w:r>
            <w:r w:rsidR="00460E92">
              <w:rPr>
                <w:noProof/>
                <w:webHidden/>
              </w:rPr>
              <w:t>81</w:t>
            </w:r>
            <w:r w:rsidR="00460E92">
              <w:rPr>
                <w:noProof/>
                <w:webHidden/>
              </w:rPr>
              <w:fldChar w:fldCharType="end"/>
            </w:r>
          </w:hyperlink>
        </w:p>
        <w:p w14:paraId="463B7D68" w14:textId="2DD2295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43" w:history="1">
            <w:r w:rsidR="00460E92" w:rsidRPr="00E56E5C">
              <w:rPr>
                <w:rStyle w:val="Hyperlink"/>
                <w:noProof/>
              </w:rPr>
              <w:t>6.3.1</w:t>
            </w:r>
            <w:r w:rsidR="00460E92">
              <w:rPr>
                <w:rFonts w:asciiTheme="minorHAnsi" w:eastAsiaTheme="minorEastAsia" w:hAnsiTheme="minorHAnsi" w:cstheme="minorBidi"/>
                <w:noProof/>
                <w:sz w:val="22"/>
                <w:szCs w:val="22"/>
              </w:rPr>
              <w:tab/>
            </w:r>
            <w:r w:rsidR="00460E92" w:rsidRPr="00E56E5C">
              <w:rPr>
                <w:rStyle w:val="Hyperlink"/>
                <w:noProof/>
              </w:rPr>
              <w:t>Staff Demographics</w:t>
            </w:r>
            <w:r w:rsidR="00460E92">
              <w:rPr>
                <w:noProof/>
                <w:webHidden/>
              </w:rPr>
              <w:tab/>
            </w:r>
            <w:r w:rsidR="00460E92">
              <w:rPr>
                <w:noProof/>
                <w:webHidden/>
              </w:rPr>
              <w:fldChar w:fldCharType="begin"/>
            </w:r>
            <w:r w:rsidR="00460E92">
              <w:rPr>
                <w:noProof/>
                <w:webHidden/>
              </w:rPr>
              <w:instrText xml:space="preserve"> PAGEREF _Toc531597543 \h </w:instrText>
            </w:r>
            <w:r w:rsidR="00460E92">
              <w:rPr>
                <w:noProof/>
                <w:webHidden/>
              </w:rPr>
            </w:r>
            <w:r w:rsidR="00460E92">
              <w:rPr>
                <w:noProof/>
                <w:webHidden/>
              </w:rPr>
              <w:fldChar w:fldCharType="separate"/>
            </w:r>
            <w:r w:rsidR="00460E92">
              <w:rPr>
                <w:noProof/>
                <w:webHidden/>
              </w:rPr>
              <w:t>81</w:t>
            </w:r>
            <w:r w:rsidR="00460E92">
              <w:rPr>
                <w:noProof/>
                <w:webHidden/>
              </w:rPr>
              <w:fldChar w:fldCharType="end"/>
            </w:r>
          </w:hyperlink>
        </w:p>
        <w:p w14:paraId="7346D3BF" w14:textId="338E907E"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44" w:history="1">
            <w:r w:rsidR="00460E92" w:rsidRPr="00E56E5C">
              <w:rPr>
                <w:rStyle w:val="Hyperlink"/>
                <w:noProof/>
              </w:rPr>
              <w:t>6.3.2</w:t>
            </w:r>
            <w:r w:rsidR="00460E92">
              <w:rPr>
                <w:rFonts w:asciiTheme="minorHAnsi" w:eastAsiaTheme="minorEastAsia" w:hAnsiTheme="minorHAnsi" w:cstheme="minorBidi"/>
                <w:noProof/>
                <w:sz w:val="22"/>
                <w:szCs w:val="22"/>
              </w:rPr>
              <w:tab/>
            </w:r>
            <w:r w:rsidR="00460E92" w:rsidRPr="00E56E5C">
              <w:rPr>
                <w:rStyle w:val="Hyperlink"/>
                <w:noProof/>
              </w:rPr>
              <w:t>Salary</w:t>
            </w:r>
            <w:r w:rsidR="00460E92">
              <w:rPr>
                <w:noProof/>
                <w:webHidden/>
              </w:rPr>
              <w:tab/>
            </w:r>
            <w:r w:rsidR="00460E92">
              <w:rPr>
                <w:noProof/>
                <w:webHidden/>
              </w:rPr>
              <w:fldChar w:fldCharType="begin"/>
            </w:r>
            <w:r w:rsidR="00460E92">
              <w:rPr>
                <w:noProof/>
                <w:webHidden/>
              </w:rPr>
              <w:instrText xml:space="preserve"> PAGEREF _Toc531597544 \h </w:instrText>
            </w:r>
            <w:r w:rsidR="00460E92">
              <w:rPr>
                <w:noProof/>
                <w:webHidden/>
              </w:rPr>
            </w:r>
            <w:r w:rsidR="00460E92">
              <w:rPr>
                <w:noProof/>
                <w:webHidden/>
              </w:rPr>
              <w:fldChar w:fldCharType="separate"/>
            </w:r>
            <w:r w:rsidR="00460E92">
              <w:rPr>
                <w:noProof/>
                <w:webHidden/>
              </w:rPr>
              <w:t>82</w:t>
            </w:r>
            <w:r w:rsidR="00460E92">
              <w:rPr>
                <w:noProof/>
                <w:webHidden/>
              </w:rPr>
              <w:fldChar w:fldCharType="end"/>
            </w:r>
          </w:hyperlink>
        </w:p>
        <w:p w14:paraId="7F3645D6" w14:textId="3D3B262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45" w:history="1">
            <w:r w:rsidR="00460E92" w:rsidRPr="00E56E5C">
              <w:rPr>
                <w:rStyle w:val="Hyperlink"/>
                <w:noProof/>
              </w:rPr>
              <w:t>6.3.3</w:t>
            </w:r>
            <w:r w:rsidR="00460E92">
              <w:rPr>
                <w:rFonts w:asciiTheme="minorHAnsi" w:eastAsiaTheme="minorEastAsia" w:hAnsiTheme="minorHAnsi" w:cstheme="minorBidi"/>
                <w:noProof/>
                <w:sz w:val="22"/>
                <w:szCs w:val="22"/>
              </w:rPr>
              <w:tab/>
            </w:r>
            <w:r w:rsidR="00460E92" w:rsidRPr="00E56E5C">
              <w:rPr>
                <w:rStyle w:val="Hyperlink"/>
                <w:noProof/>
              </w:rPr>
              <w:t>Culture, Climate &amp; Morale</w:t>
            </w:r>
            <w:r w:rsidR="00460E92">
              <w:rPr>
                <w:noProof/>
                <w:webHidden/>
              </w:rPr>
              <w:tab/>
            </w:r>
            <w:r w:rsidR="00460E92">
              <w:rPr>
                <w:noProof/>
                <w:webHidden/>
              </w:rPr>
              <w:fldChar w:fldCharType="begin"/>
            </w:r>
            <w:r w:rsidR="00460E92">
              <w:rPr>
                <w:noProof/>
                <w:webHidden/>
              </w:rPr>
              <w:instrText xml:space="preserve"> PAGEREF _Toc531597545 \h </w:instrText>
            </w:r>
            <w:r w:rsidR="00460E92">
              <w:rPr>
                <w:noProof/>
                <w:webHidden/>
              </w:rPr>
            </w:r>
            <w:r w:rsidR="00460E92">
              <w:rPr>
                <w:noProof/>
                <w:webHidden/>
              </w:rPr>
              <w:fldChar w:fldCharType="separate"/>
            </w:r>
            <w:r w:rsidR="00460E92">
              <w:rPr>
                <w:noProof/>
                <w:webHidden/>
              </w:rPr>
              <w:t>82</w:t>
            </w:r>
            <w:r w:rsidR="00460E92">
              <w:rPr>
                <w:noProof/>
                <w:webHidden/>
              </w:rPr>
              <w:fldChar w:fldCharType="end"/>
            </w:r>
          </w:hyperlink>
        </w:p>
        <w:p w14:paraId="602221E5" w14:textId="0ADC25AF" w:rsidR="00460E92" w:rsidRDefault="00320DFB">
          <w:pPr>
            <w:pStyle w:val="TOC1"/>
            <w:tabs>
              <w:tab w:val="left" w:pos="440"/>
            </w:tabs>
            <w:rPr>
              <w:rFonts w:asciiTheme="minorHAnsi" w:eastAsiaTheme="minorEastAsia" w:hAnsiTheme="minorHAnsi" w:cstheme="minorBidi"/>
              <w:noProof/>
              <w:sz w:val="22"/>
              <w:szCs w:val="22"/>
            </w:rPr>
          </w:pPr>
          <w:hyperlink w:anchor="_Toc531597546" w:history="1">
            <w:r w:rsidR="00460E92" w:rsidRPr="00E56E5C">
              <w:rPr>
                <w:rStyle w:val="Hyperlink"/>
                <w:noProof/>
              </w:rPr>
              <w:t>7</w:t>
            </w:r>
            <w:r w:rsidR="00460E92">
              <w:rPr>
                <w:rFonts w:asciiTheme="minorHAnsi" w:eastAsiaTheme="minorEastAsia" w:hAnsiTheme="minorHAnsi" w:cstheme="minorBidi"/>
                <w:noProof/>
                <w:sz w:val="22"/>
                <w:szCs w:val="22"/>
              </w:rPr>
              <w:tab/>
            </w:r>
            <w:r w:rsidR="00460E92" w:rsidRPr="00E56E5C">
              <w:rPr>
                <w:rStyle w:val="Hyperlink"/>
                <w:noProof/>
              </w:rPr>
              <w:t>Future Analysis of JR Staffing</w:t>
            </w:r>
            <w:r w:rsidR="00460E92">
              <w:rPr>
                <w:noProof/>
                <w:webHidden/>
              </w:rPr>
              <w:tab/>
            </w:r>
            <w:r w:rsidR="00460E92">
              <w:rPr>
                <w:noProof/>
                <w:webHidden/>
              </w:rPr>
              <w:fldChar w:fldCharType="begin"/>
            </w:r>
            <w:r w:rsidR="00460E92">
              <w:rPr>
                <w:noProof/>
                <w:webHidden/>
              </w:rPr>
              <w:instrText xml:space="preserve"> PAGEREF _Toc531597546 \h </w:instrText>
            </w:r>
            <w:r w:rsidR="00460E92">
              <w:rPr>
                <w:noProof/>
                <w:webHidden/>
              </w:rPr>
            </w:r>
            <w:r w:rsidR="00460E92">
              <w:rPr>
                <w:noProof/>
                <w:webHidden/>
              </w:rPr>
              <w:fldChar w:fldCharType="separate"/>
            </w:r>
            <w:r w:rsidR="00460E92">
              <w:rPr>
                <w:noProof/>
                <w:webHidden/>
              </w:rPr>
              <w:t>82</w:t>
            </w:r>
            <w:r w:rsidR="00460E92">
              <w:rPr>
                <w:noProof/>
                <w:webHidden/>
              </w:rPr>
              <w:fldChar w:fldCharType="end"/>
            </w:r>
          </w:hyperlink>
        </w:p>
        <w:p w14:paraId="187B3179" w14:textId="56EE802A" w:rsidR="00460E92" w:rsidRDefault="00320DFB">
          <w:pPr>
            <w:pStyle w:val="TOC1"/>
            <w:tabs>
              <w:tab w:val="left" w:pos="440"/>
            </w:tabs>
            <w:rPr>
              <w:rFonts w:asciiTheme="minorHAnsi" w:eastAsiaTheme="minorEastAsia" w:hAnsiTheme="minorHAnsi" w:cstheme="minorBidi"/>
              <w:noProof/>
              <w:sz w:val="22"/>
              <w:szCs w:val="22"/>
            </w:rPr>
          </w:pPr>
          <w:hyperlink w:anchor="_Toc531597547" w:history="1">
            <w:r w:rsidR="00460E92" w:rsidRPr="00E56E5C">
              <w:rPr>
                <w:rStyle w:val="Hyperlink"/>
                <w:noProof/>
              </w:rPr>
              <w:t>8</w:t>
            </w:r>
            <w:r w:rsidR="00460E92">
              <w:rPr>
                <w:rFonts w:asciiTheme="minorHAnsi" w:eastAsiaTheme="minorEastAsia" w:hAnsiTheme="minorHAnsi" w:cstheme="minorBidi"/>
                <w:noProof/>
                <w:sz w:val="22"/>
                <w:szCs w:val="22"/>
              </w:rPr>
              <w:tab/>
            </w:r>
            <w:r w:rsidR="00460E92" w:rsidRPr="00E56E5C">
              <w:rPr>
                <w:rStyle w:val="Hyperlink"/>
                <w:noProof/>
              </w:rPr>
              <w:t>Appendix A – Methodology</w:t>
            </w:r>
            <w:r w:rsidR="00460E92">
              <w:rPr>
                <w:noProof/>
                <w:webHidden/>
              </w:rPr>
              <w:tab/>
            </w:r>
            <w:r w:rsidR="00460E92">
              <w:rPr>
                <w:noProof/>
                <w:webHidden/>
              </w:rPr>
              <w:fldChar w:fldCharType="begin"/>
            </w:r>
            <w:r w:rsidR="00460E92">
              <w:rPr>
                <w:noProof/>
                <w:webHidden/>
              </w:rPr>
              <w:instrText xml:space="preserve"> PAGEREF _Toc531597547 \h </w:instrText>
            </w:r>
            <w:r w:rsidR="00460E92">
              <w:rPr>
                <w:noProof/>
                <w:webHidden/>
              </w:rPr>
            </w:r>
            <w:r w:rsidR="00460E92">
              <w:rPr>
                <w:noProof/>
                <w:webHidden/>
              </w:rPr>
              <w:fldChar w:fldCharType="separate"/>
            </w:r>
            <w:r w:rsidR="00460E92">
              <w:rPr>
                <w:noProof/>
                <w:webHidden/>
              </w:rPr>
              <w:t>84</w:t>
            </w:r>
            <w:r w:rsidR="00460E92">
              <w:rPr>
                <w:noProof/>
                <w:webHidden/>
              </w:rPr>
              <w:fldChar w:fldCharType="end"/>
            </w:r>
          </w:hyperlink>
        </w:p>
        <w:p w14:paraId="4925BC48" w14:textId="20E19946"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48" w:history="1">
            <w:r w:rsidR="00460E92" w:rsidRPr="00E56E5C">
              <w:rPr>
                <w:rStyle w:val="Hyperlink"/>
                <w:noProof/>
              </w:rPr>
              <w:t>8.1</w:t>
            </w:r>
            <w:r w:rsidR="00460E92">
              <w:rPr>
                <w:rFonts w:asciiTheme="minorHAnsi" w:eastAsiaTheme="minorEastAsia" w:hAnsiTheme="minorHAnsi" w:cstheme="minorBidi"/>
                <w:noProof/>
                <w:sz w:val="22"/>
                <w:szCs w:val="22"/>
              </w:rPr>
              <w:tab/>
            </w:r>
            <w:r w:rsidR="00460E92" w:rsidRPr="00E56E5C">
              <w:rPr>
                <w:rStyle w:val="Hyperlink"/>
                <w:noProof/>
              </w:rPr>
              <w:t>Staff/Youth Interviews/Focus Group</w:t>
            </w:r>
            <w:r w:rsidR="00460E92">
              <w:rPr>
                <w:noProof/>
                <w:webHidden/>
              </w:rPr>
              <w:tab/>
            </w:r>
            <w:r w:rsidR="00460E92">
              <w:rPr>
                <w:noProof/>
                <w:webHidden/>
              </w:rPr>
              <w:fldChar w:fldCharType="begin"/>
            </w:r>
            <w:r w:rsidR="00460E92">
              <w:rPr>
                <w:noProof/>
                <w:webHidden/>
              </w:rPr>
              <w:instrText xml:space="preserve"> PAGEREF _Toc531597548 \h </w:instrText>
            </w:r>
            <w:r w:rsidR="00460E92">
              <w:rPr>
                <w:noProof/>
                <w:webHidden/>
              </w:rPr>
            </w:r>
            <w:r w:rsidR="00460E92">
              <w:rPr>
                <w:noProof/>
                <w:webHidden/>
              </w:rPr>
              <w:fldChar w:fldCharType="separate"/>
            </w:r>
            <w:r w:rsidR="00460E92">
              <w:rPr>
                <w:noProof/>
                <w:webHidden/>
              </w:rPr>
              <w:t>84</w:t>
            </w:r>
            <w:r w:rsidR="00460E92">
              <w:rPr>
                <w:noProof/>
                <w:webHidden/>
              </w:rPr>
              <w:fldChar w:fldCharType="end"/>
            </w:r>
          </w:hyperlink>
        </w:p>
        <w:p w14:paraId="47B50161" w14:textId="05C8107A"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49" w:history="1">
            <w:r w:rsidR="00460E92" w:rsidRPr="00E56E5C">
              <w:rPr>
                <w:rStyle w:val="Hyperlink"/>
                <w:noProof/>
              </w:rPr>
              <w:t>8.2</w:t>
            </w:r>
            <w:r w:rsidR="00460E92">
              <w:rPr>
                <w:rFonts w:asciiTheme="minorHAnsi" w:eastAsiaTheme="minorEastAsia" w:hAnsiTheme="minorHAnsi" w:cstheme="minorBidi"/>
                <w:noProof/>
                <w:sz w:val="22"/>
                <w:szCs w:val="22"/>
              </w:rPr>
              <w:tab/>
            </w:r>
            <w:r w:rsidR="00460E92" w:rsidRPr="00E56E5C">
              <w:rPr>
                <w:rStyle w:val="Hyperlink"/>
                <w:noProof/>
              </w:rPr>
              <w:t>Staff Surveys</w:t>
            </w:r>
            <w:r w:rsidR="00460E92">
              <w:rPr>
                <w:noProof/>
                <w:webHidden/>
              </w:rPr>
              <w:tab/>
            </w:r>
            <w:r w:rsidR="00460E92">
              <w:rPr>
                <w:noProof/>
                <w:webHidden/>
              </w:rPr>
              <w:fldChar w:fldCharType="begin"/>
            </w:r>
            <w:r w:rsidR="00460E92">
              <w:rPr>
                <w:noProof/>
                <w:webHidden/>
              </w:rPr>
              <w:instrText xml:space="preserve"> PAGEREF _Toc531597549 \h </w:instrText>
            </w:r>
            <w:r w:rsidR="00460E92">
              <w:rPr>
                <w:noProof/>
                <w:webHidden/>
              </w:rPr>
            </w:r>
            <w:r w:rsidR="00460E92">
              <w:rPr>
                <w:noProof/>
                <w:webHidden/>
              </w:rPr>
              <w:fldChar w:fldCharType="separate"/>
            </w:r>
            <w:r w:rsidR="00460E92">
              <w:rPr>
                <w:noProof/>
                <w:webHidden/>
              </w:rPr>
              <w:t>86</w:t>
            </w:r>
            <w:r w:rsidR="00460E92">
              <w:rPr>
                <w:noProof/>
                <w:webHidden/>
              </w:rPr>
              <w:fldChar w:fldCharType="end"/>
            </w:r>
          </w:hyperlink>
        </w:p>
        <w:p w14:paraId="0602BD4F" w14:textId="3A11836F"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50" w:history="1">
            <w:r w:rsidR="00460E92" w:rsidRPr="00E56E5C">
              <w:rPr>
                <w:rStyle w:val="Hyperlink"/>
                <w:noProof/>
              </w:rPr>
              <w:t>8.2.1</w:t>
            </w:r>
            <w:r w:rsidR="00460E92">
              <w:rPr>
                <w:rFonts w:asciiTheme="minorHAnsi" w:eastAsiaTheme="minorEastAsia" w:hAnsiTheme="minorHAnsi" w:cstheme="minorBidi"/>
                <w:noProof/>
                <w:sz w:val="22"/>
                <w:szCs w:val="22"/>
              </w:rPr>
              <w:tab/>
            </w:r>
            <w:r w:rsidR="00460E92" w:rsidRPr="00E56E5C">
              <w:rPr>
                <w:rStyle w:val="Hyperlink"/>
                <w:noProof/>
              </w:rPr>
              <w:t>Staff Survey</w:t>
            </w:r>
            <w:r w:rsidR="00460E92">
              <w:rPr>
                <w:noProof/>
                <w:webHidden/>
              </w:rPr>
              <w:tab/>
            </w:r>
            <w:r w:rsidR="00460E92">
              <w:rPr>
                <w:noProof/>
                <w:webHidden/>
              </w:rPr>
              <w:fldChar w:fldCharType="begin"/>
            </w:r>
            <w:r w:rsidR="00460E92">
              <w:rPr>
                <w:noProof/>
                <w:webHidden/>
              </w:rPr>
              <w:instrText xml:space="preserve"> PAGEREF _Toc531597550 \h </w:instrText>
            </w:r>
            <w:r w:rsidR="00460E92">
              <w:rPr>
                <w:noProof/>
                <w:webHidden/>
              </w:rPr>
            </w:r>
            <w:r w:rsidR="00460E92">
              <w:rPr>
                <w:noProof/>
                <w:webHidden/>
              </w:rPr>
              <w:fldChar w:fldCharType="separate"/>
            </w:r>
            <w:r w:rsidR="00460E92">
              <w:rPr>
                <w:noProof/>
                <w:webHidden/>
              </w:rPr>
              <w:t>86</w:t>
            </w:r>
            <w:r w:rsidR="00460E92">
              <w:rPr>
                <w:noProof/>
                <w:webHidden/>
              </w:rPr>
              <w:fldChar w:fldCharType="end"/>
            </w:r>
          </w:hyperlink>
        </w:p>
        <w:p w14:paraId="322535B9" w14:textId="77688014"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51" w:history="1">
            <w:r w:rsidR="00460E92" w:rsidRPr="00E56E5C">
              <w:rPr>
                <w:rStyle w:val="Hyperlink"/>
                <w:noProof/>
              </w:rPr>
              <w:t>8.2.2</w:t>
            </w:r>
            <w:r w:rsidR="00460E92">
              <w:rPr>
                <w:rFonts w:asciiTheme="minorHAnsi" w:eastAsiaTheme="minorEastAsia" w:hAnsiTheme="minorHAnsi" w:cstheme="minorBidi"/>
                <w:noProof/>
                <w:sz w:val="22"/>
                <w:szCs w:val="22"/>
              </w:rPr>
              <w:tab/>
            </w:r>
            <w:r w:rsidR="00460E92" w:rsidRPr="00E56E5C">
              <w:rPr>
                <w:rStyle w:val="Hyperlink"/>
                <w:noProof/>
              </w:rPr>
              <w:t>Organizational Social Context (OSC) Survey</w:t>
            </w:r>
            <w:r w:rsidR="00460E92">
              <w:rPr>
                <w:noProof/>
                <w:webHidden/>
              </w:rPr>
              <w:tab/>
            </w:r>
            <w:r w:rsidR="00460E92">
              <w:rPr>
                <w:noProof/>
                <w:webHidden/>
              </w:rPr>
              <w:fldChar w:fldCharType="begin"/>
            </w:r>
            <w:r w:rsidR="00460E92">
              <w:rPr>
                <w:noProof/>
                <w:webHidden/>
              </w:rPr>
              <w:instrText xml:space="preserve"> PAGEREF _Toc531597551 \h </w:instrText>
            </w:r>
            <w:r w:rsidR="00460E92">
              <w:rPr>
                <w:noProof/>
                <w:webHidden/>
              </w:rPr>
            </w:r>
            <w:r w:rsidR="00460E92">
              <w:rPr>
                <w:noProof/>
                <w:webHidden/>
              </w:rPr>
              <w:fldChar w:fldCharType="separate"/>
            </w:r>
            <w:r w:rsidR="00460E92">
              <w:rPr>
                <w:noProof/>
                <w:webHidden/>
              </w:rPr>
              <w:t>87</w:t>
            </w:r>
            <w:r w:rsidR="00460E92">
              <w:rPr>
                <w:noProof/>
                <w:webHidden/>
              </w:rPr>
              <w:fldChar w:fldCharType="end"/>
            </w:r>
          </w:hyperlink>
        </w:p>
        <w:p w14:paraId="588AD29F" w14:textId="5369EA8D" w:rsidR="00460E92" w:rsidRDefault="00320DFB">
          <w:pPr>
            <w:pStyle w:val="TOC3"/>
            <w:tabs>
              <w:tab w:val="left" w:pos="1320"/>
              <w:tab w:val="right" w:leader="dot" w:pos="9350"/>
            </w:tabs>
            <w:rPr>
              <w:rFonts w:asciiTheme="minorHAnsi" w:eastAsiaTheme="minorEastAsia" w:hAnsiTheme="minorHAnsi" w:cstheme="minorBidi"/>
              <w:noProof/>
              <w:sz w:val="22"/>
              <w:szCs w:val="22"/>
            </w:rPr>
          </w:pPr>
          <w:hyperlink w:anchor="_Toc531597552" w:history="1">
            <w:r w:rsidR="00460E92" w:rsidRPr="00E56E5C">
              <w:rPr>
                <w:rStyle w:val="Hyperlink"/>
                <w:noProof/>
              </w:rPr>
              <w:t>8.2.3</w:t>
            </w:r>
            <w:r w:rsidR="00460E92">
              <w:rPr>
                <w:rFonts w:asciiTheme="minorHAnsi" w:eastAsiaTheme="minorEastAsia" w:hAnsiTheme="minorHAnsi" w:cstheme="minorBidi"/>
                <w:noProof/>
                <w:sz w:val="22"/>
                <w:szCs w:val="22"/>
              </w:rPr>
              <w:tab/>
            </w:r>
            <w:r w:rsidR="00460E92" w:rsidRPr="00E56E5C">
              <w:rPr>
                <w:rStyle w:val="Hyperlink"/>
                <w:rFonts w:eastAsiaTheme="minorHAnsi"/>
                <w:noProof/>
              </w:rPr>
              <w:t>Administrative Data</w:t>
            </w:r>
            <w:r w:rsidR="00460E92">
              <w:rPr>
                <w:noProof/>
                <w:webHidden/>
              </w:rPr>
              <w:tab/>
            </w:r>
            <w:r w:rsidR="00460E92">
              <w:rPr>
                <w:noProof/>
                <w:webHidden/>
              </w:rPr>
              <w:fldChar w:fldCharType="begin"/>
            </w:r>
            <w:r w:rsidR="00460E92">
              <w:rPr>
                <w:noProof/>
                <w:webHidden/>
              </w:rPr>
              <w:instrText xml:space="preserve"> PAGEREF _Toc531597552 \h </w:instrText>
            </w:r>
            <w:r w:rsidR="00460E92">
              <w:rPr>
                <w:noProof/>
                <w:webHidden/>
              </w:rPr>
            </w:r>
            <w:r w:rsidR="00460E92">
              <w:rPr>
                <w:noProof/>
                <w:webHidden/>
              </w:rPr>
              <w:fldChar w:fldCharType="separate"/>
            </w:r>
            <w:r w:rsidR="00460E92">
              <w:rPr>
                <w:noProof/>
                <w:webHidden/>
              </w:rPr>
              <w:t>87</w:t>
            </w:r>
            <w:r w:rsidR="00460E92">
              <w:rPr>
                <w:noProof/>
                <w:webHidden/>
              </w:rPr>
              <w:fldChar w:fldCharType="end"/>
            </w:r>
          </w:hyperlink>
        </w:p>
        <w:p w14:paraId="60BF047D" w14:textId="156FA18E" w:rsidR="00460E92" w:rsidRDefault="00320DFB">
          <w:pPr>
            <w:pStyle w:val="TOC2"/>
            <w:tabs>
              <w:tab w:val="left" w:pos="880"/>
              <w:tab w:val="right" w:leader="dot" w:pos="9350"/>
            </w:tabs>
            <w:rPr>
              <w:rFonts w:asciiTheme="minorHAnsi" w:eastAsiaTheme="minorEastAsia" w:hAnsiTheme="minorHAnsi" w:cstheme="minorBidi"/>
              <w:noProof/>
              <w:sz w:val="22"/>
              <w:szCs w:val="22"/>
            </w:rPr>
          </w:pPr>
          <w:hyperlink w:anchor="_Toc531597553" w:history="1">
            <w:r w:rsidR="00460E92" w:rsidRPr="00E56E5C">
              <w:rPr>
                <w:rStyle w:val="Hyperlink"/>
                <w:noProof/>
              </w:rPr>
              <w:t>8.3</w:t>
            </w:r>
            <w:r w:rsidR="00460E92">
              <w:rPr>
                <w:rFonts w:asciiTheme="minorHAnsi" w:eastAsiaTheme="minorEastAsia" w:hAnsiTheme="minorHAnsi" w:cstheme="minorBidi"/>
                <w:noProof/>
                <w:sz w:val="22"/>
                <w:szCs w:val="22"/>
              </w:rPr>
              <w:tab/>
            </w:r>
            <w:r w:rsidR="00460E92" w:rsidRPr="00E56E5C">
              <w:rPr>
                <w:rStyle w:val="Hyperlink"/>
                <w:noProof/>
              </w:rPr>
              <w:t>Document Review</w:t>
            </w:r>
            <w:r w:rsidR="00460E92">
              <w:rPr>
                <w:noProof/>
                <w:webHidden/>
              </w:rPr>
              <w:tab/>
            </w:r>
            <w:r w:rsidR="00460E92">
              <w:rPr>
                <w:noProof/>
                <w:webHidden/>
              </w:rPr>
              <w:fldChar w:fldCharType="begin"/>
            </w:r>
            <w:r w:rsidR="00460E92">
              <w:rPr>
                <w:noProof/>
                <w:webHidden/>
              </w:rPr>
              <w:instrText xml:space="preserve"> PAGEREF _Toc531597553 \h </w:instrText>
            </w:r>
            <w:r w:rsidR="00460E92">
              <w:rPr>
                <w:noProof/>
                <w:webHidden/>
              </w:rPr>
            </w:r>
            <w:r w:rsidR="00460E92">
              <w:rPr>
                <w:noProof/>
                <w:webHidden/>
              </w:rPr>
              <w:fldChar w:fldCharType="separate"/>
            </w:r>
            <w:r w:rsidR="00460E92">
              <w:rPr>
                <w:noProof/>
                <w:webHidden/>
              </w:rPr>
              <w:t>87</w:t>
            </w:r>
            <w:r w:rsidR="00460E92">
              <w:rPr>
                <w:noProof/>
                <w:webHidden/>
              </w:rPr>
              <w:fldChar w:fldCharType="end"/>
            </w:r>
          </w:hyperlink>
        </w:p>
        <w:p w14:paraId="1B1C0A60" w14:textId="4306ECBE" w:rsidR="00460E92" w:rsidRDefault="00320DFB">
          <w:pPr>
            <w:pStyle w:val="TOC1"/>
            <w:tabs>
              <w:tab w:val="left" w:pos="440"/>
            </w:tabs>
            <w:rPr>
              <w:rFonts w:asciiTheme="minorHAnsi" w:eastAsiaTheme="minorEastAsia" w:hAnsiTheme="minorHAnsi" w:cstheme="minorBidi"/>
              <w:noProof/>
              <w:sz w:val="22"/>
              <w:szCs w:val="22"/>
            </w:rPr>
          </w:pPr>
          <w:hyperlink w:anchor="_Toc531597554" w:history="1">
            <w:r w:rsidR="00460E92" w:rsidRPr="00E56E5C">
              <w:rPr>
                <w:rStyle w:val="Hyperlink"/>
                <w:noProof/>
              </w:rPr>
              <w:t>9</w:t>
            </w:r>
            <w:r w:rsidR="00460E92">
              <w:rPr>
                <w:rFonts w:asciiTheme="minorHAnsi" w:eastAsiaTheme="minorEastAsia" w:hAnsiTheme="minorHAnsi" w:cstheme="minorBidi"/>
                <w:noProof/>
                <w:sz w:val="22"/>
                <w:szCs w:val="22"/>
              </w:rPr>
              <w:tab/>
            </w:r>
            <w:r w:rsidR="00460E92" w:rsidRPr="00E56E5C">
              <w:rPr>
                <w:rStyle w:val="Hyperlink"/>
                <w:noProof/>
              </w:rPr>
              <w:t>Appendix B – Community Facility Standards</w:t>
            </w:r>
            <w:r w:rsidR="00460E92">
              <w:rPr>
                <w:noProof/>
                <w:webHidden/>
              </w:rPr>
              <w:tab/>
            </w:r>
            <w:r w:rsidR="00460E92">
              <w:rPr>
                <w:noProof/>
                <w:webHidden/>
              </w:rPr>
              <w:fldChar w:fldCharType="begin"/>
            </w:r>
            <w:r w:rsidR="00460E92">
              <w:rPr>
                <w:noProof/>
                <w:webHidden/>
              </w:rPr>
              <w:instrText xml:space="preserve"> PAGEREF _Toc531597554 \h </w:instrText>
            </w:r>
            <w:r w:rsidR="00460E92">
              <w:rPr>
                <w:noProof/>
                <w:webHidden/>
              </w:rPr>
            </w:r>
            <w:r w:rsidR="00460E92">
              <w:rPr>
                <w:noProof/>
                <w:webHidden/>
              </w:rPr>
              <w:fldChar w:fldCharType="separate"/>
            </w:r>
            <w:r w:rsidR="00460E92">
              <w:rPr>
                <w:noProof/>
                <w:webHidden/>
              </w:rPr>
              <w:t>89</w:t>
            </w:r>
            <w:r w:rsidR="00460E92">
              <w:rPr>
                <w:noProof/>
                <w:webHidden/>
              </w:rPr>
              <w:fldChar w:fldCharType="end"/>
            </w:r>
          </w:hyperlink>
        </w:p>
        <w:p w14:paraId="1DC6CBFC" w14:textId="4DAE6904" w:rsidR="00460E92" w:rsidRDefault="00320DFB">
          <w:pPr>
            <w:pStyle w:val="TOC1"/>
            <w:tabs>
              <w:tab w:val="left" w:pos="660"/>
            </w:tabs>
            <w:rPr>
              <w:rFonts w:asciiTheme="minorHAnsi" w:eastAsiaTheme="minorEastAsia" w:hAnsiTheme="minorHAnsi" w:cstheme="minorBidi"/>
              <w:noProof/>
              <w:sz w:val="22"/>
              <w:szCs w:val="22"/>
            </w:rPr>
          </w:pPr>
          <w:hyperlink w:anchor="_Toc531597555" w:history="1">
            <w:r w:rsidR="00460E92" w:rsidRPr="00E56E5C">
              <w:rPr>
                <w:rStyle w:val="Hyperlink"/>
                <w:noProof/>
              </w:rPr>
              <w:t>10</w:t>
            </w:r>
            <w:r w:rsidR="00460E92">
              <w:rPr>
                <w:rFonts w:asciiTheme="minorHAnsi" w:eastAsiaTheme="minorEastAsia" w:hAnsiTheme="minorHAnsi" w:cstheme="minorBidi"/>
                <w:noProof/>
                <w:sz w:val="22"/>
                <w:szCs w:val="22"/>
              </w:rPr>
              <w:tab/>
            </w:r>
            <w:r w:rsidR="00460E92" w:rsidRPr="00E56E5C">
              <w:rPr>
                <w:rStyle w:val="Hyperlink"/>
                <w:noProof/>
              </w:rPr>
              <w:t>Appendix C – Select JR Policies</w:t>
            </w:r>
            <w:r w:rsidR="00460E92">
              <w:rPr>
                <w:noProof/>
                <w:webHidden/>
              </w:rPr>
              <w:tab/>
            </w:r>
            <w:r w:rsidR="00460E92">
              <w:rPr>
                <w:noProof/>
                <w:webHidden/>
              </w:rPr>
              <w:fldChar w:fldCharType="begin"/>
            </w:r>
            <w:r w:rsidR="00460E92">
              <w:rPr>
                <w:noProof/>
                <w:webHidden/>
              </w:rPr>
              <w:instrText xml:space="preserve"> PAGEREF _Toc531597555 \h </w:instrText>
            </w:r>
            <w:r w:rsidR="00460E92">
              <w:rPr>
                <w:noProof/>
                <w:webHidden/>
              </w:rPr>
            </w:r>
            <w:r w:rsidR="00460E92">
              <w:rPr>
                <w:noProof/>
                <w:webHidden/>
              </w:rPr>
              <w:fldChar w:fldCharType="separate"/>
            </w:r>
            <w:r w:rsidR="00460E92">
              <w:rPr>
                <w:noProof/>
                <w:webHidden/>
              </w:rPr>
              <w:t>93</w:t>
            </w:r>
            <w:r w:rsidR="00460E92">
              <w:rPr>
                <w:noProof/>
                <w:webHidden/>
              </w:rPr>
              <w:fldChar w:fldCharType="end"/>
            </w:r>
          </w:hyperlink>
        </w:p>
        <w:p w14:paraId="7186C568" w14:textId="11BF4BCB" w:rsidR="00560A2D" w:rsidRDefault="00560A2D">
          <w:r w:rsidRPr="2CC84893">
            <w:fldChar w:fldCharType="end"/>
          </w:r>
        </w:p>
      </w:sdtContent>
    </w:sdt>
    <w:bookmarkEnd w:id="0" w:displacedByCustomXml="prev"/>
    <w:p w14:paraId="5A502363" w14:textId="77777777" w:rsidR="00560A2D" w:rsidRDefault="00560A2D">
      <w:pPr>
        <w:spacing w:before="0" w:after="0"/>
        <w:rPr>
          <w:rFonts w:ascii="Arial Narrow,Times New Roman" w:eastAsia="Arial Narrow,Times New Roman" w:hAnsi="Arial Narrow,Times New Roman" w:cs="Arial Narrow,Times New Roman"/>
          <w:b/>
          <w:caps/>
          <w:color w:val="0046AC"/>
          <w:sz w:val="32"/>
          <w:szCs w:val="32"/>
        </w:rPr>
      </w:pPr>
    </w:p>
    <w:p w14:paraId="4F6A6980" w14:textId="77777777" w:rsidR="00BC5B02" w:rsidRDefault="00BC5B02" w:rsidP="002323A9">
      <w:pPr>
        <w:pStyle w:val="Heading1"/>
        <w:numPr>
          <w:ilvl w:val="0"/>
          <w:numId w:val="0"/>
        </w:numPr>
        <w:sectPr w:rsidR="00BC5B02" w:rsidSect="00BC5B02">
          <w:headerReference w:type="default" r:id="rId24"/>
          <w:footerReference w:type="default" r:id="rId25"/>
          <w:footnotePr>
            <w:pos w:val="beneathText"/>
          </w:footnotePr>
          <w:pgSz w:w="12240" w:h="15840" w:code="1"/>
          <w:pgMar w:top="1440" w:right="1440" w:bottom="1440" w:left="1440" w:header="720" w:footer="720" w:gutter="0"/>
          <w:pgNumType w:fmt="lowerRoman" w:start="1"/>
          <w:cols w:space="720"/>
          <w:docGrid w:linePitch="360"/>
        </w:sectPr>
      </w:pPr>
    </w:p>
    <w:p w14:paraId="405E39DA" w14:textId="77777777" w:rsidR="006905D6" w:rsidRDefault="000716BD" w:rsidP="002323A9">
      <w:pPr>
        <w:pStyle w:val="Heading1"/>
        <w:numPr>
          <w:ilvl w:val="0"/>
          <w:numId w:val="0"/>
        </w:numPr>
        <w:jc w:val="center"/>
      </w:pPr>
      <w:bookmarkStart w:id="1" w:name="_Toc531597461"/>
      <w:r>
        <w:lastRenderedPageBreak/>
        <w:t>Acknowledgements</w:t>
      </w:r>
      <w:bookmarkEnd w:id="1"/>
    </w:p>
    <w:p w14:paraId="79DE3EAD" w14:textId="77777777" w:rsidR="00F25624" w:rsidRDefault="00A94088" w:rsidP="00FB5981">
      <w:pPr>
        <w:spacing w:before="120" w:after="120"/>
      </w:pPr>
      <w:r>
        <w:t>This</w:t>
      </w:r>
      <w:r w:rsidR="00E157B2">
        <w:t xml:space="preserve"> current</w:t>
      </w:r>
      <w:r>
        <w:t xml:space="preserve"> </w:t>
      </w:r>
      <w:r w:rsidR="006905D6">
        <w:t xml:space="preserve">state staffing analysis of the Rehabilitation Administration’s </w:t>
      </w:r>
      <w:r w:rsidR="00F25624">
        <w:t xml:space="preserve">(RA) </w:t>
      </w:r>
      <w:r w:rsidR="006905D6">
        <w:t>Juvenile Rehabilitation and Special Commitment Center facilities was possible only because of the dedication and commitment of the leadership and staff who work at these facilities</w:t>
      </w:r>
      <w:r w:rsidR="003C3A2F">
        <w:t>.</w:t>
      </w:r>
      <w:r w:rsidR="006905D6">
        <w:t xml:space="preserve"> Hyzer Group </w:t>
      </w:r>
      <w:r w:rsidR="00550CD7">
        <w:t xml:space="preserve">Team </w:t>
      </w:r>
      <w:r w:rsidR="006905D6">
        <w:t xml:space="preserve">members extend their deepest appreciation to the more than 100 staff </w:t>
      </w:r>
      <w:r>
        <w:t xml:space="preserve">members </w:t>
      </w:r>
      <w:r w:rsidR="006905D6">
        <w:t>who contributed to this study by providin</w:t>
      </w:r>
      <w:r w:rsidR="00B314BF">
        <w:t>g details about</w:t>
      </w:r>
      <w:r w:rsidR="00B25580">
        <w:t xml:space="preserve"> their work</w:t>
      </w:r>
      <w:r w:rsidR="003C3A2F">
        <w:t xml:space="preserve">, </w:t>
      </w:r>
      <w:r w:rsidR="00352126">
        <w:t xml:space="preserve">sharing </w:t>
      </w:r>
      <w:r w:rsidR="00B25580">
        <w:t>information on</w:t>
      </w:r>
      <w:r w:rsidR="006905D6">
        <w:t xml:space="preserve"> the </w:t>
      </w:r>
      <w:r w:rsidR="00B25580">
        <w:t xml:space="preserve">staffing </w:t>
      </w:r>
      <w:r w:rsidR="006905D6">
        <w:t>strengths and challenges</w:t>
      </w:r>
      <w:r w:rsidR="001D1664">
        <w:t>,</w:t>
      </w:r>
      <w:r w:rsidR="003C3A2F">
        <w:t xml:space="preserve"> </w:t>
      </w:r>
      <w:r w:rsidR="00B25580">
        <w:t xml:space="preserve">and </w:t>
      </w:r>
      <w:r w:rsidR="00352126">
        <w:t xml:space="preserve">offering </w:t>
      </w:r>
      <w:r w:rsidR="00B25580">
        <w:t xml:space="preserve">recommendations for </w:t>
      </w:r>
      <w:r w:rsidR="003C3A2F">
        <w:t>improvement</w:t>
      </w:r>
      <w:r w:rsidR="004C75A6">
        <w:t xml:space="preserve">. </w:t>
      </w:r>
    </w:p>
    <w:p w14:paraId="5E1774EC" w14:textId="77777777" w:rsidR="006905D6" w:rsidRDefault="003C3A2F" w:rsidP="00FB5981">
      <w:pPr>
        <w:spacing w:before="120" w:after="120"/>
      </w:pPr>
      <w:r>
        <w:t xml:space="preserve">We also are </w:t>
      </w:r>
      <w:r w:rsidR="00F25624">
        <w:t>grateful to the many youth who prov</w:t>
      </w:r>
      <w:r w:rsidR="00B314BF">
        <w:t xml:space="preserve">ided their </w:t>
      </w:r>
      <w:r w:rsidR="00F25624">
        <w:t>perspective</w:t>
      </w:r>
      <w:r w:rsidR="00B25580">
        <w:t>s</w:t>
      </w:r>
      <w:r w:rsidR="00F25624">
        <w:t xml:space="preserve"> </w:t>
      </w:r>
      <w:r w:rsidR="00B314BF">
        <w:t>regarding</w:t>
      </w:r>
      <w:r>
        <w:t xml:space="preserve"> interactions with </w:t>
      </w:r>
      <w:r w:rsidR="00F25624">
        <w:t>direct service</w:t>
      </w:r>
      <w:r w:rsidR="00B314BF">
        <w:t>s staff</w:t>
      </w:r>
      <w:r w:rsidR="006D02FB">
        <w:t xml:space="preserve"> </w:t>
      </w:r>
      <w:r w:rsidR="00B314BF">
        <w:t>– including staff members’</w:t>
      </w:r>
      <w:r w:rsidR="00F25624">
        <w:t xml:space="preserve"> </w:t>
      </w:r>
      <w:r w:rsidR="00B314BF">
        <w:t>effectiveness in</w:t>
      </w:r>
      <w:r w:rsidR="00F25624">
        <w:t xml:space="preserve"> </w:t>
      </w:r>
      <w:r w:rsidR="00B314BF">
        <w:t>helping</w:t>
      </w:r>
      <w:r w:rsidR="00B25580">
        <w:t xml:space="preserve"> them </w:t>
      </w:r>
      <w:r>
        <w:t xml:space="preserve">transition back </w:t>
      </w:r>
      <w:r w:rsidR="00B314BF">
        <w:t xml:space="preserve">into their communities – </w:t>
      </w:r>
      <w:r w:rsidR="00B25580">
        <w:t xml:space="preserve">and </w:t>
      </w:r>
      <w:r>
        <w:t xml:space="preserve">their </w:t>
      </w:r>
      <w:r w:rsidR="00C92D96">
        <w:t>ideas for positive changes</w:t>
      </w:r>
      <w:r w:rsidR="00B25580">
        <w:t>.</w:t>
      </w:r>
    </w:p>
    <w:p w14:paraId="44ED6829" w14:textId="77777777" w:rsidR="00F106FF" w:rsidRDefault="00F106FF" w:rsidP="00FB5981">
      <w:pPr>
        <w:spacing w:before="120" w:after="120"/>
      </w:pPr>
      <w:r>
        <w:t>Leadership at e</w:t>
      </w:r>
      <w:r w:rsidR="00550CD7">
        <w:t xml:space="preserve">ach participating facility not only </w:t>
      </w:r>
      <w:r w:rsidR="004A4140">
        <w:t>made arrangements for staff to</w:t>
      </w:r>
      <w:r w:rsidR="00550CD7">
        <w:t xml:space="preserve"> participate in interviews and complete surveys, but also worked with </w:t>
      </w:r>
      <w:r w:rsidR="003C3A2F">
        <w:t xml:space="preserve">us </w:t>
      </w:r>
      <w:r w:rsidR="006D02FB">
        <w:t xml:space="preserve">to set up </w:t>
      </w:r>
      <w:r w:rsidR="00550CD7">
        <w:t xml:space="preserve">site visits, </w:t>
      </w:r>
      <w:r w:rsidR="006D02FB">
        <w:t>interviews</w:t>
      </w:r>
      <w:r w:rsidR="00C92D96">
        <w:t>,</w:t>
      </w:r>
      <w:r w:rsidR="006D02FB">
        <w:t xml:space="preserve"> and focus groups. As a result of their cooperation and support, </w:t>
      </w:r>
      <w:r w:rsidR="003C3A2F">
        <w:t xml:space="preserve">we were able to collect </w:t>
      </w:r>
      <w:r w:rsidR="00550CD7">
        <w:t xml:space="preserve">a </w:t>
      </w:r>
      <w:r w:rsidR="003C3A2F">
        <w:t xml:space="preserve">broad </w:t>
      </w:r>
      <w:r w:rsidR="00550CD7">
        <w:t xml:space="preserve">cross-section of information. </w:t>
      </w:r>
      <w:r w:rsidR="003C3A2F">
        <w:t xml:space="preserve">They also </w:t>
      </w:r>
      <w:r w:rsidR="00550CD7">
        <w:t xml:space="preserve">gave their </w:t>
      </w:r>
      <w:r>
        <w:t xml:space="preserve">own </w:t>
      </w:r>
      <w:r w:rsidR="00550CD7">
        <w:t xml:space="preserve">time to participate in interviews. </w:t>
      </w:r>
    </w:p>
    <w:p w14:paraId="62C1D258" w14:textId="77777777" w:rsidR="00F106FF" w:rsidRDefault="00F106FF" w:rsidP="00FB5981">
      <w:pPr>
        <w:spacing w:before="120" w:after="120"/>
      </w:pPr>
      <w:r>
        <w:t>The leadership of these facilities deserves special thanks. Without their support and encouragement, this study could not have been conducted</w:t>
      </w:r>
      <w:r w:rsidR="004C75A6">
        <w:t xml:space="preserve">. </w:t>
      </w:r>
    </w:p>
    <w:p w14:paraId="40AF77EC" w14:textId="77777777" w:rsidR="006B52A1" w:rsidRDefault="006B52A1" w:rsidP="006B52A1">
      <w:pPr>
        <w:pStyle w:val="ListBullet"/>
      </w:pPr>
      <w:r>
        <w:t>David Charles, Regional Administrator</w:t>
      </w:r>
    </w:p>
    <w:p w14:paraId="26987F8A" w14:textId="77777777" w:rsidR="006B52A1" w:rsidRDefault="009B6353" w:rsidP="006B52A1">
      <w:pPr>
        <w:pStyle w:val="ListBullet"/>
      </w:pPr>
      <w:r>
        <w:t>Lori Kesl</w:t>
      </w:r>
      <w:r w:rsidR="006B52A1">
        <w:t xml:space="preserve">, Regional Administrator </w:t>
      </w:r>
    </w:p>
    <w:p w14:paraId="43618CB3" w14:textId="77777777" w:rsidR="00F106FF" w:rsidRDefault="00F106FF" w:rsidP="00F106FF">
      <w:pPr>
        <w:pStyle w:val="ListBullet"/>
      </w:pPr>
      <w:r w:rsidRPr="00BB1A1D">
        <w:t>Don Mead, Superintendent, Echo Glen Children’s Center</w:t>
      </w:r>
    </w:p>
    <w:p w14:paraId="105F9861" w14:textId="77777777" w:rsidR="00F106FF" w:rsidRPr="00BB1A1D" w:rsidRDefault="00F106FF" w:rsidP="00F106FF">
      <w:pPr>
        <w:pStyle w:val="ListBullet"/>
      </w:pPr>
      <w:r w:rsidRPr="00BB1A1D">
        <w:t>Jennifer Redman, Superintendent, Green Hill School</w:t>
      </w:r>
    </w:p>
    <w:p w14:paraId="3E65838D" w14:textId="77777777" w:rsidR="00BB1A1D" w:rsidRPr="00BB1A1D" w:rsidRDefault="00BB1A1D" w:rsidP="001D1664">
      <w:pPr>
        <w:pStyle w:val="ListBullet"/>
      </w:pPr>
      <w:r w:rsidRPr="00BB1A1D">
        <w:t>Pat Escamilla, Superintendent, Naselle Youth Camp</w:t>
      </w:r>
    </w:p>
    <w:p w14:paraId="5774888B" w14:textId="77777777" w:rsidR="00BB1A1D" w:rsidRPr="00BB1A1D" w:rsidRDefault="00BB1A1D" w:rsidP="001D1664">
      <w:pPr>
        <w:pStyle w:val="ListBullet"/>
      </w:pPr>
      <w:r w:rsidRPr="00BB1A1D">
        <w:t>Jodie McCallum, Administrator Canyon View Community Facility</w:t>
      </w:r>
    </w:p>
    <w:p w14:paraId="2CA731E9" w14:textId="77777777" w:rsidR="00BB1A1D" w:rsidRPr="00BB1A1D" w:rsidRDefault="00BB1A1D" w:rsidP="001D1664">
      <w:pPr>
        <w:pStyle w:val="ListBullet"/>
      </w:pPr>
      <w:r w:rsidRPr="00BB1A1D">
        <w:t>Keith James, Administrator, Oakridge Community Facility</w:t>
      </w:r>
    </w:p>
    <w:p w14:paraId="25328353" w14:textId="77777777" w:rsidR="00BB1A1D" w:rsidRPr="00BB1A1D" w:rsidRDefault="00BB1A1D" w:rsidP="001D1664">
      <w:pPr>
        <w:pStyle w:val="ListBullet"/>
      </w:pPr>
      <w:r w:rsidRPr="00BB1A1D">
        <w:t>Steve Cordero, Administrator, Parke Creek Community Facility</w:t>
      </w:r>
    </w:p>
    <w:p w14:paraId="1DE4CC2A" w14:textId="77777777" w:rsidR="00BB1A1D" w:rsidRPr="00A766A0" w:rsidRDefault="00BB1A1D" w:rsidP="001D1664">
      <w:pPr>
        <w:pStyle w:val="ListBullet"/>
      </w:pPr>
      <w:r w:rsidRPr="00BB1A1D">
        <w:t xml:space="preserve">LeeAnn Delk, Administrator, Ridgeview Community </w:t>
      </w:r>
      <w:r w:rsidRPr="00A766A0">
        <w:t>Facility</w:t>
      </w:r>
    </w:p>
    <w:p w14:paraId="6D7925E5" w14:textId="77777777" w:rsidR="00BB1A1D" w:rsidRPr="00A766A0" w:rsidRDefault="00BB1A1D" w:rsidP="001D1664">
      <w:pPr>
        <w:pStyle w:val="ListBullet"/>
      </w:pPr>
      <w:r w:rsidRPr="00A766A0">
        <w:t>Emilio I</w:t>
      </w:r>
      <w:r w:rsidR="00A766A0" w:rsidRPr="00A766A0">
        <w:t>ñ</w:t>
      </w:r>
      <w:r w:rsidRPr="00A766A0">
        <w:t>iguez</w:t>
      </w:r>
      <w:r w:rsidR="00A766A0" w:rsidRPr="00A766A0">
        <w:t>,</w:t>
      </w:r>
      <w:r w:rsidRPr="00A766A0">
        <w:t xml:space="preserve"> Administrator, Sunrise Community Facility</w:t>
      </w:r>
      <w:r w:rsidR="001E461A" w:rsidRPr="00A766A0">
        <w:t xml:space="preserve"> </w:t>
      </w:r>
    </w:p>
    <w:p w14:paraId="5BAFBCB3" w14:textId="77777777" w:rsidR="00BB1A1D" w:rsidRPr="00BB1A1D" w:rsidRDefault="00BB1A1D" w:rsidP="00BB1A1D">
      <w:pPr>
        <w:pStyle w:val="ListBullet"/>
      </w:pPr>
      <w:r w:rsidRPr="00A766A0">
        <w:t>Bob Ritchey, Administrator, Touchstone Communit</w:t>
      </w:r>
      <w:r w:rsidRPr="00BB1A1D">
        <w:t>y Facility</w:t>
      </w:r>
    </w:p>
    <w:p w14:paraId="7FE6F843" w14:textId="77777777" w:rsidR="00BB1A1D" w:rsidRDefault="00BB1A1D" w:rsidP="00BB1A1D">
      <w:pPr>
        <w:pStyle w:val="ListBullet"/>
      </w:pPr>
      <w:r>
        <w:t>Will Chapin, Administrator, Twin Rivers Community Facility</w:t>
      </w:r>
    </w:p>
    <w:p w14:paraId="5ACF2F5B" w14:textId="77777777" w:rsidR="001D1664" w:rsidRPr="00BB1A1D" w:rsidRDefault="00E75154" w:rsidP="00BB1A1D">
      <w:pPr>
        <w:pStyle w:val="ListBullet"/>
      </w:pPr>
      <w:r>
        <w:t xml:space="preserve">Amy </w:t>
      </w:r>
      <w:r w:rsidR="00BB1A1D">
        <w:t>Turi, Administrator, Woodinville Community Facility</w:t>
      </w:r>
    </w:p>
    <w:p w14:paraId="59588A34" w14:textId="77777777" w:rsidR="00550CD7" w:rsidRDefault="00F25624" w:rsidP="00FB5981">
      <w:pPr>
        <w:spacing w:before="120" w:after="120"/>
      </w:pPr>
      <w:r>
        <w:t>A study of this magnitude requires the attention of critical decision makers. The RA’s Plannin</w:t>
      </w:r>
      <w:r w:rsidR="00550CD7">
        <w:t>g Committee provided leadership</w:t>
      </w:r>
      <w:r>
        <w:t xml:space="preserve"> and support throughout the process. Their extensive knowledge and support improved the design of the study and </w:t>
      </w:r>
      <w:r w:rsidR="00C92D96">
        <w:t xml:space="preserve">contributed greatly to the information provided herein. </w:t>
      </w:r>
      <w:r>
        <w:t>We would like to express a special thanks to</w:t>
      </w:r>
      <w:r w:rsidR="00B25580">
        <w:t>:</w:t>
      </w:r>
    </w:p>
    <w:p w14:paraId="34BAC60E" w14:textId="77777777" w:rsidR="00550CD7" w:rsidRDefault="00550CD7" w:rsidP="00550CD7">
      <w:pPr>
        <w:pStyle w:val="ListBullet"/>
      </w:pPr>
      <w:r>
        <w:t>Byron Eagle</w:t>
      </w:r>
      <w:r w:rsidR="003C3A2F">
        <w:t xml:space="preserve">, Chief of Residential Operations, Special Commitment Center </w:t>
      </w:r>
    </w:p>
    <w:p w14:paraId="7C4CE6C4" w14:textId="77777777" w:rsidR="00550CD7" w:rsidRDefault="00BE56C0" w:rsidP="00550CD7">
      <w:pPr>
        <w:pStyle w:val="ListBullet"/>
      </w:pPr>
      <w:r>
        <w:t>Debbie Lyne, Institution Program Admin</w:t>
      </w:r>
      <w:r w:rsidR="00550CD7">
        <w:t>istrator</w:t>
      </w:r>
      <w:r w:rsidR="00BE5090">
        <w:t>, Ins</w:t>
      </w:r>
      <w:r w:rsidR="00550CD7">
        <w:t>titutions Programs</w:t>
      </w:r>
    </w:p>
    <w:p w14:paraId="2D3DEBAF" w14:textId="77777777" w:rsidR="00550CD7" w:rsidRDefault="00F25624" w:rsidP="00BE5090">
      <w:pPr>
        <w:pStyle w:val="ListBullet"/>
        <w:spacing w:after="120"/>
        <w:contextualSpacing w:val="0"/>
      </w:pPr>
      <w:r>
        <w:t>Dan Schaub</w:t>
      </w:r>
      <w:r w:rsidR="00BE56C0">
        <w:t xml:space="preserve">, </w:t>
      </w:r>
      <w:r w:rsidR="00BE5090">
        <w:t xml:space="preserve">Administrator, </w:t>
      </w:r>
      <w:r w:rsidR="00BE56C0">
        <w:t>Community and</w:t>
      </w:r>
      <w:r w:rsidR="00550CD7">
        <w:t xml:space="preserve"> Parole Programs </w:t>
      </w:r>
    </w:p>
    <w:p w14:paraId="3B87636E" w14:textId="77777777" w:rsidR="00AA5F3E" w:rsidRPr="006905D6" w:rsidRDefault="00BB1A1D" w:rsidP="00741BE1">
      <w:r>
        <w:t xml:space="preserve">In addition, we would like to thank Ted Ryle, </w:t>
      </w:r>
      <w:r w:rsidR="00C07F6E">
        <w:t xml:space="preserve">Juvenile Rehabilitation </w:t>
      </w:r>
      <w:r>
        <w:t>Clinical Director</w:t>
      </w:r>
      <w:r w:rsidR="00A766A0">
        <w:t>,</w:t>
      </w:r>
      <w:r>
        <w:t xml:space="preserve"> who provided important information about </w:t>
      </w:r>
      <w:r w:rsidR="008C0316">
        <w:t>implementing Dialectical Behavior Therapy (DBT)</w:t>
      </w:r>
      <w:r>
        <w:t xml:space="preserve"> and staff training</w:t>
      </w:r>
      <w:r w:rsidR="006B52A1">
        <w:t xml:space="preserve"> </w:t>
      </w:r>
      <w:r>
        <w:t>and</w:t>
      </w:r>
      <w:r w:rsidR="00731E73">
        <w:t xml:space="preserve"> Tony Ve</w:t>
      </w:r>
      <w:r w:rsidR="004A55ED">
        <w:t>n</w:t>
      </w:r>
      <w:r w:rsidR="00731E73">
        <w:t>tres</w:t>
      </w:r>
      <w:r w:rsidR="009B6353">
        <w:t>c</w:t>
      </w:r>
      <w:r w:rsidR="00731E73">
        <w:t>o and</w:t>
      </w:r>
      <w:r>
        <w:t xml:space="preserve"> </w:t>
      </w:r>
      <w:r w:rsidR="00731E73">
        <w:t>Catthi Olson from the Services and Enterprise Support Administration who provided informatio</w:t>
      </w:r>
      <w:r w:rsidR="00397AE9">
        <w:t>n on staff recruitment protocols</w:t>
      </w:r>
      <w:r w:rsidR="00731E73">
        <w:t>.</w:t>
      </w:r>
    </w:p>
    <w:p w14:paraId="53FE380B" w14:textId="77777777" w:rsidR="00A64BD7" w:rsidRDefault="003C3A2F" w:rsidP="00741BE1">
      <w:r>
        <w:t xml:space="preserve">We also owe thanks to those staff members who provided us with </w:t>
      </w:r>
      <w:r w:rsidR="0070397B">
        <w:t xml:space="preserve">the </w:t>
      </w:r>
      <w:r>
        <w:t xml:space="preserve">administrative data that permitted much of the analysis in this report. In particular, Georgina Carleton, Office Chief for </w:t>
      </w:r>
      <w:r>
        <w:lastRenderedPageBreak/>
        <w:t xml:space="preserve">Budget and Contracts, provided us </w:t>
      </w:r>
      <w:r w:rsidR="0070397B">
        <w:t xml:space="preserve">with </w:t>
      </w:r>
      <w:r>
        <w:t>data from the human resources management information system</w:t>
      </w:r>
      <w:r w:rsidR="00C92D96">
        <w:t xml:space="preserve"> that provided insight into areas such as salary, turnover, and use of overtime</w:t>
      </w:r>
      <w:r>
        <w:t>.</w:t>
      </w:r>
      <w:r w:rsidR="00BB1A1D">
        <w:t xml:space="preserve"> </w:t>
      </w:r>
      <w:r>
        <w:t xml:space="preserve">Erik Lindeblom and Dylan Miksicek provided data relating to the </w:t>
      </w:r>
      <w:r w:rsidR="0070397B">
        <w:t xml:space="preserve">JR </w:t>
      </w:r>
      <w:r>
        <w:t>program and demographic character</w:t>
      </w:r>
      <w:r w:rsidR="0070397B">
        <w:t>istics of the youth served, which was indispensable for</w:t>
      </w:r>
      <w:r>
        <w:t xml:space="preserve"> understanding the context in which JR delivers services. </w:t>
      </w:r>
    </w:p>
    <w:p w14:paraId="5AB8E9F7" w14:textId="77777777" w:rsidR="003C3A2F" w:rsidRDefault="00A64BD7" w:rsidP="00FB5981">
      <w:pPr>
        <w:spacing w:before="120" w:after="120"/>
      </w:pPr>
      <w:r>
        <w:t>Lastly, we would like to thank Del Hontanosas, Grants and Contracts Manager, Juvenile Rehabilitation</w:t>
      </w:r>
      <w:r w:rsidR="00711335">
        <w:t>,</w:t>
      </w:r>
      <w:r>
        <w:t xml:space="preserve"> for organizing the contract and providing background information, assistance, and support to ensure a successful project start. </w:t>
      </w:r>
    </w:p>
    <w:p w14:paraId="02F49F1F" w14:textId="77777777" w:rsidR="005B69CC" w:rsidRDefault="005B69CC" w:rsidP="002323A9">
      <w:pPr>
        <w:pStyle w:val="Heading1"/>
        <w:numPr>
          <w:ilvl w:val="0"/>
          <w:numId w:val="0"/>
        </w:numPr>
      </w:pPr>
    </w:p>
    <w:p w14:paraId="7D891B6F" w14:textId="77777777" w:rsidR="00BC5B02" w:rsidRDefault="00BC5B02" w:rsidP="002323A9">
      <w:pPr>
        <w:pStyle w:val="Heading1"/>
        <w:numPr>
          <w:ilvl w:val="0"/>
          <w:numId w:val="0"/>
        </w:numPr>
        <w:sectPr w:rsidR="00BC5B02" w:rsidSect="00BC5B02">
          <w:footnotePr>
            <w:pos w:val="beneathText"/>
          </w:footnotePr>
          <w:pgSz w:w="12240" w:h="15840" w:code="1"/>
          <w:pgMar w:top="1440" w:right="1440" w:bottom="1440" w:left="1440" w:header="720" w:footer="720" w:gutter="0"/>
          <w:pgNumType w:fmt="lowerRoman"/>
          <w:cols w:space="720"/>
          <w:docGrid w:linePitch="360"/>
        </w:sectPr>
      </w:pPr>
      <w:bookmarkStart w:id="2" w:name="_Toc521523981"/>
    </w:p>
    <w:p w14:paraId="0FEE73DB" w14:textId="77777777" w:rsidR="006A6ED9" w:rsidRPr="002323A9" w:rsidRDefault="006A6ED9" w:rsidP="002323A9">
      <w:pPr>
        <w:pStyle w:val="Heading1"/>
      </w:pPr>
      <w:bookmarkStart w:id="3" w:name="_Toc531597462"/>
      <w:bookmarkStart w:id="4" w:name="_Toc521524071"/>
      <w:bookmarkStart w:id="5" w:name="_Toc521524546"/>
      <w:r w:rsidRPr="002323A9">
        <w:lastRenderedPageBreak/>
        <w:t>Executive Summary</w:t>
      </w:r>
      <w:bookmarkEnd w:id="3"/>
    </w:p>
    <w:p w14:paraId="49DF4CC9" w14:textId="752FB65B" w:rsidR="002323A9" w:rsidRPr="002323A9" w:rsidRDefault="002323A9" w:rsidP="002323A9">
      <w:pPr>
        <w:keepNext/>
      </w:pPr>
      <w:r w:rsidRPr="002323A9">
        <w:t>The Washington State Department of Social and Health Services (DSHS) Rehabilitation Administration’s (RA) mission is to “</w:t>
      </w:r>
      <w:r w:rsidRPr="002323A9">
        <w:rPr>
          <w:i/>
        </w:rPr>
        <w:t>transform lives by creating pathways to self-sufficiency through effective rehabilitation services and meaningful partnerships</w:t>
      </w:r>
      <w:r w:rsidRPr="002323A9">
        <w:t xml:space="preserve">.” Realizing this mission requires a committed, professional, and highly engaged staff with specific skills, abilities, and competencies. RA provides administrative oversight to Juvenile Rehabilitation (JR), which provides residential </w:t>
      </w:r>
      <w:r w:rsidRPr="00461DCF">
        <w:t xml:space="preserve">treatment in institutions and community facilities </w:t>
      </w:r>
      <w:r w:rsidR="00D22E00">
        <w:t xml:space="preserve">and reentry planning, services, and supports </w:t>
      </w:r>
      <w:r w:rsidRPr="00461DCF">
        <w:t xml:space="preserve">to the State’s highest-risk youth who have been committed to JR’s custody by the county juvenile courts following a juvenile offense. </w:t>
      </w:r>
      <w:r w:rsidR="009D4CFA" w:rsidRPr="00461DCF">
        <w:t xml:space="preserve">JR may also provide residential treatment to youth adjudicated and sentenced by a court of any federally recognized </w:t>
      </w:r>
      <w:r w:rsidR="00302747">
        <w:t>T</w:t>
      </w:r>
      <w:r w:rsidR="00302747" w:rsidRPr="00461DCF">
        <w:t xml:space="preserve">ribe </w:t>
      </w:r>
      <w:r w:rsidR="009D4CFA" w:rsidRPr="00461DCF">
        <w:t>located in the State of Washington pursuant to a contract.</w:t>
      </w:r>
      <w:r w:rsidR="009D4CFA" w:rsidRPr="00461DCF">
        <w:rPr>
          <w:rStyle w:val="FootnoteReference"/>
        </w:rPr>
        <w:footnoteReference w:id="2"/>
      </w:r>
    </w:p>
    <w:p w14:paraId="169185A7" w14:textId="77777777" w:rsidR="002323A9" w:rsidRPr="002323A9" w:rsidRDefault="002323A9" w:rsidP="002323A9">
      <w:pPr>
        <w:keepNext/>
      </w:pPr>
      <w:r w:rsidRPr="002323A9">
        <w:t>JR’s services increase each youth’s pro-social behavior and enhance community safety while focusing on the youth’s reentry to the community. Of the youth committed to JR in State Fiscal Year (SFY) 2018:</w:t>
      </w:r>
      <w:r w:rsidRPr="002323A9">
        <w:rPr>
          <w:vertAlign w:val="superscript"/>
        </w:rPr>
        <w:footnoteReference w:id="3"/>
      </w:r>
    </w:p>
    <w:p w14:paraId="67C107D8" w14:textId="77777777" w:rsidR="002323A9" w:rsidRPr="002323A9" w:rsidRDefault="002323A9" w:rsidP="00741BE1">
      <w:pPr>
        <w:pStyle w:val="ListBullet"/>
      </w:pPr>
      <w:r w:rsidRPr="002323A9">
        <w:t xml:space="preserve">64.1% have a prior offense history with 40.0% having 3 or more prior offenses; </w:t>
      </w:r>
    </w:p>
    <w:p w14:paraId="7356E1CD" w14:textId="77777777" w:rsidR="002323A9" w:rsidRPr="002323A9" w:rsidRDefault="002323A9" w:rsidP="00741BE1">
      <w:pPr>
        <w:pStyle w:val="ListBullet"/>
      </w:pPr>
      <w:r w:rsidRPr="002323A9">
        <w:t>55.3% have committed a violent offense; and</w:t>
      </w:r>
    </w:p>
    <w:p w14:paraId="67216ABC" w14:textId="77777777" w:rsidR="002323A9" w:rsidRPr="002323A9" w:rsidRDefault="002323A9" w:rsidP="00741BE1">
      <w:pPr>
        <w:pStyle w:val="ListBullet"/>
      </w:pPr>
      <w:r w:rsidRPr="002323A9">
        <w:t>18.1% have committed a sex offense.</w:t>
      </w:r>
    </w:p>
    <w:p w14:paraId="0808927B" w14:textId="77777777" w:rsidR="000A5F2B" w:rsidRDefault="000A5F2B" w:rsidP="002323A9">
      <w:r>
        <w:t xml:space="preserve">JR also serves youth </w:t>
      </w:r>
      <w:r w:rsidR="006331A6">
        <w:t xml:space="preserve">committed </w:t>
      </w:r>
      <w:r>
        <w:t>under the age of 18 who have been tried, convicted and sentenced as adults through the Youthful Offender Program (YOP).</w:t>
      </w:r>
      <w:r>
        <w:rPr>
          <w:rStyle w:val="FootnoteReference"/>
        </w:rPr>
        <w:footnoteReference w:id="4"/>
      </w:r>
      <w:r>
        <w:t xml:space="preserve"> In </w:t>
      </w:r>
      <w:r w:rsidR="00566444">
        <w:t>State Fiscal Year (SFY) 2017,</w:t>
      </w:r>
      <w:r>
        <w:t xml:space="preserve"> 14.3% of</w:t>
      </w:r>
      <w:r w:rsidR="005F69B5">
        <w:t xml:space="preserve"> the youth served by JR were in the </w:t>
      </w:r>
      <w:r>
        <w:t>YOP. A majority of these youth were served at Green Hill School (81%).</w:t>
      </w:r>
      <w:r>
        <w:rPr>
          <w:rStyle w:val="FootnoteReference"/>
        </w:rPr>
        <w:footnoteReference w:id="5"/>
      </w:r>
    </w:p>
    <w:p w14:paraId="4BE8268A" w14:textId="77777777" w:rsidR="002323A9" w:rsidRPr="002323A9" w:rsidRDefault="002323A9" w:rsidP="002323A9">
      <w:r w:rsidRPr="002323A9">
        <w:t>Youth served by JR</w:t>
      </w:r>
      <w:r w:rsidR="000A5F2B">
        <w:t xml:space="preserve"> also</w:t>
      </w:r>
      <w:r w:rsidRPr="002323A9">
        <w:t xml:space="preserve"> have complex behavioral health needs that require dynamic treatment services. In SFY18, more than half of the youth served by JR had a substance abuse and mental health treatment need. More than a fourth had two co-occurring clinical treatment needs and measurable cognitive impairments. In any given month, almost half of the youth being served have a </w:t>
      </w:r>
      <w:r w:rsidR="00B33813">
        <w:t xml:space="preserve">self-identified </w:t>
      </w:r>
      <w:r w:rsidRPr="002323A9">
        <w:t>gang affiliation.</w:t>
      </w:r>
      <w:r w:rsidR="000A5F2B">
        <w:t xml:space="preserve"> </w:t>
      </w:r>
    </w:p>
    <w:p w14:paraId="241B5C45" w14:textId="77777777" w:rsidR="002323A9" w:rsidRPr="002323A9" w:rsidRDefault="004A55ED" w:rsidP="002323A9">
      <w:r>
        <w:t>JR</w:t>
      </w:r>
      <w:r w:rsidRPr="002323A9">
        <w:t xml:space="preserve"> </w:t>
      </w:r>
      <w:r w:rsidR="002323A9" w:rsidRPr="002323A9">
        <w:t xml:space="preserve">adopted its current </w:t>
      </w:r>
      <w:r w:rsidR="005D560D">
        <w:t xml:space="preserve">residential </w:t>
      </w:r>
      <w:r w:rsidR="002323A9" w:rsidRPr="002323A9">
        <w:t>staffing model in 1997. Since that time, the needs of the client population have intensified, treatment modalities have evolved, and communities have changed.</w:t>
      </w:r>
      <w:r w:rsidR="002323A9" w:rsidRPr="002323A9">
        <w:rPr>
          <w:vertAlign w:val="superscript"/>
        </w:rPr>
        <w:footnoteReference w:id="6"/>
      </w:r>
      <w:r w:rsidR="002323A9" w:rsidRPr="002323A9">
        <w:t xml:space="preserve"> Understanding current staffing challenges and identifying an optimal </w:t>
      </w:r>
      <w:r w:rsidR="005D560D">
        <w:t xml:space="preserve">residential </w:t>
      </w:r>
      <w:r w:rsidR="002323A9" w:rsidRPr="002323A9">
        <w:t xml:space="preserve">staffing model has become even more important given two significant changes. First, </w:t>
      </w:r>
      <w:r w:rsidR="00F73151">
        <w:t xml:space="preserve">in 2018, </w:t>
      </w:r>
      <w:r w:rsidR="002323A9" w:rsidRPr="002323A9">
        <w:t>Governor Jay Inslee signed legislation extending the jurisdiction of the juvenile court over offenses that previously, when committed by youth 16-17 years of age, had been under the exclusive jurisdiction of the adult court.</w:t>
      </w:r>
      <w:r w:rsidR="002323A9" w:rsidRPr="002323A9">
        <w:rPr>
          <w:vertAlign w:val="superscript"/>
        </w:rPr>
        <w:footnoteReference w:id="7"/>
      </w:r>
      <w:r w:rsidR="002323A9" w:rsidRPr="002323A9">
        <w:t xml:space="preserve"> The law also extends the age limit for juveniles who commit serious offenses at 16 or 17 years of age to receive JR services from 21 to 25 years of age. These changes will result in an increase in the number of youth served by the institutions and community facilities. Second, on July 1, 2019 JR will become part of the newly created Department of Children, Youth, and Families (DCYF).</w:t>
      </w:r>
      <w:r w:rsidR="002323A9" w:rsidRPr="002323A9">
        <w:rPr>
          <w:vertAlign w:val="superscript"/>
        </w:rPr>
        <w:footnoteReference w:id="8"/>
      </w:r>
      <w:r w:rsidR="002323A9" w:rsidRPr="002323A9">
        <w:t xml:space="preserve"> DCYF will need to have a clear </w:t>
      </w:r>
      <w:r w:rsidR="002323A9" w:rsidRPr="002323A9">
        <w:lastRenderedPageBreak/>
        <w:t>understanding of the workforce requirements to successfully achieve the outcomes for the youth previously served by JR.</w:t>
      </w:r>
    </w:p>
    <w:p w14:paraId="48AF7844" w14:textId="77777777" w:rsidR="002323A9" w:rsidRPr="00F42D48" w:rsidRDefault="00D52DED" w:rsidP="00F42D48">
      <w:pPr>
        <w:pStyle w:val="Heading2"/>
      </w:pPr>
      <w:bookmarkStart w:id="6" w:name="_Toc531597463"/>
      <w:r w:rsidRPr="00F42D48">
        <w:t>Purpose of the Report and Methodology</w:t>
      </w:r>
      <w:bookmarkEnd w:id="6"/>
      <w:r w:rsidRPr="00F42D48">
        <w:t xml:space="preserve"> </w:t>
      </w:r>
    </w:p>
    <w:p w14:paraId="0EA5A132" w14:textId="77777777" w:rsidR="00DF0C28" w:rsidRDefault="002323A9" w:rsidP="00B505FE">
      <w:pPr>
        <w:widowControl w:val="0"/>
      </w:pPr>
      <w:r w:rsidRPr="002323A9">
        <w:t xml:space="preserve">During the summer of 2018, DSHS contracted with Hyzer Group LLC to conduct a staffing analysis for JR. </w:t>
      </w:r>
      <w:r w:rsidR="0064257A">
        <w:t xml:space="preserve">Hyzer Group works exclusively with health, human services, and juvenile rehabilitation programs and services. They have worked </w:t>
      </w:r>
      <w:r w:rsidR="00DF0C28">
        <w:t xml:space="preserve">with numerous federal, state, and local </w:t>
      </w:r>
      <w:r w:rsidR="0064257A">
        <w:t xml:space="preserve">agencies to </w:t>
      </w:r>
      <w:r w:rsidR="00DF0C28">
        <w:t>assess workforce practices and develop staffing models to improve agency operations.</w:t>
      </w:r>
    </w:p>
    <w:p w14:paraId="0325C280" w14:textId="77777777" w:rsidR="002323A9" w:rsidRPr="002323A9" w:rsidRDefault="00DF0C28" w:rsidP="00B505FE">
      <w:pPr>
        <w:widowControl w:val="0"/>
      </w:pPr>
      <w:r>
        <w:t xml:space="preserve">This </w:t>
      </w:r>
      <w:r w:rsidR="002323A9" w:rsidRPr="002323A9">
        <w:t>staffing analysis focuses on JR’s residential custody staff who have direct interactions with youth. These staff include</w:t>
      </w:r>
      <w:r w:rsidR="002F0963">
        <w:t>:</w:t>
      </w:r>
      <w:r w:rsidR="002323A9" w:rsidRPr="002323A9">
        <w:t xml:space="preserve"> Juvenile Rehabilitation Residential Counselors (JRRCs), Juvenile Rehabilitati</w:t>
      </w:r>
      <w:r w:rsidR="000A5F2B">
        <w:t xml:space="preserve">on Counselor Assistants (JRCAs) (counselors) </w:t>
      </w:r>
      <w:r w:rsidR="002323A9" w:rsidRPr="002323A9">
        <w:t>and Juvenile Rehabilitation Security Officer 1s (JRSOs) that work with youth at JR</w:t>
      </w:r>
      <w:r w:rsidR="000A5F2B">
        <w:t>’</w:t>
      </w:r>
      <w:r w:rsidR="002323A9" w:rsidRPr="002323A9">
        <w:t xml:space="preserve">s three institutions and eight community facilities. The study’s goal is to “determine an optimal staffing model to allow staff to sufficiently perform their required responsibilities.” </w:t>
      </w:r>
    </w:p>
    <w:p w14:paraId="5AA358FA" w14:textId="77777777" w:rsidR="002323A9" w:rsidRPr="002323A9" w:rsidRDefault="002323A9" w:rsidP="00B505FE">
      <w:pPr>
        <w:widowControl w:val="0"/>
      </w:pPr>
      <w:r w:rsidRPr="002323A9">
        <w:t xml:space="preserve">Prior to developing a new </w:t>
      </w:r>
      <w:r w:rsidR="005D560D">
        <w:t xml:space="preserve">residential </w:t>
      </w:r>
      <w:r w:rsidRPr="002323A9">
        <w:t xml:space="preserve">staffing model, we conducted an analysis of </w:t>
      </w:r>
      <w:r w:rsidR="00F73151">
        <w:t>JR</w:t>
      </w:r>
      <w:r w:rsidR="00F73151" w:rsidRPr="002323A9">
        <w:t xml:space="preserve">’s </w:t>
      </w:r>
      <w:r w:rsidRPr="002323A9">
        <w:t>current staffing features, strengths</w:t>
      </w:r>
      <w:r w:rsidR="00EC505A">
        <w:t>,</w:t>
      </w:r>
      <w:r w:rsidRPr="002323A9">
        <w:t xml:space="preserve"> and challenges</w:t>
      </w:r>
      <w:r w:rsidR="00F73151">
        <w:t>.</w:t>
      </w:r>
      <w:r w:rsidRPr="002323A9">
        <w:t xml:space="preserve"> We used a mixed-method approach that blends qualitative and quantitative analysis to understand JR’s programs and services that included:</w:t>
      </w:r>
    </w:p>
    <w:p w14:paraId="47995CAB" w14:textId="77777777" w:rsidR="002323A9" w:rsidRPr="002323A9" w:rsidRDefault="002323A9" w:rsidP="007246F1">
      <w:pPr>
        <w:pStyle w:val="ListBullet"/>
      </w:pPr>
      <w:r w:rsidRPr="002323A9">
        <w:t xml:space="preserve">Site visits to </w:t>
      </w:r>
      <w:r w:rsidR="00DD25E1">
        <w:t>the three JR institutions and eight community facilities</w:t>
      </w:r>
      <w:r w:rsidRPr="002323A9">
        <w:t xml:space="preserve"> to conduct one-on-one and group interviews with direct services staff, youth, supervisors, and leadership;</w:t>
      </w:r>
    </w:p>
    <w:p w14:paraId="6184E18A" w14:textId="77777777" w:rsidR="002323A9" w:rsidRPr="002323A9" w:rsidRDefault="002323A9" w:rsidP="007246F1">
      <w:pPr>
        <w:pStyle w:val="ListBullet"/>
      </w:pPr>
      <w:r w:rsidRPr="002323A9">
        <w:t xml:space="preserve">A staff survey to gain information on staff demographics, time spent, adequacy of staffing levels, supervision, turnover, safety on the job, </w:t>
      </w:r>
      <w:r w:rsidR="007246F1">
        <w:t xml:space="preserve">and a separate Organizational Social Context study to evaluate the </w:t>
      </w:r>
      <w:r w:rsidRPr="002323A9">
        <w:t>organizational culture and climate, and staff morale</w:t>
      </w:r>
      <w:r w:rsidR="007246F1">
        <w:t xml:space="preserve"> at JR residential facilities</w:t>
      </w:r>
      <w:r w:rsidR="00DD4F6B">
        <w:t>;</w:t>
      </w:r>
    </w:p>
    <w:p w14:paraId="41CD47AB" w14:textId="77777777" w:rsidR="002323A9" w:rsidRPr="002323A9" w:rsidRDefault="002323A9" w:rsidP="007246F1">
      <w:pPr>
        <w:pStyle w:val="ListBullet"/>
      </w:pPr>
      <w:r w:rsidRPr="002323A9">
        <w:t>Analysis of administrative data from DSHS</w:t>
      </w:r>
      <w:r w:rsidR="00EC505A">
        <w:t>’</w:t>
      </w:r>
      <w:r w:rsidRPr="002323A9">
        <w:t xml:space="preserve"> Human Resources Management System (HRMS) system to gain info</w:t>
      </w:r>
      <w:r w:rsidR="00EC505A">
        <w:t xml:space="preserve">rmation on staff missed time, </w:t>
      </w:r>
      <w:r w:rsidRPr="002323A9">
        <w:t>on-call usage, turnover, and staff salaries</w:t>
      </w:r>
      <w:r w:rsidR="00DD4F6B">
        <w:t>; and</w:t>
      </w:r>
    </w:p>
    <w:p w14:paraId="7B435178" w14:textId="77777777" w:rsidR="002323A9" w:rsidRDefault="002323A9" w:rsidP="007246F1">
      <w:pPr>
        <w:pStyle w:val="ListBullet"/>
      </w:pPr>
      <w:r w:rsidRPr="002323A9">
        <w:t>Review of key documents to ensure a comprehensive under</w:t>
      </w:r>
      <w:r w:rsidR="00EC505A">
        <w:t>standing of JRs treatment model</w:t>
      </w:r>
      <w:r w:rsidRPr="002323A9">
        <w:t xml:space="preserve">, program components, and specific practices being used to implement the model.  </w:t>
      </w:r>
    </w:p>
    <w:p w14:paraId="60996D71" w14:textId="77777777" w:rsidR="007246F1" w:rsidRPr="002323A9" w:rsidRDefault="007246F1" w:rsidP="007246F1">
      <w:pPr>
        <w:spacing w:after="180"/>
      </w:pPr>
      <w:r>
        <w:t xml:space="preserve">This report provides results from the analysis of current JR staffing practices. It highlights the key strengths and challenges for JR as it begins to update staffing model to more effectively support JR’s Rehabilitation Model. Results and findings from this report will </w:t>
      </w:r>
      <w:r w:rsidRPr="007246F1">
        <w:t xml:space="preserve">provide </w:t>
      </w:r>
      <w:r>
        <w:t xml:space="preserve">the necessary background and building blocks to develop new staffing models for JR’s institutions </w:t>
      </w:r>
      <w:r w:rsidR="00183571">
        <w:t xml:space="preserve">and </w:t>
      </w:r>
      <w:r>
        <w:t>community facilities. These new staffing model</w:t>
      </w:r>
      <w:r w:rsidR="00183571">
        <w:t>s</w:t>
      </w:r>
      <w:r>
        <w:t xml:space="preserve"> will be presented in a subsequent “Future State Staffing Model” report.</w:t>
      </w:r>
    </w:p>
    <w:p w14:paraId="790863D6" w14:textId="77777777" w:rsidR="002323A9" w:rsidRDefault="00D52DED" w:rsidP="00F42D48">
      <w:pPr>
        <w:pStyle w:val="Heading2"/>
      </w:pPr>
      <w:bookmarkStart w:id="7" w:name="_Toc531597464"/>
      <w:r>
        <w:t>Major Findings</w:t>
      </w:r>
      <w:bookmarkEnd w:id="7"/>
      <w:r>
        <w:t xml:space="preserve"> </w:t>
      </w:r>
    </w:p>
    <w:p w14:paraId="51EAF623" w14:textId="77777777" w:rsidR="007F67B1" w:rsidRDefault="00582FA5" w:rsidP="00582FA5">
      <w:r w:rsidRPr="008B3EC1">
        <w:t xml:space="preserve">Juvenile </w:t>
      </w:r>
      <w:r>
        <w:t xml:space="preserve">Rehabilitation </w:t>
      </w:r>
      <w:r w:rsidRPr="008B3EC1">
        <w:t>staff</w:t>
      </w:r>
      <w:r>
        <w:t xml:space="preserve"> working at the three institutions and eight community facilities</w:t>
      </w:r>
      <w:r w:rsidRPr="008B3EC1">
        <w:t xml:space="preserve"> have an enormous responsibility. They provide for the needs of youth in custody 24 hours a day, seven days a week. Youth must be kept healthy, active,</w:t>
      </w:r>
      <w:r w:rsidR="007246F1">
        <w:t xml:space="preserve"> and</w:t>
      </w:r>
      <w:r w:rsidRPr="008B3EC1">
        <w:t xml:space="preserve"> well </w:t>
      </w:r>
      <w:r>
        <w:t>nourished.</w:t>
      </w:r>
      <w:r w:rsidRPr="008B3EC1">
        <w:t xml:space="preserve"> Youth must receive </w:t>
      </w:r>
      <w:r>
        <w:t xml:space="preserve">the appropriate </w:t>
      </w:r>
      <w:r w:rsidRPr="008B3EC1">
        <w:t xml:space="preserve">education and have opportunities to develop vocational skills. Staff must balance the competing demands of meeting different </w:t>
      </w:r>
      <w:r>
        <w:t xml:space="preserve">treatment, </w:t>
      </w:r>
      <w:r w:rsidRPr="008B3EC1">
        <w:t>educational, recreational, vocational, and community engagement needs</w:t>
      </w:r>
      <w:r>
        <w:t>. In the institutions, staff must also</w:t>
      </w:r>
      <w:r w:rsidRPr="008B3EC1">
        <w:t xml:space="preserve"> </w:t>
      </w:r>
      <w:r>
        <w:t xml:space="preserve">maintain constant </w:t>
      </w:r>
      <w:r w:rsidRPr="008B3EC1">
        <w:t>supervision to ensure the safety and security of youth</w:t>
      </w:r>
      <w:r>
        <w:t xml:space="preserve"> and </w:t>
      </w:r>
      <w:r w:rsidRPr="008B3EC1">
        <w:t>staff</w:t>
      </w:r>
      <w:r>
        <w:t xml:space="preserve">. Staff working in the community facilities </w:t>
      </w:r>
      <w:r w:rsidR="007246F1">
        <w:t xml:space="preserve">also </w:t>
      </w:r>
      <w:r>
        <w:t>must support opportunities for youth to be in the community</w:t>
      </w:r>
      <w:r w:rsidR="007246F1">
        <w:t>,</w:t>
      </w:r>
      <w:r>
        <w:t xml:space="preserve"> </w:t>
      </w:r>
      <w:r w:rsidR="007246F1">
        <w:t xml:space="preserve">which includes coordinating </w:t>
      </w:r>
      <w:r w:rsidR="007246F1">
        <w:lastRenderedPageBreak/>
        <w:t xml:space="preserve">activities such as </w:t>
      </w:r>
      <w:r>
        <w:t xml:space="preserve">shopping, recreation, field trips, local community activities, and family visits. </w:t>
      </w:r>
      <w:r w:rsidR="007246F1">
        <w:t xml:space="preserve">Staff also </w:t>
      </w:r>
      <w:r>
        <w:t>ensure the ongoing safety of the youth and community</w:t>
      </w:r>
      <w:r w:rsidR="007246F1">
        <w:t xml:space="preserve"> and monitor </w:t>
      </w:r>
      <w:r>
        <w:t xml:space="preserve">youth who are working or attending a private or public school. </w:t>
      </w:r>
    </w:p>
    <w:p w14:paraId="3DF17E0C" w14:textId="77777777" w:rsidR="007F67B1" w:rsidRPr="00582FA5" w:rsidRDefault="007F67B1" w:rsidP="00582FA5">
      <w:r w:rsidRPr="008B3EC1">
        <w:rPr>
          <w:shd w:val="clear" w:color="auto" w:fill="FFFFFF"/>
        </w:rPr>
        <w:t>In addition to the daily care and supervision of youth,</w:t>
      </w:r>
      <w:r w:rsidRPr="008B3EC1">
        <w:t xml:space="preserve"> JR staff members also </w:t>
      </w:r>
      <w:r>
        <w:t xml:space="preserve">provide </w:t>
      </w:r>
      <w:r w:rsidRPr="008B3EC1">
        <w:t xml:space="preserve">a transformative experience and pathway to self-sufficiency </w:t>
      </w:r>
      <w:r>
        <w:t>for youth</w:t>
      </w:r>
      <w:r w:rsidRPr="008B3EC1">
        <w:t xml:space="preserve">, from commitment through </w:t>
      </w:r>
      <w:r>
        <w:t>reentry</w:t>
      </w:r>
      <w:r w:rsidRPr="008B3EC1">
        <w:t xml:space="preserve"> into their communities. JR services are designed to increase each youth’s pro-social behavior, enhance community safety, and prepare them for productive </w:t>
      </w:r>
      <w:r w:rsidRPr="002D22B3">
        <w:t>lives and a successful future after they leave.</w:t>
      </w:r>
      <w:r w:rsidR="003F3C9E">
        <w:t xml:space="preserve"> The foundation of treatment for youth is the provision of Dialectical Behavior Therapy (DBT).</w:t>
      </w:r>
      <w:r>
        <w:t xml:space="preserve"> </w:t>
      </w:r>
      <w:r w:rsidR="003F3C9E">
        <w:t xml:space="preserve">Staff </w:t>
      </w:r>
      <w:r w:rsidR="007246F1">
        <w:t xml:space="preserve">also </w:t>
      </w:r>
      <w:r w:rsidR="003F3C9E">
        <w:t xml:space="preserve">begin to plan and provide services and support for </w:t>
      </w:r>
      <w:r>
        <w:t>reentry into the community</w:t>
      </w:r>
      <w:r w:rsidR="003F3C9E">
        <w:t xml:space="preserve">. This can be very difficult as many youth </w:t>
      </w:r>
      <w:r w:rsidRPr="002D22B3">
        <w:t xml:space="preserve">have complex issues including educational, mental health, and substance abuse challenges. Many </w:t>
      </w:r>
      <w:r w:rsidR="003F3C9E">
        <w:t xml:space="preserve">also </w:t>
      </w:r>
      <w:r w:rsidRPr="002D22B3">
        <w:t xml:space="preserve">return to impoverished communities with high crime rates and low performing schools. </w:t>
      </w:r>
    </w:p>
    <w:p w14:paraId="747D6A53" w14:textId="77777777" w:rsidR="002323A9" w:rsidRPr="002323A9" w:rsidRDefault="00D52DED" w:rsidP="002323A9">
      <w:pPr>
        <w:pStyle w:val="Heading3"/>
        <w:numPr>
          <w:ilvl w:val="2"/>
          <w:numId w:val="32"/>
        </w:numPr>
        <w:ind w:left="720"/>
      </w:pPr>
      <w:bookmarkStart w:id="8" w:name="_Toc531597465"/>
      <w:r w:rsidRPr="002323A9">
        <w:t xml:space="preserve">Fidelity </w:t>
      </w:r>
      <w:r>
        <w:t xml:space="preserve">to the </w:t>
      </w:r>
      <w:r w:rsidR="007520B9">
        <w:t xml:space="preserve">Rehabilitation Model / </w:t>
      </w:r>
      <w:r w:rsidRPr="002323A9">
        <w:t>Integrated Treatment Model</w:t>
      </w:r>
      <w:bookmarkEnd w:id="8"/>
    </w:p>
    <w:p w14:paraId="0A64D570" w14:textId="77777777" w:rsidR="002323A9" w:rsidRPr="002323A9" w:rsidRDefault="002323A9" w:rsidP="002323A9">
      <w:r w:rsidRPr="002323A9">
        <w:rPr>
          <w:b/>
        </w:rPr>
        <w:t xml:space="preserve">The current number of staff and the composition of the workforce cannot support full implementation of all the components of </w:t>
      </w:r>
      <w:r w:rsidRPr="00405D3F">
        <w:rPr>
          <w:b/>
        </w:rPr>
        <w:t xml:space="preserve">the </w:t>
      </w:r>
      <w:r w:rsidR="008C0316" w:rsidRPr="00405D3F">
        <w:rPr>
          <w:b/>
        </w:rPr>
        <w:t>Rehabilitation Model</w:t>
      </w:r>
      <w:r w:rsidR="008C0316" w:rsidRPr="008C0316">
        <w:t>.</w:t>
      </w:r>
    </w:p>
    <w:p w14:paraId="595CD0B9" w14:textId="77777777" w:rsidR="002323A9" w:rsidRPr="002323A9" w:rsidRDefault="009A0A65" w:rsidP="002323A9">
      <w:pPr>
        <w:spacing w:before="60" w:after="60"/>
        <w:rPr>
          <w:b/>
          <w:highlight w:val="yellow"/>
        </w:rPr>
      </w:pPr>
      <w:r>
        <w:t xml:space="preserve">Due </w:t>
      </w:r>
      <w:r w:rsidR="002323A9" w:rsidRPr="002323A9">
        <w:t>to insufficient staffing levels, J</w:t>
      </w:r>
      <w:r w:rsidR="00EC505A">
        <w:t>uvenile Rehabilitation Residential Counselors (J</w:t>
      </w:r>
      <w:r w:rsidR="002323A9" w:rsidRPr="002323A9">
        <w:t>RRCs</w:t>
      </w:r>
      <w:r w:rsidR="00EC505A">
        <w:t>)</w:t>
      </w:r>
      <w:r w:rsidR="002323A9" w:rsidRPr="002323A9">
        <w:t xml:space="preserve"> and J</w:t>
      </w:r>
      <w:r w:rsidR="00EC505A">
        <w:t>uvenile Rehabilitation Counselor Assistants (J</w:t>
      </w:r>
      <w:r w:rsidR="002323A9" w:rsidRPr="002323A9">
        <w:t>RCAs</w:t>
      </w:r>
      <w:r w:rsidR="00EC505A">
        <w:t>) (counselors)</w:t>
      </w:r>
      <w:r w:rsidR="002323A9" w:rsidRPr="002323A9">
        <w:t xml:space="preserve"> are not able to implement all of the key components of the </w:t>
      </w:r>
      <w:r w:rsidR="008C0316">
        <w:t xml:space="preserve">Rehabilitation Model. </w:t>
      </w:r>
      <w:r w:rsidR="002323A9" w:rsidRPr="002323A9">
        <w:t>We found counselors</w:t>
      </w:r>
      <w:r w:rsidR="001A2398">
        <w:t xml:space="preserve"> in the three institutions and eight community facilities combined</w:t>
      </w:r>
      <w:r w:rsidR="002323A9" w:rsidRPr="002323A9">
        <w:t xml:space="preserve"> spend more than three-quarters of their time (78%) providing floor supervision, safety and security, transports, and custodial care, which equates to 31 hours of a 40-hour workweek.</w:t>
      </w:r>
    </w:p>
    <w:p w14:paraId="58C03B66" w14:textId="77777777" w:rsidR="002323A9" w:rsidRPr="002323A9" w:rsidRDefault="002323A9" w:rsidP="002323A9">
      <w:r w:rsidRPr="002323A9">
        <w:t xml:space="preserve">Counselors are consumed by the day-to-day responsibilities associated with ensuring safety and security and supervising daily living activities. With current staffing levels, they are not able to meet the minimum standards for the provision of Dialectical </w:t>
      </w:r>
      <w:r w:rsidR="007520B9" w:rsidRPr="002323A9">
        <w:t>Behavior</w:t>
      </w:r>
      <w:r w:rsidR="007520B9">
        <w:t xml:space="preserve"> </w:t>
      </w:r>
      <w:r w:rsidRPr="002323A9">
        <w:t xml:space="preserve">Therapy (DBT), which is JR’s core </w:t>
      </w:r>
      <w:r w:rsidR="007379C5">
        <w:t xml:space="preserve">residential </w:t>
      </w:r>
      <w:r w:rsidRPr="002323A9">
        <w:t>treatment modality that emphasizes individual counseling and group skills training classes.</w:t>
      </w:r>
    </w:p>
    <w:p w14:paraId="61B38B00" w14:textId="77777777" w:rsidR="002323A9" w:rsidRPr="002323A9" w:rsidRDefault="002323A9" w:rsidP="002323A9">
      <w:r w:rsidRPr="002323A9">
        <w:t xml:space="preserve">Reentry planning is also a fundamental </w:t>
      </w:r>
      <w:r w:rsidR="008C0316">
        <w:t>element of the Rehabilitation Model.</w:t>
      </w:r>
      <w:r w:rsidRPr="002323A9">
        <w:t xml:space="preserve"> We found counselors conduct limited reentry planning, primarily because they do not have the time necessary to actively engage youth and their families. Counselors also lack time to identify and link youth to available community resources that can support </w:t>
      </w:r>
      <w:r w:rsidR="005801BB">
        <w:t>them</w:t>
      </w:r>
      <w:r w:rsidRPr="002323A9">
        <w:t xml:space="preserve"> upon their release. </w:t>
      </w:r>
    </w:p>
    <w:p w14:paraId="3FE85BC3" w14:textId="77777777" w:rsidR="002323A9" w:rsidRPr="002323A9" w:rsidRDefault="002323A9" w:rsidP="002323A9">
      <w:r w:rsidRPr="002323A9">
        <w:t xml:space="preserve">We also found counselors sacrifice other program components in service of ensuring safety and providing supervision. In interviews with both staff and youth, we heard cultural and recreational activities are often canceled or not provided. Youth </w:t>
      </w:r>
      <w:r w:rsidR="001A2398">
        <w:t>in the institutions indicated that the units</w:t>
      </w:r>
      <w:r w:rsidRPr="002323A9">
        <w:t xml:space="preserve"> are often short-staffed, making it impossible for one staff member </w:t>
      </w:r>
      <w:r w:rsidR="007379C5">
        <w:t>to</w:t>
      </w:r>
      <w:r w:rsidR="007379C5" w:rsidRPr="002323A9">
        <w:t xml:space="preserve"> </w:t>
      </w:r>
      <w:r w:rsidRPr="002323A9">
        <w:t xml:space="preserve">leave the unit in order to escort youth to cultural or recreational activities. Counselors and </w:t>
      </w:r>
      <w:r w:rsidR="005801BB">
        <w:t>Juvenile Rehabilitation Security Officers 1 (JRSO 1s)</w:t>
      </w:r>
      <w:r w:rsidRPr="002323A9">
        <w:t xml:space="preserve"> said cancelling these activities often leaves the youth with too much idle time, which may lead to interpersonal conflict involving youth and staff members.  </w:t>
      </w:r>
    </w:p>
    <w:p w14:paraId="50151CBC" w14:textId="77777777" w:rsidR="002323A9" w:rsidRPr="002323A9" w:rsidRDefault="00D52DED" w:rsidP="00BC0E8E">
      <w:pPr>
        <w:pStyle w:val="Heading3"/>
      </w:pPr>
      <w:bookmarkStart w:id="9" w:name="_Toc531597466"/>
      <w:r w:rsidRPr="002323A9">
        <w:lastRenderedPageBreak/>
        <w:t xml:space="preserve">Overtime </w:t>
      </w:r>
      <w:r>
        <w:t xml:space="preserve">and </w:t>
      </w:r>
      <w:r w:rsidRPr="002323A9">
        <w:t>On-Call Usage</w:t>
      </w:r>
      <w:bookmarkEnd w:id="9"/>
    </w:p>
    <w:p w14:paraId="54FC2A6B" w14:textId="77777777" w:rsidR="002323A9" w:rsidRPr="002323A9" w:rsidRDefault="002323A9" w:rsidP="00BC0E8E">
      <w:pPr>
        <w:keepNext/>
        <w:keepLines/>
        <w:rPr>
          <w:b/>
        </w:rPr>
      </w:pPr>
      <w:r w:rsidRPr="002323A9">
        <w:rPr>
          <w:b/>
        </w:rPr>
        <w:t>There is significant use of both on-call staff and overtime to cover shifts.</w:t>
      </w:r>
    </w:p>
    <w:p w14:paraId="68F427B4" w14:textId="77777777" w:rsidR="002323A9" w:rsidRPr="002323A9" w:rsidRDefault="002323A9" w:rsidP="00BC0E8E">
      <w:pPr>
        <w:keepNext/>
        <w:keepLines/>
      </w:pPr>
      <w:r w:rsidRPr="002323A9">
        <w:t xml:space="preserve">The total use of overtime among all staff (permanent and on-call) is 64,640 hours, which represents 7.4% of all hours worked by JR </w:t>
      </w:r>
      <w:r w:rsidR="005801BB">
        <w:t xml:space="preserve">residential </w:t>
      </w:r>
      <w:r w:rsidRPr="002323A9">
        <w:t xml:space="preserve">staff. This represents a significant cost outlay for </w:t>
      </w:r>
      <w:r w:rsidR="007379C5">
        <w:t>JR</w:t>
      </w:r>
      <w:r w:rsidR="007379C5" w:rsidRPr="002323A9">
        <w:t xml:space="preserve"> </w:t>
      </w:r>
      <w:r w:rsidRPr="002323A9">
        <w:t xml:space="preserve">as overtime hours are paid </w:t>
      </w:r>
      <w:r w:rsidR="005801BB">
        <w:t xml:space="preserve">at 1.5 times the regular wage. </w:t>
      </w:r>
      <w:r w:rsidRPr="002323A9">
        <w:t>All three institutions and the community facilities (collectively) saw a higher incidence of overtime use among on-call staff. This has even more serious budget implications for JR, because on-call staff who work enough to gather overtime may, over time, qualify for benefits.</w:t>
      </w:r>
    </w:p>
    <w:p w14:paraId="79A4269D" w14:textId="77777777" w:rsidR="002323A9" w:rsidRPr="002323A9" w:rsidRDefault="00AF3015" w:rsidP="002323A9">
      <w:r>
        <w:t>T</w:t>
      </w:r>
      <w:r w:rsidR="002323A9" w:rsidRPr="002323A9">
        <w:t xml:space="preserve">he most prevalent reason for overtime is an insufficient level of permanent staff to meet minimum staffing requirements. In part, this is due to high turnover and difficulty in filling vacancies. Some staff noted a high rate of staff calling in sick, staff on “light duty,” and staff members being away for training. </w:t>
      </w:r>
      <w:r>
        <w:t>W</w:t>
      </w:r>
      <w:r w:rsidR="002323A9" w:rsidRPr="002323A9">
        <w:t xml:space="preserve">e found high overtime levels may be leading to increased stress and staff burnout, which, in turn, may lead to increased absenteeism. </w:t>
      </w:r>
    </w:p>
    <w:p w14:paraId="296A4967" w14:textId="77777777" w:rsidR="002323A9" w:rsidRPr="002323A9" w:rsidRDefault="00D52DED" w:rsidP="002323A9">
      <w:pPr>
        <w:pStyle w:val="Heading3"/>
      </w:pPr>
      <w:bookmarkStart w:id="10" w:name="_Toc531597467"/>
      <w:r>
        <w:t>Supervision</w:t>
      </w:r>
      <w:bookmarkEnd w:id="10"/>
    </w:p>
    <w:p w14:paraId="6D8EAB57" w14:textId="77777777" w:rsidR="002323A9" w:rsidRPr="002323A9" w:rsidRDefault="002323A9" w:rsidP="002323A9">
      <w:pPr>
        <w:rPr>
          <w:b/>
        </w:rPr>
      </w:pPr>
      <w:r w:rsidRPr="002323A9">
        <w:rPr>
          <w:b/>
        </w:rPr>
        <w:t xml:space="preserve">Not all supervisors received supervisory training and most have difficulty meeting the minimum requirement of providing monthly supervision. </w:t>
      </w:r>
    </w:p>
    <w:p w14:paraId="155007EB" w14:textId="77777777" w:rsidR="002323A9" w:rsidRPr="002323A9" w:rsidRDefault="002323A9" w:rsidP="002323A9">
      <w:r w:rsidRPr="002323A9">
        <w:t>Lack of quality supervision leads to dissatisfied staff, high turnover, and reduced safety, security</w:t>
      </w:r>
      <w:r w:rsidR="005801BB">
        <w:t>,</w:t>
      </w:r>
      <w:r w:rsidRPr="002323A9">
        <w:t xml:space="preserve"> and quality of care for youth. One of the top factors identified by participants in the staff survey for wanting to leave their position was “poor leadership, supervision, and support.” The range of staff </w:t>
      </w:r>
      <w:r w:rsidR="004A6F18">
        <w:t xml:space="preserve">who </w:t>
      </w:r>
      <w:r w:rsidRPr="002323A9">
        <w:t>indicated this as a reason to leave ranged from 44.6% of staff at the community facilities to 72.4% at Green Hill.</w:t>
      </w:r>
    </w:p>
    <w:p w14:paraId="3A4C77A5" w14:textId="77777777" w:rsidR="002323A9" w:rsidRPr="002323A9" w:rsidRDefault="002323A9" w:rsidP="002323A9">
      <w:r w:rsidRPr="002323A9">
        <w:t xml:space="preserve">Specialized training is one way to help supervisors provide effective supervision. However, only some of the supervisors interviewed indicated they had received the specialized supervisory training offered in DSHS’ supervisory essentials class. Other supervisors have not heard of this </w:t>
      </w:r>
      <w:r w:rsidR="00FE66BD" w:rsidRPr="002323A9">
        <w:t>training</w:t>
      </w:r>
      <w:r w:rsidR="00FE66BD">
        <w:t>;</w:t>
      </w:r>
      <w:r w:rsidR="005801BB">
        <w:t xml:space="preserve"> however, they</w:t>
      </w:r>
      <w:r w:rsidRPr="002323A9">
        <w:t xml:space="preserve"> were interested in </w:t>
      </w:r>
      <w:r w:rsidR="005801BB">
        <w:t>attending</w:t>
      </w:r>
      <w:r w:rsidRPr="002323A9">
        <w:t xml:space="preserve"> and felt it would help them better manage their staff.  </w:t>
      </w:r>
    </w:p>
    <w:p w14:paraId="2296D467" w14:textId="77777777" w:rsidR="002323A9" w:rsidRPr="002323A9" w:rsidRDefault="002323A9" w:rsidP="002323A9">
      <w:pPr>
        <w:spacing w:before="60" w:after="60"/>
      </w:pPr>
      <w:r w:rsidRPr="002323A9">
        <w:t>Many supervisors indicated they have difficulty meeting the requirement to conduct monthly one-o</w:t>
      </w:r>
      <w:r w:rsidR="005801BB">
        <w:t xml:space="preserve">n-one supervision sessions with </w:t>
      </w:r>
      <w:r w:rsidRPr="002323A9">
        <w:t xml:space="preserve">staff they supervise. Reasons supervisors cited for this included: always having to be on the floor; supervisors having to carry </w:t>
      </w:r>
      <w:r w:rsidR="004A6F18">
        <w:t>a</w:t>
      </w:r>
      <w:r w:rsidR="004A6F18" w:rsidRPr="002323A9">
        <w:t xml:space="preserve"> </w:t>
      </w:r>
      <w:r w:rsidRPr="002323A9">
        <w:t xml:space="preserve">caseload, which detracts from time they have for supervision; the necessity of dealing with emergencies, paperwork, and scheduling-related issues; and not being able to take staff of the floor. </w:t>
      </w:r>
    </w:p>
    <w:p w14:paraId="0F5F36A2" w14:textId="77777777" w:rsidR="002323A9" w:rsidRPr="002323A9" w:rsidRDefault="00D52DED" w:rsidP="002323A9">
      <w:pPr>
        <w:pStyle w:val="Heading3"/>
      </w:pPr>
      <w:bookmarkStart w:id="11" w:name="_Toc531597468"/>
      <w:r>
        <w:t>Training</w:t>
      </w:r>
      <w:bookmarkEnd w:id="11"/>
    </w:p>
    <w:p w14:paraId="52BF95B4" w14:textId="77777777" w:rsidR="002323A9" w:rsidRPr="002323A9" w:rsidRDefault="002323A9" w:rsidP="002323A9">
      <w:pPr>
        <w:rPr>
          <w:b/>
        </w:rPr>
      </w:pPr>
      <w:r w:rsidRPr="002323A9">
        <w:rPr>
          <w:b/>
        </w:rPr>
        <w:t xml:space="preserve">Staff do not receive the necessary training time to gain requisite knowledge and skills for working with youth. In addition, training is not always provided in a timely manner. </w:t>
      </w:r>
    </w:p>
    <w:p w14:paraId="1ADF04B7" w14:textId="77777777" w:rsidR="002323A9" w:rsidRPr="002323A9" w:rsidRDefault="002323A9" w:rsidP="002323A9">
      <w:r w:rsidRPr="002323A9">
        <w:t xml:space="preserve">Given current staffing levels, facilities are often unable to provide training before staff begin working directly with youth. Facilities also experience challenges in taking staff off the floor to receive training. Significant staff time is required to complete the JR in-person training requirements in the first year, which include:  </w:t>
      </w:r>
    </w:p>
    <w:p w14:paraId="78C4B0A7" w14:textId="77777777" w:rsidR="002323A9" w:rsidRPr="002323A9" w:rsidRDefault="002323A9" w:rsidP="002323A9">
      <w:pPr>
        <w:numPr>
          <w:ilvl w:val="0"/>
          <w:numId w:val="10"/>
        </w:numPr>
        <w:spacing w:before="60" w:after="60"/>
        <w:ind w:left="360"/>
        <w:contextualSpacing/>
      </w:pPr>
      <w:r w:rsidRPr="002323A9">
        <w:t>100 hours of training for JRSOs working in the community facilities;</w:t>
      </w:r>
    </w:p>
    <w:p w14:paraId="2CB9DE25" w14:textId="77777777" w:rsidR="002323A9" w:rsidRPr="002323A9" w:rsidRDefault="002323A9" w:rsidP="002323A9">
      <w:pPr>
        <w:numPr>
          <w:ilvl w:val="0"/>
          <w:numId w:val="10"/>
        </w:numPr>
        <w:spacing w:before="60" w:after="60"/>
        <w:ind w:left="360"/>
        <w:contextualSpacing/>
      </w:pPr>
      <w:r w:rsidRPr="002323A9">
        <w:t>116 hours of training for JRSOs working in the institutions;</w:t>
      </w:r>
    </w:p>
    <w:p w14:paraId="718C056F" w14:textId="77777777" w:rsidR="002323A9" w:rsidRPr="002323A9" w:rsidRDefault="002323A9" w:rsidP="002323A9">
      <w:pPr>
        <w:numPr>
          <w:ilvl w:val="0"/>
          <w:numId w:val="10"/>
        </w:numPr>
        <w:spacing w:before="60" w:after="60"/>
        <w:ind w:left="360"/>
        <w:contextualSpacing/>
      </w:pPr>
      <w:r w:rsidRPr="002323A9">
        <w:t>124 hours of training for JRRCs and JRCAs working in the community facilities; and</w:t>
      </w:r>
    </w:p>
    <w:p w14:paraId="23B964EB" w14:textId="77777777" w:rsidR="002323A9" w:rsidRPr="002323A9" w:rsidRDefault="002323A9" w:rsidP="002323A9">
      <w:pPr>
        <w:numPr>
          <w:ilvl w:val="0"/>
          <w:numId w:val="10"/>
        </w:numPr>
        <w:spacing w:before="60" w:after="60"/>
        <w:ind w:left="360"/>
        <w:contextualSpacing/>
      </w:pPr>
      <w:r w:rsidRPr="002323A9">
        <w:lastRenderedPageBreak/>
        <w:t>140 hours of training for JRRCs and JRCAs working in the institutions.</w:t>
      </w:r>
      <w:r w:rsidRPr="002323A9">
        <w:rPr>
          <w:vertAlign w:val="superscript"/>
        </w:rPr>
        <w:footnoteReference w:id="9"/>
      </w:r>
    </w:p>
    <w:p w14:paraId="1A614CF0" w14:textId="77777777" w:rsidR="002323A9" w:rsidRPr="002323A9" w:rsidRDefault="002323A9" w:rsidP="00B505FE">
      <w:pPr>
        <w:widowControl w:val="0"/>
      </w:pPr>
      <w:r w:rsidRPr="002323A9">
        <w:t xml:space="preserve">These requirements do not include the training staff must complete online through the Learning Management System (LMS) and other additional training </w:t>
      </w:r>
      <w:r w:rsidR="005801BB">
        <w:t>in areas including</w:t>
      </w:r>
      <w:r w:rsidRPr="002323A9">
        <w:t xml:space="preserve"> CPR/First Aid, Food Handling, and Sexual Orientation,</w:t>
      </w:r>
      <w:r w:rsidR="005801BB">
        <w:t xml:space="preserve"> Gender Identity and Expression.</w:t>
      </w:r>
    </w:p>
    <w:p w14:paraId="21D14431" w14:textId="77777777" w:rsidR="002323A9" w:rsidRPr="002323A9" w:rsidRDefault="003B0E7D" w:rsidP="002323A9">
      <w:r>
        <w:t>T</w:t>
      </w:r>
      <w:r w:rsidR="002323A9" w:rsidRPr="002323A9">
        <w:t>he current training process</w:t>
      </w:r>
      <w:r>
        <w:t xml:space="preserve"> and </w:t>
      </w:r>
      <w:r w:rsidR="002323A9" w:rsidRPr="002323A9">
        <w:t>the timeframes for provision of training</w:t>
      </w:r>
      <w:r>
        <w:t xml:space="preserve"> are not properly equipping staff before they begin working with youth</w:t>
      </w:r>
      <w:r w:rsidR="0093453F">
        <w:t>.</w:t>
      </w:r>
      <w:r w:rsidR="002323A9" w:rsidRPr="002323A9">
        <w:t xml:space="preserve"> At all facilities, staff </w:t>
      </w:r>
      <w:r w:rsidR="005071D2">
        <w:t>report</w:t>
      </w:r>
      <w:r w:rsidR="005071D2" w:rsidRPr="002323A9">
        <w:t xml:space="preserve"> </w:t>
      </w:r>
      <w:r w:rsidR="002323A9" w:rsidRPr="002323A9">
        <w:t xml:space="preserve">the Dealing with Resistive Youth (DWRY) safety training or Community Safety Training is often not provided before staff begin working with youth. Some staff do not receive safety training for weeks, sometimes months. </w:t>
      </w:r>
      <w:r w:rsidR="005071D2">
        <w:t>O</w:t>
      </w:r>
      <w:r w:rsidR="002323A9" w:rsidRPr="002323A9">
        <w:t xml:space="preserve">n-call staff are sometimes not trained until months after they start, limiting their ability to stop and address egregious behaviors. </w:t>
      </w:r>
    </w:p>
    <w:p w14:paraId="7431DDB2" w14:textId="77777777" w:rsidR="002323A9" w:rsidRPr="002323A9" w:rsidRDefault="002323A9" w:rsidP="002323A9">
      <w:r w:rsidRPr="002323A9">
        <w:t xml:space="preserve">Some staff also raised the concern </w:t>
      </w:r>
      <w:r w:rsidR="005801BB">
        <w:t xml:space="preserve">that </w:t>
      </w:r>
      <w:r w:rsidR="0057509C">
        <w:t>JRRCs</w:t>
      </w:r>
      <w:r w:rsidR="0057509C" w:rsidRPr="002323A9">
        <w:t xml:space="preserve"> </w:t>
      </w:r>
      <w:r w:rsidRPr="002323A9">
        <w:t>and JRCAs</w:t>
      </w:r>
      <w:r w:rsidR="005801BB">
        <w:t xml:space="preserve"> (counselors)</w:t>
      </w:r>
      <w:r w:rsidRPr="002323A9">
        <w:t xml:space="preserve"> receive a caseload before they receive the minimal Dialectical </w:t>
      </w:r>
      <w:r w:rsidR="0057509C" w:rsidRPr="002323A9">
        <w:t>Behavior</w:t>
      </w:r>
      <w:r w:rsidR="0057509C">
        <w:t xml:space="preserve"> </w:t>
      </w:r>
      <w:r w:rsidRPr="002323A9">
        <w:t xml:space="preserve">Therapy (DBT) training — Milieu Treatment: Coaching on the Floor and Case Management Training. Most of the counselors said they have never received training on conducting the weekly individual one-on-one counseling sessions or conducting the weekly </w:t>
      </w:r>
      <w:r w:rsidR="005801BB">
        <w:t>DBT Skills Groups</w:t>
      </w:r>
      <w:r w:rsidRPr="002323A9">
        <w:t xml:space="preserve"> on mindfulness, interpersonal effectiveness, emotional regulation, and distress tolerance skills. This limits their ability to provide services and counseling consistent with JR’s </w:t>
      </w:r>
      <w:r w:rsidR="008C0316">
        <w:t>Rehabilitation Model.</w:t>
      </w:r>
    </w:p>
    <w:p w14:paraId="3812E3F6" w14:textId="77777777" w:rsidR="002323A9" w:rsidRPr="002323A9" w:rsidRDefault="00D52DED" w:rsidP="002323A9">
      <w:pPr>
        <w:pStyle w:val="Heading3"/>
      </w:pPr>
      <w:bookmarkStart w:id="12" w:name="_Toc531597469"/>
      <w:r w:rsidRPr="002323A9">
        <w:t>Staff Demographics</w:t>
      </w:r>
      <w:bookmarkEnd w:id="12"/>
    </w:p>
    <w:p w14:paraId="47C0163B" w14:textId="77777777" w:rsidR="002323A9" w:rsidRPr="002323A9" w:rsidRDefault="002323A9" w:rsidP="002323A9">
      <w:pPr>
        <w:rPr>
          <w:b/>
        </w:rPr>
      </w:pPr>
      <w:r w:rsidRPr="002323A9">
        <w:rPr>
          <w:b/>
        </w:rPr>
        <w:t>JR’s current staff demographic includes a large cadre of senior staff who will retire in the next ten years, presenting challenges for facilities to maintain an experienced pool of staff with institutional knowledge.</w:t>
      </w:r>
    </w:p>
    <w:p w14:paraId="2F21A250" w14:textId="77777777" w:rsidR="002323A9" w:rsidRPr="002323A9" w:rsidRDefault="002323A9" w:rsidP="002323A9">
      <w:pPr>
        <w:rPr>
          <w:b/>
        </w:rPr>
      </w:pPr>
      <w:r w:rsidRPr="002323A9">
        <w:t xml:space="preserve">JR’s current staff demographic composition has a wide range of tenure, experience, and generational differences. </w:t>
      </w:r>
      <w:r w:rsidR="005071D2">
        <w:t>Overall, 25% of JRs current direct services staff is in their fifties and sixties. T</w:t>
      </w:r>
      <w:r w:rsidRPr="002323A9">
        <w:t xml:space="preserve">here is a significant pool of staff </w:t>
      </w:r>
      <w:r w:rsidR="00827A9D">
        <w:t xml:space="preserve">with </w:t>
      </w:r>
      <w:r w:rsidRPr="002323A9">
        <w:t>extensive experience (10+ years) but who will be retiring in the next ten years, along with a pool of younger, less experienced staff among which there is a high turnover rate. Unless JR aggressively implement</w:t>
      </w:r>
      <w:r w:rsidR="00827A9D">
        <w:t>s</w:t>
      </w:r>
      <w:r w:rsidRPr="002323A9">
        <w:t xml:space="preserve"> retention strategies, it will face a lack of staff with institutional knowledge who can assume more senior and leadership roles in the facilities.  </w:t>
      </w:r>
    </w:p>
    <w:p w14:paraId="385C987A" w14:textId="77777777" w:rsidR="002323A9" w:rsidRPr="002323A9" w:rsidRDefault="00D52DED" w:rsidP="00741BE1">
      <w:pPr>
        <w:pStyle w:val="Heading3"/>
      </w:pPr>
      <w:bookmarkStart w:id="13" w:name="_Toc531597470"/>
      <w:r>
        <w:t>Turnover</w:t>
      </w:r>
      <w:bookmarkEnd w:id="13"/>
    </w:p>
    <w:p w14:paraId="535249C0" w14:textId="77777777" w:rsidR="002323A9" w:rsidRPr="002323A9" w:rsidRDefault="002323A9" w:rsidP="00741BE1">
      <w:pPr>
        <w:keepNext/>
        <w:keepLines/>
        <w:rPr>
          <w:b/>
        </w:rPr>
      </w:pPr>
      <w:r w:rsidRPr="002323A9">
        <w:rPr>
          <w:b/>
        </w:rPr>
        <w:t>Actual turnover and turnover intent of staff are significant issues.</w:t>
      </w:r>
    </w:p>
    <w:p w14:paraId="16E424E4" w14:textId="77777777" w:rsidR="002323A9" w:rsidRPr="002323A9" w:rsidRDefault="002323A9" w:rsidP="00741BE1">
      <w:pPr>
        <w:keepNext/>
        <w:keepLines/>
      </w:pPr>
      <w:r w:rsidRPr="002323A9">
        <w:t xml:space="preserve">Using data from the state’s Human Resources Management System (HRMS), we calculated actual turnover rates, which include voluntary turnover and involuntary turnover. </w:t>
      </w:r>
      <w:r w:rsidRPr="002323A9">
        <w:rPr>
          <w:i/>
        </w:rPr>
        <w:t>Voluntary turnover</w:t>
      </w:r>
      <w:r w:rsidRPr="002323A9">
        <w:t xml:space="preserve"> involves an employee willfully resigning from their position for another position within or outside the agency or other personal reasons. </w:t>
      </w:r>
      <w:r w:rsidRPr="002323A9">
        <w:rPr>
          <w:i/>
        </w:rPr>
        <w:t>Involuntary turnover</w:t>
      </w:r>
      <w:r w:rsidRPr="002323A9">
        <w:t xml:space="preserve"> refers to layoffs, mandatory retirements, or discharges. </w:t>
      </w:r>
    </w:p>
    <w:p w14:paraId="49680602" w14:textId="77777777" w:rsidR="002323A9" w:rsidRPr="002323A9" w:rsidRDefault="002323A9" w:rsidP="002323A9">
      <w:r w:rsidRPr="002323A9">
        <w:t>Turnover rates for Juvenile Rehabilitation Residential Counselors (JRRCs) range from a low of 19.3% at Echo Glen to a high of</w:t>
      </w:r>
      <w:r w:rsidR="005801BB">
        <w:t xml:space="preserve"> 42.0% at Green Hill. Turnover r</w:t>
      </w:r>
      <w:r w:rsidRPr="002323A9">
        <w:t xml:space="preserve">ates for Juvenile Rehabilitation Counselor Assistants (JRCAs) range from a low of 20.0% at the community facilities to a high of 57.9% at Echo Glen. Reports provided by </w:t>
      </w:r>
      <w:r w:rsidR="00827A9D">
        <w:t>JR</w:t>
      </w:r>
      <w:r w:rsidR="00827A9D" w:rsidRPr="002323A9">
        <w:t xml:space="preserve"> </w:t>
      </w:r>
      <w:r w:rsidRPr="002323A9">
        <w:t xml:space="preserve">show a turnover rate among </w:t>
      </w:r>
      <w:r w:rsidR="00827A9D">
        <w:t>Juvenile Rehabilitation Security Officers (</w:t>
      </w:r>
      <w:r w:rsidRPr="002323A9">
        <w:t>JRSOs</w:t>
      </w:r>
      <w:r w:rsidR="00827A9D">
        <w:t>)</w:t>
      </w:r>
      <w:r w:rsidRPr="002323A9">
        <w:t xml:space="preserve"> of 48% between May 2017 and April 2018. </w:t>
      </w:r>
    </w:p>
    <w:p w14:paraId="36BB69FF" w14:textId="77777777" w:rsidR="002323A9" w:rsidRPr="002323A9" w:rsidRDefault="002323A9" w:rsidP="002323A9">
      <w:r w:rsidRPr="002323A9">
        <w:rPr>
          <w:i/>
        </w:rPr>
        <w:lastRenderedPageBreak/>
        <w:t>Turnover intent</w:t>
      </w:r>
      <w:r w:rsidRPr="002323A9">
        <w:t xml:space="preserve"> is the process of thinking about quitting or planning to leave a job, or the desire to leave a job. There are many staff at all facilities who do not see themselves working in their current position for longer than two years, including 45.7% of the staff at the community facilities, 41% of staff at Echo Glen, 30.2% at Green Hill, and 44.4% of the staff at Naselle.  </w:t>
      </w:r>
    </w:p>
    <w:p w14:paraId="4EDE2B5C" w14:textId="77777777" w:rsidR="002323A9" w:rsidRPr="002323A9" w:rsidRDefault="002323A9" w:rsidP="002323A9">
      <w:r w:rsidRPr="002323A9">
        <w:t xml:space="preserve">While these figures are consistent with national research regarding turnover rates among juvenile justice staff, they present major workforce challenges for JR. Turnover reduces JR’s ability to assure quality treatment that is consistent with the </w:t>
      </w:r>
      <w:r w:rsidR="008C0316">
        <w:t>Rehabilitation Model</w:t>
      </w:r>
      <w:r w:rsidRPr="002323A9">
        <w:t>, maintain safe facilities,</w:t>
      </w:r>
      <w:r w:rsidR="0032508D">
        <w:t xml:space="preserve"> develop and implement reentry plans,</w:t>
      </w:r>
      <w:r w:rsidRPr="002323A9">
        <w:t xml:space="preserve"> and provide a consistent relationship between counselors and youth. Turnover is also very costly; one study suggests the average cost of recruiting, hiring, and training a new employee is approximately $31,000.</w:t>
      </w:r>
      <w:r w:rsidRPr="002323A9">
        <w:rPr>
          <w:vertAlign w:val="superscript"/>
        </w:rPr>
        <w:footnoteReference w:id="10"/>
      </w:r>
    </w:p>
    <w:p w14:paraId="3C324C74" w14:textId="77777777" w:rsidR="002323A9" w:rsidRPr="002323A9" w:rsidRDefault="00D52DED" w:rsidP="002323A9">
      <w:pPr>
        <w:pStyle w:val="Heading3"/>
      </w:pPr>
      <w:bookmarkStart w:id="14" w:name="_Toc531597471"/>
      <w:r>
        <w:t>Salary</w:t>
      </w:r>
      <w:bookmarkEnd w:id="14"/>
    </w:p>
    <w:p w14:paraId="70ABC46C" w14:textId="77777777" w:rsidR="002323A9" w:rsidRPr="002323A9" w:rsidRDefault="002323A9" w:rsidP="002323A9">
      <w:r w:rsidRPr="002323A9">
        <w:rPr>
          <w:b/>
        </w:rPr>
        <w:t>JRRCs, JRCAs and JRSOs all appear to be “under classified” and underpaid relative to other positions with similar qualifications and responsibilities. There also are disparities in pay across the state when salaries are adjusted for cost of living</w:t>
      </w:r>
      <w:r w:rsidRPr="002323A9">
        <w:t>.</w:t>
      </w:r>
    </w:p>
    <w:p w14:paraId="089B4B9D" w14:textId="77777777" w:rsidR="002323A9" w:rsidRPr="002323A9" w:rsidRDefault="002323A9" w:rsidP="002323A9">
      <w:r w:rsidRPr="002323A9">
        <w:t xml:space="preserve">This report has two main findings with regards to salaries. First, our comparison of JRRC, JRCA, and JRSO job responsibilities with other categories of </w:t>
      </w:r>
      <w:r w:rsidR="005801BB">
        <w:t xml:space="preserve">positions </w:t>
      </w:r>
      <w:r w:rsidRPr="002323A9">
        <w:t xml:space="preserve">in the state shows that while JR staff have comparable (in some cases greater) responsibilities to other positions, they are paid less. Second, there are large discrepancies in salary levels when adjusting for the cost of living throughout the state. Specifically, </w:t>
      </w:r>
      <w:r w:rsidR="00934778">
        <w:t xml:space="preserve">when </w:t>
      </w:r>
      <w:r w:rsidR="00387924">
        <w:t>adjusting compensation for the cost of living in different parts of Washington</w:t>
      </w:r>
      <w:r w:rsidR="00934778">
        <w:t xml:space="preserve">, </w:t>
      </w:r>
      <w:r w:rsidR="00387924">
        <w:t xml:space="preserve">we found </w:t>
      </w:r>
      <w:r w:rsidRPr="002323A9">
        <w:t xml:space="preserve">staff working in facilities near Seattle </w:t>
      </w:r>
      <w:r w:rsidR="00387924">
        <w:t xml:space="preserve">have less purchasing power with their salaries than do their </w:t>
      </w:r>
      <w:r w:rsidRPr="002323A9">
        <w:t xml:space="preserve">counterparts living and working in other areas of the </w:t>
      </w:r>
      <w:r w:rsidRPr="00566444">
        <w:t>state</w:t>
      </w:r>
      <w:r w:rsidR="005801BB" w:rsidRPr="00566444">
        <w:t>.</w:t>
      </w:r>
      <w:r w:rsidRPr="00566444">
        <w:t xml:space="preserve"> This</w:t>
      </w:r>
      <w:r w:rsidRPr="002323A9">
        <w:t xml:space="preserve"> is consistent with what we heard in the interviews conducted during the site visits. In interviews at Echo Glen, we heard of staff having to make choices between going to the doctor and buying food; not being able to afford to get </w:t>
      </w:r>
      <w:r w:rsidR="005801BB">
        <w:t>their cavities filled for years;</w:t>
      </w:r>
      <w:r w:rsidRPr="002323A9">
        <w:t xml:space="preserve"> and even having to live in their car due to the high cost of rent. </w:t>
      </w:r>
    </w:p>
    <w:p w14:paraId="48B07A8F" w14:textId="77777777" w:rsidR="002323A9" w:rsidRPr="002323A9" w:rsidRDefault="005801BB" w:rsidP="002323A9">
      <w:pPr>
        <w:pStyle w:val="Heading3"/>
      </w:pPr>
      <w:bookmarkStart w:id="15" w:name="_Toc531597472"/>
      <w:r>
        <w:t>Recruitment, Selection and</w:t>
      </w:r>
      <w:r w:rsidR="00D52DED" w:rsidRPr="002323A9">
        <w:t xml:space="preserve"> Retention</w:t>
      </w:r>
      <w:bookmarkEnd w:id="15"/>
    </w:p>
    <w:p w14:paraId="355AA674" w14:textId="77777777" w:rsidR="002323A9" w:rsidRPr="002323A9" w:rsidRDefault="002323A9" w:rsidP="002323A9">
      <w:pPr>
        <w:rPr>
          <w:b/>
        </w:rPr>
      </w:pPr>
      <w:r w:rsidRPr="002323A9">
        <w:rPr>
          <w:b/>
        </w:rPr>
        <w:t xml:space="preserve">There </w:t>
      </w:r>
      <w:r w:rsidR="00934778">
        <w:rPr>
          <w:b/>
        </w:rPr>
        <w:t xml:space="preserve">are </w:t>
      </w:r>
      <w:r w:rsidRPr="002323A9">
        <w:rPr>
          <w:b/>
        </w:rPr>
        <w:t>no dedicated staff to conduct recruitment for JR staff positions, support best practices in selection, and identify and support implementation of retention strategies.</w:t>
      </w:r>
    </w:p>
    <w:p w14:paraId="71B07632" w14:textId="77777777" w:rsidR="002323A9" w:rsidRPr="002323A9" w:rsidRDefault="002323A9" w:rsidP="002323A9">
      <w:r w:rsidRPr="002323A9">
        <w:t>Currently, recruitment to fill positions at each of the facilities is conducted by leadership or other staff at each facility. In the past, JR facilities had dedicated human resources</w:t>
      </w:r>
      <w:r w:rsidR="005A3959">
        <w:t xml:space="preserve"> (HR)</w:t>
      </w:r>
      <w:r w:rsidRPr="002323A9">
        <w:t xml:space="preserve"> staff </w:t>
      </w:r>
      <w:r w:rsidR="00934778">
        <w:t>that did more to</w:t>
      </w:r>
      <w:r w:rsidR="00934778" w:rsidRPr="002323A9">
        <w:t xml:space="preserve"> </w:t>
      </w:r>
      <w:r w:rsidRPr="002323A9">
        <w:t xml:space="preserve">support recruitment efforts. The </w:t>
      </w:r>
      <w:r w:rsidR="00934778">
        <w:t xml:space="preserve">current </w:t>
      </w:r>
      <w:r w:rsidRPr="002323A9">
        <w:t xml:space="preserve">recruitment </w:t>
      </w:r>
      <w:r w:rsidR="00934778">
        <w:t>support from HR staff</w:t>
      </w:r>
      <w:r w:rsidR="00934778" w:rsidRPr="002323A9">
        <w:t xml:space="preserve"> </w:t>
      </w:r>
      <w:r w:rsidRPr="002323A9">
        <w:t xml:space="preserve">is limited to posting job </w:t>
      </w:r>
      <w:r w:rsidR="00934778">
        <w:t>announcements</w:t>
      </w:r>
      <w:r w:rsidR="00934778" w:rsidRPr="002323A9">
        <w:t xml:space="preserve"> </w:t>
      </w:r>
      <w:r w:rsidRPr="002323A9">
        <w:t xml:space="preserve">online. In recruiting </w:t>
      </w:r>
      <w:r w:rsidR="00AA25E6" w:rsidRPr="002323A9">
        <w:t>staff,</w:t>
      </w:r>
      <w:r w:rsidRPr="002323A9">
        <w:t xml:space="preserve"> it is important that </w:t>
      </w:r>
      <w:r w:rsidRPr="002323A9">
        <w:rPr>
          <w:rFonts w:eastAsia="Times New Roman"/>
          <w:color w:val="212121"/>
        </w:rPr>
        <w:t xml:space="preserve">the </w:t>
      </w:r>
      <w:r w:rsidRPr="002323A9">
        <w:t>job title and description accurately reflect the position an organizati</w:t>
      </w:r>
      <w:r w:rsidR="005801BB">
        <w:t xml:space="preserve">on is seeking to fill. We found </w:t>
      </w:r>
      <w:r w:rsidRPr="002323A9">
        <w:t xml:space="preserve">more than half of the staff did not feel their </w:t>
      </w:r>
      <w:r w:rsidR="00934778" w:rsidRPr="002323A9">
        <w:t>position</w:t>
      </w:r>
      <w:r w:rsidR="00934778">
        <w:t xml:space="preserve"> </w:t>
      </w:r>
      <w:r w:rsidRPr="002323A9">
        <w:t>was fully and accurately described during the recruitment process and they did not have a complete understanding of the responsibilities of the position or the environment in which they would be working. Many staff did not tour the facility prior to accepting their position. Lastly, there are currently few reward and recognition programs and many staff do not see opportunities for advancement in JR—two components of a retention strategy.</w:t>
      </w:r>
    </w:p>
    <w:p w14:paraId="19B35600" w14:textId="77777777" w:rsidR="002323A9" w:rsidRPr="002323A9" w:rsidRDefault="00D52DED" w:rsidP="00F42D48">
      <w:pPr>
        <w:pStyle w:val="Heading2"/>
      </w:pPr>
      <w:bookmarkStart w:id="16" w:name="_Toc531597473"/>
      <w:r>
        <w:lastRenderedPageBreak/>
        <w:t xml:space="preserve">Factors for New </w:t>
      </w:r>
      <w:r w:rsidR="005D560D">
        <w:t xml:space="preserve">Residential </w:t>
      </w:r>
      <w:r>
        <w:t>Staffing Model</w:t>
      </w:r>
      <w:bookmarkEnd w:id="16"/>
      <w:r>
        <w:t xml:space="preserve"> </w:t>
      </w:r>
    </w:p>
    <w:p w14:paraId="0FF6FEF7" w14:textId="77777777" w:rsidR="002323A9" w:rsidRPr="002323A9" w:rsidRDefault="002323A9" w:rsidP="002323A9">
      <w:pPr>
        <w:pStyle w:val="Heading3"/>
        <w:numPr>
          <w:ilvl w:val="2"/>
          <w:numId w:val="31"/>
        </w:numPr>
        <w:ind w:left="720"/>
      </w:pPr>
      <w:bookmarkStart w:id="17" w:name="_Toc531597474"/>
      <w:r w:rsidRPr="002323A9">
        <w:t xml:space="preserve">Staffing </w:t>
      </w:r>
      <w:r w:rsidR="00D52DED">
        <w:t>Levels</w:t>
      </w:r>
      <w:bookmarkEnd w:id="17"/>
    </w:p>
    <w:p w14:paraId="11A00FB7" w14:textId="77777777" w:rsidR="002323A9" w:rsidRPr="002323A9" w:rsidRDefault="002323A9" w:rsidP="002323A9">
      <w:r w:rsidRPr="002323A9">
        <w:t xml:space="preserve">In developing a new </w:t>
      </w:r>
      <w:r w:rsidR="005D560D">
        <w:t xml:space="preserve">residential </w:t>
      </w:r>
      <w:r w:rsidRPr="002323A9">
        <w:t xml:space="preserve">staffing model for JR, the following factors must be </w:t>
      </w:r>
      <w:r w:rsidR="00DE6D98">
        <w:t xml:space="preserve">considered.  </w:t>
      </w:r>
    </w:p>
    <w:p w14:paraId="4487ABFB" w14:textId="77777777" w:rsidR="002323A9" w:rsidRPr="002323A9" w:rsidRDefault="002323A9" w:rsidP="002323A9">
      <w:pPr>
        <w:numPr>
          <w:ilvl w:val="0"/>
          <w:numId w:val="10"/>
        </w:numPr>
        <w:spacing w:before="60" w:after="60"/>
        <w:ind w:left="360"/>
        <w:contextualSpacing/>
      </w:pPr>
      <w:r w:rsidRPr="002323A9">
        <w:rPr>
          <w:b/>
        </w:rPr>
        <w:t>Workload</w:t>
      </w:r>
      <w:r w:rsidR="008E6407">
        <w:t xml:space="preserve"> – </w:t>
      </w:r>
      <w:r w:rsidRPr="002323A9">
        <w:t>The workload of JRRCs and JRCAs, defined as the time required to complete all the tasks required to effective</w:t>
      </w:r>
      <w:r w:rsidR="005801BB">
        <w:t>ly</w:t>
      </w:r>
      <w:r w:rsidRPr="002323A9">
        <w:t xml:space="preserve"> implement and support all components of the </w:t>
      </w:r>
      <w:r w:rsidR="008C0316">
        <w:t>Rehabilitation Model.</w:t>
      </w:r>
    </w:p>
    <w:p w14:paraId="23DDA77C" w14:textId="77777777" w:rsidR="002323A9" w:rsidRPr="002323A9" w:rsidRDefault="002323A9" w:rsidP="002323A9">
      <w:pPr>
        <w:numPr>
          <w:ilvl w:val="0"/>
          <w:numId w:val="10"/>
        </w:numPr>
        <w:spacing w:before="60" w:after="60"/>
        <w:ind w:left="360"/>
        <w:contextualSpacing/>
      </w:pPr>
      <w:r w:rsidRPr="002323A9">
        <w:rPr>
          <w:b/>
        </w:rPr>
        <w:t>Needs of Youth Impacting Workload</w:t>
      </w:r>
      <w:r w:rsidR="008E6407">
        <w:t xml:space="preserve"> – </w:t>
      </w:r>
      <w:r w:rsidRPr="002323A9">
        <w:t>Youth served by JR often have complex and multiple issues</w:t>
      </w:r>
      <w:r w:rsidR="008E6407">
        <w:t>, such as mental health acuity, co-occurring clinical treatment needs</w:t>
      </w:r>
      <w:r w:rsidR="002F0963">
        <w:t>, cognitive</w:t>
      </w:r>
      <w:r w:rsidR="008E6407">
        <w:t xml:space="preserve"> impairments, and gang affiliations, among others.</w:t>
      </w:r>
      <w:r w:rsidR="00A0232E">
        <w:t xml:space="preserve"> They also have other complex hurdles to a successful return home including lack of a safe and stable place to call home; low rates of graduation from high school; and difficulty in obtaining a living wage job. </w:t>
      </w:r>
      <w:r w:rsidR="008E6407">
        <w:t xml:space="preserve">These require </w:t>
      </w:r>
      <w:r w:rsidRPr="002323A9">
        <w:t>increased staffing</w:t>
      </w:r>
      <w:r w:rsidR="008E6407">
        <w:t xml:space="preserve"> to effectively </w:t>
      </w:r>
      <w:r w:rsidR="005801BB">
        <w:t>provide services</w:t>
      </w:r>
      <w:r w:rsidR="00113655">
        <w:t xml:space="preserve"> </w:t>
      </w:r>
      <w:r w:rsidR="005801BB">
        <w:t>and supports</w:t>
      </w:r>
      <w:r w:rsidRPr="002323A9">
        <w:t xml:space="preserve">. </w:t>
      </w:r>
      <w:r w:rsidR="00A0232E">
        <w:t>In addition, for decades there has been over representation of African American youth in JR.</w:t>
      </w:r>
    </w:p>
    <w:p w14:paraId="096EF7B9" w14:textId="77777777" w:rsidR="002323A9" w:rsidRPr="002323A9" w:rsidRDefault="002323A9" w:rsidP="002323A9">
      <w:pPr>
        <w:numPr>
          <w:ilvl w:val="0"/>
          <w:numId w:val="10"/>
        </w:numPr>
        <w:spacing w:before="60" w:after="60"/>
        <w:ind w:left="360"/>
        <w:contextualSpacing/>
      </w:pPr>
      <w:r w:rsidRPr="002323A9">
        <w:rPr>
          <w:b/>
        </w:rPr>
        <w:t>Programming Requirements</w:t>
      </w:r>
      <w:r w:rsidR="008E6407">
        <w:t xml:space="preserve"> – Staffing levels should be aligned with the varying daily </w:t>
      </w:r>
      <w:r w:rsidRPr="002323A9">
        <w:t xml:space="preserve">operations and programming among the institutions and community facilities. </w:t>
      </w:r>
      <w:r w:rsidR="008E6407">
        <w:t xml:space="preserve"> </w:t>
      </w:r>
    </w:p>
    <w:p w14:paraId="0122261D" w14:textId="77777777" w:rsidR="002323A9" w:rsidRPr="002323A9" w:rsidRDefault="005801BB" w:rsidP="002323A9">
      <w:pPr>
        <w:numPr>
          <w:ilvl w:val="0"/>
          <w:numId w:val="10"/>
        </w:numPr>
        <w:spacing w:before="60" w:after="60"/>
        <w:ind w:left="360"/>
        <w:contextualSpacing/>
      </w:pPr>
      <w:r>
        <w:rPr>
          <w:b/>
        </w:rPr>
        <w:t>Intakes and</w:t>
      </w:r>
      <w:r w:rsidR="002323A9" w:rsidRPr="002323A9">
        <w:rPr>
          <w:b/>
        </w:rPr>
        <w:t xml:space="preserve"> Discharges</w:t>
      </w:r>
      <w:r w:rsidR="008E6407">
        <w:t xml:space="preserve"> – Staff conduct a variety of added work when youth enter or depart a facility. </w:t>
      </w:r>
      <w:r w:rsidR="002323A9" w:rsidRPr="002323A9">
        <w:t>Most facilities currently do not have staff dedicated to intake or discharge processes</w:t>
      </w:r>
      <w:r w:rsidR="008E6407">
        <w:t xml:space="preserve">, nor does JR’s current </w:t>
      </w:r>
      <w:r w:rsidR="005D560D">
        <w:t xml:space="preserve">residential </w:t>
      </w:r>
      <w:r w:rsidR="008E6407">
        <w:t>staffing model account for this work</w:t>
      </w:r>
      <w:r w:rsidR="002323A9" w:rsidRPr="002323A9">
        <w:t>.</w:t>
      </w:r>
    </w:p>
    <w:p w14:paraId="161CD8F7" w14:textId="77777777" w:rsidR="002323A9" w:rsidRPr="002323A9" w:rsidRDefault="002323A9" w:rsidP="008E6407">
      <w:pPr>
        <w:numPr>
          <w:ilvl w:val="0"/>
          <w:numId w:val="10"/>
        </w:numPr>
        <w:spacing w:before="60" w:after="60"/>
        <w:ind w:left="360"/>
        <w:contextualSpacing/>
      </w:pPr>
      <w:r w:rsidRPr="002323A9">
        <w:rPr>
          <w:b/>
        </w:rPr>
        <w:t>Shift Relief Factor</w:t>
      </w:r>
      <w:r w:rsidR="008E6407">
        <w:t xml:space="preserve"> – </w:t>
      </w:r>
      <w:r w:rsidRPr="002323A9">
        <w:t xml:space="preserve">A shift-relief factor is a useful workload tool that estimates the additional staffing levels needed to cover staff time off and maintain uninterrupted coverage for normal operations. For example, a shift-relief factor for direct service staff of 1.2 means that, on average, if 1,000 hours of staff time are needed to cover normal operations, an additional 200 hours are required to account for planned and unplanned absences. A shift relief factor must be part of the new </w:t>
      </w:r>
      <w:r w:rsidR="005D560D">
        <w:t xml:space="preserve">residential </w:t>
      </w:r>
      <w:r w:rsidRPr="002323A9">
        <w:t>staffing model</w:t>
      </w:r>
      <w:r w:rsidR="008E6407">
        <w:t>.</w:t>
      </w:r>
      <w:r w:rsidRPr="002323A9">
        <w:t xml:space="preserve"> </w:t>
      </w:r>
    </w:p>
    <w:p w14:paraId="6BBC3892" w14:textId="77777777" w:rsidR="002323A9" w:rsidRPr="002323A9" w:rsidRDefault="00D52DED" w:rsidP="002323A9">
      <w:pPr>
        <w:pStyle w:val="Heading3"/>
      </w:pPr>
      <w:bookmarkStart w:id="18" w:name="_Toc531597475"/>
      <w:r w:rsidRPr="002323A9">
        <w:t>Organizational Factors</w:t>
      </w:r>
      <w:bookmarkEnd w:id="18"/>
    </w:p>
    <w:p w14:paraId="2ED33143" w14:textId="77777777" w:rsidR="002323A9" w:rsidRPr="002323A9" w:rsidRDefault="002323A9" w:rsidP="002323A9">
      <w:r w:rsidRPr="002323A9">
        <w:t xml:space="preserve">JR faces many challenges in recruiting and retaining staff needed to successfully implement the </w:t>
      </w:r>
      <w:r w:rsidR="008C0316">
        <w:t>Rehabilitation Model</w:t>
      </w:r>
      <w:r w:rsidRPr="002323A9">
        <w:t xml:space="preserve">. Experienced </w:t>
      </w:r>
      <w:r w:rsidR="008E6407">
        <w:t>h</w:t>
      </w:r>
      <w:r w:rsidRPr="002323A9">
        <w:t xml:space="preserve">uman </w:t>
      </w:r>
      <w:r w:rsidR="008E6407">
        <w:t>r</w:t>
      </w:r>
      <w:r w:rsidRPr="002323A9">
        <w:t>esources (HR) staff</w:t>
      </w:r>
      <w:r w:rsidR="008E6407">
        <w:t>,</w:t>
      </w:r>
      <w:r w:rsidRPr="002323A9">
        <w:t xml:space="preserve"> dedicated to JR</w:t>
      </w:r>
      <w:r w:rsidR="008E6407">
        <w:t>,</w:t>
      </w:r>
      <w:r w:rsidRPr="002323A9">
        <w:t xml:space="preserve"> are needed to improve recruitment, selection and retention of a diverse workforce. In addition, JR must address the salary disparities between JR and other positions with similar responsibilities and required qualifications. Lastly, JR must develop a multi-pronged strategy to strengthen supervisory practice. Research has shown that supervisors are “critical to culture change, supervising direct practice, and implementing policy reforms, and as such, are at the forefront of delivering good outcomes for children.</w:t>
      </w:r>
      <w:r w:rsidRPr="002323A9">
        <w:rPr>
          <w:vertAlign w:val="superscript"/>
        </w:rPr>
        <w:footnoteReference w:id="11"/>
      </w:r>
      <w:r w:rsidRPr="002323A9">
        <w:t xml:space="preserve"> In addition, the quality of supervision has shown to have a direct impact on job satisfaction, and, in turn, turnover.</w:t>
      </w:r>
      <w:r w:rsidRPr="002323A9">
        <w:rPr>
          <w:vertAlign w:val="superscript"/>
        </w:rPr>
        <w:footnoteReference w:id="12"/>
      </w:r>
    </w:p>
    <w:p w14:paraId="7715AF14" w14:textId="77777777" w:rsidR="00C97024" w:rsidRDefault="00EB4415" w:rsidP="002323A9">
      <w:pPr>
        <w:pStyle w:val="Heading1"/>
      </w:pPr>
      <w:bookmarkStart w:id="19" w:name="_Toc531597476"/>
      <w:bookmarkEnd w:id="2"/>
      <w:bookmarkEnd w:id="4"/>
      <w:bookmarkEnd w:id="5"/>
      <w:r>
        <w:t>Background</w:t>
      </w:r>
      <w:bookmarkEnd w:id="19"/>
      <w:r>
        <w:t xml:space="preserve"> </w:t>
      </w:r>
    </w:p>
    <w:p w14:paraId="15EA8702" w14:textId="4273C934" w:rsidR="00107AA3" w:rsidRDefault="00C97024" w:rsidP="009D4CFA">
      <w:pPr>
        <w:keepNext/>
      </w:pPr>
      <w:r w:rsidRPr="00282ABA">
        <w:t>The Washington State Department of Social and Health Services (DSHS) Rehabilitation Administration’s (RA) mission is to “</w:t>
      </w:r>
      <w:r w:rsidRPr="00282ABA">
        <w:rPr>
          <w:i/>
        </w:rPr>
        <w:t>transform lives by creating pathways to self-sufficiency through effective rehabilitation services and meaningful partnerships</w:t>
      </w:r>
      <w:r w:rsidRPr="00282ABA">
        <w:t>.” Re</w:t>
      </w:r>
      <w:r w:rsidR="008559AC" w:rsidRPr="00282ABA">
        <w:t xml:space="preserve">alizing this mission </w:t>
      </w:r>
      <w:r w:rsidRPr="00282ABA">
        <w:lastRenderedPageBreak/>
        <w:t xml:space="preserve">requires a committed, </w:t>
      </w:r>
      <w:r w:rsidR="00841DDC" w:rsidRPr="00282ABA">
        <w:t>professional, and highly engaged</w:t>
      </w:r>
      <w:r w:rsidRPr="00282ABA">
        <w:t xml:space="preserve"> staff with specific skills, abilities, and competencies.</w:t>
      </w:r>
      <w:r w:rsidR="00BC2F61" w:rsidRPr="00282ABA">
        <w:t xml:space="preserve"> </w:t>
      </w:r>
      <w:r w:rsidR="00BA7CFF" w:rsidRPr="00282ABA">
        <w:t>RA provides administrative oversight to Juvenile Rehabilitation (JR)</w:t>
      </w:r>
      <w:r w:rsidR="008559AC" w:rsidRPr="00282ABA">
        <w:t>,</w:t>
      </w:r>
      <w:r w:rsidR="00BA7CFF" w:rsidRPr="00282ABA">
        <w:t xml:space="preserve"> which </w:t>
      </w:r>
      <w:r w:rsidR="00C52D29" w:rsidRPr="00282ABA">
        <w:t xml:space="preserve">is required to </w:t>
      </w:r>
      <w:r w:rsidR="00632DC5" w:rsidRPr="00282ABA">
        <w:t xml:space="preserve">provide residential treatment in </w:t>
      </w:r>
      <w:r w:rsidR="003E35F0" w:rsidRPr="00282ABA">
        <w:t xml:space="preserve">institutions </w:t>
      </w:r>
      <w:r w:rsidR="00632DC5" w:rsidRPr="00282ABA">
        <w:t xml:space="preserve">and community facilities to the </w:t>
      </w:r>
      <w:r w:rsidR="003E35F0" w:rsidRPr="00282ABA">
        <w:t xml:space="preserve">State’s </w:t>
      </w:r>
      <w:r w:rsidR="00632DC5" w:rsidRPr="00282ABA">
        <w:t xml:space="preserve">highest-risk youth </w:t>
      </w:r>
      <w:r w:rsidR="003E35F0" w:rsidRPr="00282ABA">
        <w:t xml:space="preserve">who have been </w:t>
      </w:r>
      <w:r w:rsidR="00632DC5" w:rsidRPr="00282ABA">
        <w:t xml:space="preserve">committed to JR’s custody by the county juvenile courts </w:t>
      </w:r>
      <w:r w:rsidR="008E2A06" w:rsidRPr="00282ABA">
        <w:t xml:space="preserve">following </w:t>
      </w:r>
      <w:r w:rsidR="00BA7CFF" w:rsidRPr="00282ABA">
        <w:t>a juvenile offense.</w:t>
      </w:r>
      <w:r w:rsidR="00C52D29" w:rsidRPr="00282ABA">
        <w:rPr>
          <w:rStyle w:val="FootnoteReference"/>
        </w:rPr>
        <w:footnoteReference w:id="13"/>
      </w:r>
      <w:r w:rsidR="00BA7CFF" w:rsidRPr="00282ABA">
        <w:t xml:space="preserve"> </w:t>
      </w:r>
      <w:r w:rsidR="009D4CFA" w:rsidRPr="00282ABA">
        <w:t xml:space="preserve">JR also </w:t>
      </w:r>
      <w:r w:rsidR="00282ABA" w:rsidRPr="00282ABA">
        <w:t xml:space="preserve">may </w:t>
      </w:r>
      <w:r w:rsidR="009D4CFA" w:rsidRPr="00282ABA">
        <w:t xml:space="preserve">provide residential treatment to youth adjudicated and sentenced by a court of any federally recognized </w:t>
      </w:r>
      <w:r w:rsidR="000E3593">
        <w:t>T</w:t>
      </w:r>
      <w:r w:rsidR="000E3593" w:rsidRPr="00282ABA">
        <w:t xml:space="preserve">ribe </w:t>
      </w:r>
      <w:r w:rsidR="009D4CFA" w:rsidRPr="00282ABA">
        <w:t>located in the State of Washington pursuant to a contract.</w:t>
      </w:r>
      <w:r w:rsidR="009D4CFA" w:rsidRPr="00282ABA">
        <w:rPr>
          <w:rStyle w:val="FootnoteReference"/>
        </w:rPr>
        <w:footnoteReference w:id="14"/>
      </w:r>
      <w:r w:rsidR="00F01FEA" w:rsidRPr="00F01FEA">
        <w:rPr>
          <w:vertAlign w:val="superscript"/>
        </w:rPr>
        <w:t>,</w:t>
      </w:r>
      <w:r w:rsidR="00FC050A">
        <w:rPr>
          <w:rStyle w:val="FootnoteReference"/>
        </w:rPr>
        <w:footnoteReference w:id="15"/>
      </w:r>
      <w:r w:rsidR="00C52D29" w:rsidRPr="00282ABA">
        <w:t xml:space="preserve"> </w:t>
      </w:r>
    </w:p>
    <w:p w14:paraId="614A0B33" w14:textId="77777777" w:rsidR="0057509C" w:rsidRPr="00282ABA" w:rsidRDefault="0057509C" w:rsidP="00405D3F">
      <w:r>
        <w:t>JR also serves youth under the age of 18 who have been tried, convicted and sentenced as adults through the Youthful Offender Program (YOP).</w:t>
      </w:r>
      <w:r>
        <w:rPr>
          <w:rStyle w:val="FootnoteReference"/>
        </w:rPr>
        <w:footnoteReference w:id="16"/>
      </w:r>
      <w:r>
        <w:t xml:space="preserve"> In State Fiscal Year (SFY) 2017, 14.3% of the youth served by JR were in the YOP. A majority of these youth were served at Green Hill School (81%).</w:t>
      </w:r>
      <w:r>
        <w:rPr>
          <w:rStyle w:val="FootnoteReference"/>
        </w:rPr>
        <w:footnoteReference w:id="17"/>
      </w:r>
    </w:p>
    <w:p w14:paraId="709C9B8F" w14:textId="77777777" w:rsidR="00BC2F61" w:rsidRDefault="00A02F9E" w:rsidP="00BC2F61">
      <w:r>
        <w:t xml:space="preserve">Services are designed to increase each youth’s pro-social behavior and to enhance community safety while focusing on the youth’s reentry to the community. These services prepare youth </w:t>
      </w:r>
      <w:r w:rsidR="009C6301">
        <w:t xml:space="preserve">to lead </w:t>
      </w:r>
      <w:r w:rsidR="009C6301" w:rsidRPr="00282ABA">
        <w:t xml:space="preserve">productive lives. They also provide </w:t>
      </w:r>
      <w:r w:rsidR="00107AA3" w:rsidRPr="00282ABA">
        <w:t xml:space="preserve">assistance </w:t>
      </w:r>
      <w:r w:rsidR="009C6301" w:rsidRPr="00282ABA">
        <w:t xml:space="preserve">to </w:t>
      </w:r>
      <w:r w:rsidR="00107AA3" w:rsidRPr="00282ABA">
        <w:t xml:space="preserve">youth and </w:t>
      </w:r>
      <w:r w:rsidR="009C6301" w:rsidRPr="00282ABA">
        <w:t xml:space="preserve">families </w:t>
      </w:r>
      <w:r w:rsidR="00107AA3" w:rsidRPr="00282ABA">
        <w:t xml:space="preserve">to help youth reintegrate </w:t>
      </w:r>
      <w:r w:rsidRPr="00282ABA">
        <w:t xml:space="preserve">into their home and community. JR </w:t>
      </w:r>
      <w:r w:rsidR="007978D7" w:rsidRPr="00282ABA">
        <w:t>provides</w:t>
      </w:r>
      <w:r w:rsidRPr="00282ABA">
        <w:t xml:space="preserve"> Dialectical </w:t>
      </w:r>
      <w:r w:rsidR="0057509C" w:rsidRPr="00282ABA">
        <w:t>Behavior</w:t>
      </w:r>
      <w:r w:rsidR="0057509C">
        <w:t xml:space="preserve"> </w:t>
      </w:r>
      <w:r w:rsidRPr="00282ABA">
        <w:t>Therapy (DBT)</w:t>
      </w:r>
      <w:r w:rsidR="00867868" w:rsidRPr="00282ABA">
        <w:t>, a</w:t>
      </w:r>
      <w:r w:rsidR="007978D7" w:rsidRPr="00282ABA">
        <w:t xml:space="preserve"> </w:t>
      </w:r>
      <w:r w:rsidR="00867868" w:rsidRPr="00282ABA">
        <w:t>research-based</w:t>
      </w:r>
      <w:r w:rsidR="007978D7" w:rsidRPr="00282ABA">
        <w:t xml:space="preserve"> treatment,</w:t>
      </w:r>
      <w:r w:rsidRPr="00282ABA">
        <w:t xml:space="preserve"> to </w:t>
      </w:r>
      <w:r w:rsidR="007978D7" w:rsidRPr="00282ABA">
        <w:t>all youth in its residential programs</w:t>
      </w:r>
      <w:r w:rsidR="00107AA3" w:rsidRPr="00282ABA">
        <w:t xml:space="preserve">. This treatment enhances </w:t>
      </w:r>
      <w:r w:rsidRPr="00282ABA">
        <w:t xml:space="preserve">the likelihood youth </w:t>
      </w:r>
      <w:r w:rsidR="00107AA3" w:rsidRPr="00282ABA">
        <w:t xml:space="preserve">will remain </w:t>
      </w:r>
      <w:r w:rsidRPr="00282ABA">
        <w:t xml:space="preserve">crime-free, </w:t>
      </w:r>
      <w:r w:rsidR="00107AA3" w:rsidRPr="00282ABA">
        <w:t xml:space="preserve">succeed </w:t>
      </w:r>
      <w:r w:rsidRPr="00282ABA">
        <w:t>in school and work</w:t>
      </w:r>
      <w:r w:rsidR="00107AA3" w:rsidRPr="00282ABA">
        <w:t>,</w:t>
      </w:r>
      <w:r w:rsidRPr="00282ABA">
        <w:t xml:space="preserve"> and </w:t>
      </w:r>
      <w:r w:rsidR="00107AA3" w:rsidRPr="00282ABA">
        <w:t xml:space="preserve">improve </w:t>
      </w:r>
      <w:r w:rsidRPr="00282ABA">
        <w:t xml:space="preserve">their relationships with </w:t>
      </w:r>
      <w:r w:rsidR="00107AA3" w:rsidRPr="00282ABA">
        <w:t xml:space="preserve">their </w:t>
      </w:r>
      <w:r w:rsidRPr="00282ABA">
        <w:t>families.</w:t>
      </w:r>
      <w:r w:rsidR="00867868" w:rsidRPr="00282ABA">
        <w:rPr>
          <w:rStyle w:val="FootnoteReference"/>
        </w:rPr>
        <w:footnoteReference w:id="18"/>
      </w:r>
      <w:r w:rsidR="007978D7" w:rsidRPr="00282ABA">
        <w:t xml:space="preserve"> </w:t>
      </w:r>
      <w:r w:rsidR="009C6301" w:rsidRPr="00282ABA">
        <w:t xml:space="preserve">JR </w:t>
      </w:r>
      <w:r w:rsidR="009C6301">
        <w:t>collaborates with the juvenile courts to create a continuum of services that promotes accountability, safety and rehabilitation.</w:t>
      </w:r>
      <w:r w:rsidR="007978D7" w:rsidDel="00632DC5">
        <w:t xml:space="preserve"> </w:t>
      </w:r>
    </w:p>
    <w:p w14:paraId="4308BCB4" w14:textId="77777777" w:rsidR="00CC21B0" w:rsidRDefault="00107AA3" w:rsidP="00CC21B0">
      <w:r>
        <w:t xml:space="preserve">The </w:t>
      </w:r>
      <w:r w:rsidR="00906B92">
        <w:t xml:space="preserve">Juvenile Justice </w:t>
      </w:r>
      <w:r>
        <w:t xml:space="preserve">Reform Act governs juvenile justice programs in Washington. </w:t>
      </w:r>
      <w:r w:rsidR="00A0232E">
        <w:t xml:space="preserve">The Juvenile Justice Reform Act </w:t>
      </w:r>
      <w:r w:rsidR="009967C6">
        <w:t>was passed</w:t>
      </w:r>
      <w:r w:rsidR="002C7CD2">
        <w:t xml:space="preserve"> in 1977 and </w:t>
      </w:r>
      <w:r w:rsidR="00EA4C4C">
        <w:t xml:space="preserve">has been amended </w:t>
      </w:r>
      <w:r w:rsidR="002C7CD2">
        <w:t>by subsequent legislation</w:t>
      </w:r>
      <w:r w:rsidR="00EA4C4C">
        <w:t xml:space="preserve">. </w:t>
      </w:r>
      <w:r w:rsidR="00867868">
        <w:t>The Juvenile Justice Reform Act</w:t>
      </w:r>
      <w:r>
        <w:t xml:space="preserve"> </w:t>
      </w:r>
      <w:r w:rsidR="00957E64">
        <w:t xml:space="preserve">is codified in </w:t>
      </w:r>
      <w:r w:rsidR="009967C6">
        <w:t>Title 13 of the Revised Code of Washington (RCW)</w:t>
      </w:r>
      <w:r w:rsidR="00957E64">
        <w:t xml:space="preserve">. It </w:t>
      </w:r>
      <w:r w:rsidR="009967C6">
        <w:t xml:space="preserve">charges both county and state agencies with the responsibility </w:t>
      </w:r>
      <w:r>
        <w:t xml:space="preserve">to hold </w:t>
      </w:r>
      <w:r w:rsidR="009967C6">
        <w:t xml:space="preserve">youth accountable for their offenses and </w:t>
      </w:r>
      <w:r>
        <w:t xml:space="preserve">to provide </w:t>
      </w:r>
      <w:r w:rsidR="009967C6">
        <w:t>necessary treatment and rehabilitation to youth.</w:t>
      </w:r>
      <w:r w:rsidR="00860F75">
        <w:t xml:space="preserve"> </w:t>
      </w:r>
      <w:r w:rsidR="00BF4093">
        <w:t xml:space="preserve">The Juvenile Justice Reform Act </w:t>
      </w:r>
      <w:r>
        <w:t xml:space="preserve">authorizes a </w:t>
      </w:r>
      <w:r w:rsidR="00957E64">
        <w:t>continuum of services and supports for juvenile offenders</w:t>
      </w:r>
      <w:r>
        <w:t>,</w:t>
      </w:r>
      <w:r w:rsidR="00957E64">
        <w:t xml:space="preserve"> including </w:t>
      </w:r>
      <w:r w:rsidR="00427CE7">
        <w:t xml:space="preserve">prevention, </w:t>
      </w:r>
      <w:r w:rsidR="00957E64">
        <w:t>early intervention (diversion programs)</w:t>
      </w:r>
      <w:r w:rsidR="00EA4C4C">
        <w:t>,</w:t>
      </w:r>
      <w:r w:rsidR="00224804">
        <w:rPr>
          <w:rStyle w:val="FootnoteReference"/>
        </w:rPr>
        <w:footnoteReference w:id="19"/>
      </w:r>
      <w:r w:rsidR="00957E64">
        <w:t xml:space="preserve"> </w:t>
      </w:r>
      <w:r>
        <w:t xml:space="preserve">and </w:t>
      </w:r>
      <w:r w:rsidR="00350EAC">
        <w:t>intervention</w:t>
      </w:r>
      <w:r w:rsidR="00224804">
        <w:t xml:space="preserve"> (</w:t>
      </w:r>
      <w:r w:rsidR="00350EAC">
        <w:t xml:space="preserve">probation, detention, </w:t>
      </w:r>
      <w:r w:rsidR="00224804">
        <w:t>disposition alternatives)</w:t>
      </w:r>
      <w:r>
        <w:t>.</w:t>
      </w:r>
      <w:r w:rsidR="00224804">
        <w:rPr>
          <w:rStyle w:val="FootnoteReference"/>
        </w:rPr>
        <w:footnoteReference w:id="20"/>
      </w:r>
      <w:r w:rsidR="00350EAC">
        <w:t xml:space="preserve"> </w:t>
      </w:r>
      <w:r>
        <w:t xml:space="preserve"> The most </w:t>
      </w:r>
      <w:r w:rsidR="00350EAC">
        <w:t xml:space="preserve">intensive intervention </w:t>
      </w:r>
      <w:r>
        <w:t xml:space="preserve">is placing </w:t>
      </w:r>
      <w:r w:rsidR="00350EAC">
        <w:t xml:space="preserve">a youth in one </w:t>
      </w:r>
      <w:r w:rsidR="00E8251F">
        <w:t xml:space="preserve">of </w:t>
      </w:r>
      <w:r w:rsidR="00224804">
        <w:t>JR</w:t>
      </w:r>
      <w:r>
        <w:t>’s</w:t>
      </w:r>
      <w:r w:rsidR="00224804">
        <w:t xml:space="preserve"> facilities</w:t>
      </w:r>
      <w:r w:rsidR="00350EAC">
        <w:t>.</w:t>
      </w:r>
      <w:r w:rsidR="00350EAC">
        <w:rPr>
          <w:rStyle w:val="FootnoteReference"/>
        </w:rPr>
        <w:footnoteReference w:id="21"/>
      </w:r>
      <w:r w:rsidR="00224804">
        <w:t xml:space="preserve"> </w:t>
      </w:r>
      <w:r w:rsidR="00427CE7">
        <w:t xml:space="preserve">In addition, post-release parole aftercare services are available to approximately 50% of the youth. </w:t>
      </w:r>
      <w:r w:rsidR="00CC21B0">
        <w:t>The Washington Administrative Code (WAC) provides implementing regulations for Title 13 RCW.</w:t>
      </w:r>
      <w:r w:rsidR="00CC21B0">
        <w:rPr>
          <w:rStyle w:val="FootnoteReference"/>
        </w:rPr>
        <w:footnoteReference w:id="22"/>
      </w:r>
      <w:r w:rsidR="00CC21B0">
        <w:t xml:space="preserve"> </w:t>
      </w:r>
    </w:p>
    <w:p w14:paraId="413C13B1" w14:textId="77777777" w:rsidR="007B391D" w:rsidRDefault="00D85C91" w:rsidP="00107AA3">
      <w:r>
        <w:t>DSHS’ Strategic Plan outlines key goals to</w:t>
      </w:r>
      <w:r w:rsidR="00D3644E">
        <w:t xml:space="preserve"> continually improve services to youth</w:t>
      </w:r>
      <w:r w:rsidR="0060176E">
        <w:t xml:space="preserve">. </w:t>
      </w:r>
      <w:r w:rsidR="00107AA3">
        <w:t xml:space="preserve">The Strategic Plan </w:t>
      </w:r>
      <w:r w:rsidR="0060176E">
        <w:t>recognizes</w:t>
      </w:r>
      <w:r w:rsidR="00D3644E">
        <w:t xml:space="preserve"> </w:t>
      </w:r>
      <w:r w:rsidR="00107AA3">
        <w:t xml:space="preserve">that </w:t>
      </w:r>
      <w:r w:rsidR="00E8251F">
        <w:t xml:space="preserve">a </w:t>
      </w:r>
      <w:r w:rsidR="00107AA3">
        <w:t xml:space="preserve">skilled workforce and partnerships with community programs are key to ongoing </w:t>
      </w:r>
      <w:r w:rsidR="0060176E">
        <w:t>improvement</w:t>
      </w:r>
      <w:r w:rsidR="00107AA3">
        <w:t>.</w:t>
      </w:r>
      <w:r w:rsidR="00D3644E">
        <w:rPr>
          <w:rStyle w:val="FootnoteReference"/>
        </w:rPr>
        <w:footnoteReference w:id="23"/>
      </w:r>
      <w:r w:rsidR="0060176E">
        <w:t xml:space="preserve"> </w:t>
      </w:r>
      <w:r w:rsidR="00107AA3">
        <w:t>S</w:t>
      </w:r>
      <w:r w:rsidR="0060176E">
        <w:t>trategic</w:t>
      </w:r>
      <w:r w:rsidR="00427CE7">
        <w:t xml:space="preserve"> objectives</w:t>
      </w:r>
      <w:r w:rsidR="0060176E">
        <w:t xml:space="preserve"> relevant to developing a new </w:t>
      </w:r>
      <w:r w:rsidR="005D560D">
        <w:t xml:space="preserve">residential </w:t>
      </w:r>
      <w:r w:rsidR="0060176E">
        <w:t>staffing m</w:t>
      </w:r>
      <w:r w:rsidR="002D40FF">
        <w:t xml:space="preserve">odel are </w:t>
      </w:r>
      <w:r w:rsidR="00CC21B0">
        <w:t xml:space="preserve">discussed </w:t>
      </w:r>
      <w:r w:rsidR="007B391D">
        <w:t>in</w:t>
      </w:r>
      <w:r w:rsidR="00CC21B0">
        <w:t xml:space="preserve"> rel</w:t>
      </w:r>
      <w:r w:rsidR="003E7405">
        <w:t xml:space="preserve">evant </w:t>
      </w:r>
      <w:r w:rsidR="00CC21B0">
        <w:t>sections</w:t>
      </w:r>
      <w:r w:rsidR="002D40FF">
        <w:t xml:space="preserve"> </w:t>
      </w:r>
      <w:r w:rsidR="00CC21B0">
        <w:t xml:space="preserve">of </w:t>
      </w:r>
      <w:r w:rsidR="00E8251F">
        <w:t xml:space="preserve">this </w:t>
      </w:r>
      <w:r w:rsidR="00CC21B0">
        <w:t xml:space="preserve">report. </w:t>
      </w:r>
    </w:p>
    <w:p w14:paraId="38CC4006" w14:textId="77777777" w:rsidR="00107AA3" w:rsidRDefault="00107AA3" w:rsidP="00F42D48">
      <w:pPr>
        <w:pStyle w:val="Heading2"/>
      </w:pPr>
      <w:bookmarkStart w:id="20" w:name="_Toc531597477"/>
      <w:r>
        <w:lastRenderedPageBreak/>
        <w:t xml:space="preserve">Current </w:t>
      </w:r>
      <w:r w:rsidR="00282ABA">
        <w:t>Residential</w:t>
      </w:r>
      <w:r w:rsidR="005D560D">
        <w:t xml:space="preserve"> </w:t>
      </w:r>
      <w:r>
        <w:t>Staffing Model</w:t>
      </w:r>
      <w:bookmarkEnd w:id="20"/>
    </w:p>
    <w:p w14:paraId="0EC0EE0A" w14:textId="77777777" w:rsidR="00C97024" w:rsidRDefault="00E858A3" w:rsidP="00B505FE">
      <w:pPr>
        <w:widowControl w:val="0"/>
      </w:pPr>
      <w:r>
        <w:t xml:space="preserve">JR </w:t>
      </w:r>
      <w:r w:rsidR="00107AA3">
        <w:t xml:space="preserve">adopted </w:t>
      </w:r>
      <w:r w:rsidR="00C92D96">
        <w:t xml:space="preserve">its </w:t>
      </w:r>
      <w:r w:rsidR="00BC2F61">
        <w:t xml:space="preserve">current </w:t>
      </w:r>
      <w:r w:rsidR="005D560D">
        <w:t xml:space="preserve">residential </w:t>
      </w:r>
      <w:r w:rsidR="00BC2F61">
        <w:t>staffing model in 1997</w:t>
      </w:r>
      <w:r w:rsidR="008F3769">
        <w:t xml:space="preserve">. Since that time, the </w:t>
      </w:r>
      <w:r w:rsidR="00BC2F61">
        <w:t xml:space="preserve">needs of the client population have intensified, treatment modalities </w:t>
      </w:r>
      <w:r w:rsidR="006A6ED9">
        <w:t>have evolved</w:t>
      </w:r>
      <w:r w:rsidR="00BC2F61">
        <w:t>, communities have changed</w:t>
      </w:r>
      <w:r w:rsidR="001D0392">
        <w:t>, and additional legal mandates and executive orders have issued in the last several years.</w:t>
      </w:r>
      <w:r w:rsidR="00BC2F61">
        <w:rPr>
          <w:rStyle w:val="FootnoteReference"/>
        </w:rPr>
        <w:footnoteReference w:id="24"/>
      </w:r>
      <w:r w:rsidR="00BC2F61">
        <w:t xml:space="preserve"> </w:t>
      </w:r>
      <w:r w:rsidR="00841DDC">
        <w:t>Understanding</w:t>
      </w:r>
      <w:r w:rsidR="007C76C0">
        <w:t xml:space="preserve"> current staffing challenges and identifying a</w:t>
      </w:r>
      <w:r w:rsidR="0091200F">
        <w:t>n</w:t>
      </w:r>
      <w:r w:rsidR="007C76C0">
        <w:t xml:space="preserve"> optimal </w:t>
      </w:r>
      <w:r w:rsidR="005D560D">
        <w:t>residential staffing model</w:t>
      </w:r>
      <w:r w:rsidR="007C76C0">
        <w:t xml:space="preserve"> has become even more </w:t>
      </w:r>
      <w:r w:rsidR="001F02DE">
        <w:t>important</w:t>
      </w:r>
      <w:r w:rsidR="00EA4C4C">
        <w:t xml:space="preserve"> given two significant changes. F</w:t>
      </w:r>
      <w:r w:rsidR="007C76C0">
        <w:t xml:space="preserve">irst, </w:t>
      </w:r>
      <w:r>
        <w:t xml:space="preserve">in 2018, </w:t>
      </w:r>
      <w:r w:rsidR="007C76C0">
        <w:t xml:space="preserve">Governor </w:t>
      </w:r>
      <w:r w:rsidR="006D7CB3">
        <w:t xml:space="preserve">Jay </w:t>
      </w:r>
      <w:r w:rsidR="007C76C0">
        <w:t xml:space="preserve">Inslee signed legislation </w:t>
      </w:r>
      <w:r w:rsidR="00175ECE">
        <w:t xml:space="preserve">extending the jurisdiction </w:t>
      </w:r>
      <w:r w:rsidR="006D7CB3">
        <w:t xml:space="preserve">of </w:t>
      </w:r>
      <w:r w:rsidR="00175ECE">
        <w:t>the juvenile court over</w:t>
      </w:r>
      <w:r w:rsidR="007C76C0">
        <w:t xml:space="preserve"> offenses </w:t>
      </w:r>
      <w:r w:rsidR="00841DDC">
        <w:t>that</w:t>
      </w:r>
      <w:r w:rsidR="006D7CB3">
        <w:t xml:space="preserve"> previously, when </w:t>
      </w:r>
      <w:r w:rsidR="00841DDC">
        <w:t xml:space="preserve">committed by </w:t>
      </w:r>
      <w:r w:rsidR="006B38E0">
        <w:t xml:space="preserve">youth </w:t>
      </w:r>
      <w:r w:rsidR="00841DDC">
        <w:t xml:space="preserve">16-17 </w:t>
      </w:r>
      <w:r w:rsidR="006B38E0">
        <w:t>years of age</w:t>
      </w:r>
      <w:r w:rsidR="006D7CB3">
        <w:t>, had been under</w:t>
      </w:r>
      <w:r w:rsidR="00841DDC">
        <w:t xml:space="preserve"> the exclusive jurisdiction of the adult court.</w:t>
      </w:r>
      <w:r w:rsidR="00841DDC">
        <w:rPr>
          <w:rStyle w:val="FootnoteReference"/>
        </w:rPr>
        <w:footnoteReference w:id="25"/>
      </w:r>
      <w:r w:rsidR="00175ECE">
        <w:t xml:space="preserve"> </w:t>
      </w:r>
      <w:r w:rsidR="007C76C0" w:rsidRPr="00841DDC">
        <w:t>The law also extends</w:t>
      </w:r>
      <w:r w:rsidR="00841DDC" w:rsidRPr="00841DDC">
        <w:t xml:space="preserve"> the age limit for juvenile</w:t>
      </w:r>
      <w:r w:rsidR="00175ECE">
        <w:t>s</w:t>
      </w:r>
      <w:r w:rsidR="00841DDC" w:rsidRPr="00841DDC">
        <w:t xml:space="preserve"> </w:t>
      </w:r>
      <w:r w:rsidR="006D7CB3">
        <w:t xml:space="preserve">who commit serious offenses at </w:t>
      </w:r>
      <w:r w:rsidR="00841DDC" w:rsidRPr="00841DDC">
        <w:t xml:space="preserve">16 or 17 </w:t>
      </w:r>
      <w:r w:rsidR="006D7CB3">
        <w:t>years of age</w:t>
      </w:r>
      <w:r w:rsidR="00841DDC" w:rsidRPr="00841DDC">
        <w:t xml:space="preserve"> </w:t>
      </w:r>
      <w:r w:rsidR="00175ECE">
        <w:t xml:space="preserve">to receive </w:t>
      </w:r>
      <w:r w:rsidR="001C3287">
        <w:t>JR services</w:t>
      </w:r>
      <w:r w:rsidR="00175ECE">
        <w:t xml:space="preserve"> </w:t>
      </w:r>
      <w:r w:rsidR="00841DDC" w:rsidRPr="00841DDC">
        <w:t>from 21 to 25 years of age</w:t>
      </w:r>
      <w:r w:rsidR="003E02CD">
        <w:t xml:space="preserve">. </w:t>
      </w:r>
      <w:r w:rsidR="007C76C0" w:rsidRPr="00841DDC">
        <w:t>The</w:t>
      </w:r>
      <w:r w:rsidR="003E02CD">
        <w:t>se changes</w:t>
      </w:r>
      <w:r w:rsidR="007C76C0" w:rsidRPr="00841DDC">
        <w:t xml:space="preserve"> </w:t>
      </w:r>
      <w:r w:rsidR="00175ECE">
        <w:t xml:space="preserve">will </w:t>
      </w:r>
      <w:r w:rsidR="003E02CD">
        <w:t xml:space="preserve">result in an </w:t>
      </w:r>
      <w:r w:rsidR="00175ECE">
        <w:t>increase</w:t>
      </w:r>
      <w:r w:rsidR="003E02CD">
        <w:t xml:space="preserve"> in</w:t>
      </w:r>
      <w:r w:rsidR="00175ECE">
        <w:t xml:space="preserve"> the number of</w:t>
      </w:r>
      <w:r w:rsidR="007D5088">
        <w:t xml:space="preserve"> youth</w:t>
      </w:r>
      <w:r w:rsidR="00175ECE">
        <w:t xml:space="preserve"> served by the institutions and community facilities. </w:t>
      </w:r>
      <w:r w:rsidR="002863DB">
        <w:t>Second</w:t>
      </w:r>
      <w:r w:rsidR="003923AE">
        <w:t>, on July 1, 2019</w:t>
      </w:r>
      <w:r w:rsidR="00BF151B">
        <w:t>,</w:t>
      </w:r>
      <w:r w:rsidR="003923AE">
        <w:t xml:space="preserve"> JR will become part of the newly create</w:t>
      </w:r>
      <w:r w:rsidR="007D5088">
        <w:t>d</w:t>
      </w:r>
      <w:r w:rsidR="003923AE">
        <w:t xml:space="preserve"> Department of Children, Youth, and Families (DCYF).</w:t>
      </w:r>
      <w:r w:rsidR="003923AE">
        <w:rPr>
          <w:rStyle w:val="FootnoteReference"/>
        </w:rPr>
        <w:footnoteReference w:id="26"/>
      </w:r>
      <w:r w:rsidR="002863DB">
        <w:t xml:space="preserve"> DCYF will need to have a clear understanding of the workforce requirements to successfully achieve the outcomes for the youth</w:t>
      </w:r>
      <w:r w:rsidR="00FC10D0">
        <w:t xml:space="preserve"> previously served by JR.</w:t>
      </w:r>
    </w:p>
    <w:p w14:paraId="1A78B087" w14:textId="77777777" w:rsidR="00B563B3" w:rsidRDefault="00B563B3" w:rsidP="00F42D48">
      <w:pPr>
        <w:pStyle w:val="Heading2"/>
      </w:pPr>
      <w:bookmarkStart w:id="21" w:name="_Toc531597478"/>
      <w:r>
        <w:t>Juvenile Rehabilitation</w:t>
      </w:r>
      <w:bookmarkEnd w:id="21"/>
      <w:r>
        <w:t xml:space="preserve"> </w:t>
      </w:r>
    </w:p>
    <w:p w14:paraId="2318FC0B" w14:textId="77777777" w:rsidR="008416A0" w:rsidRPr="00661EC1" w:rsidRDefault="006B1D94" w:rsidP="006225EA">
      <w:r w:rsidRPr="00661EC1">
        <w:t xml:space="preserve">Juvenile Rehabilitation (JR) must </w:t>
      </w:r>
      <w:r w:rsidR="00DC6600" w:rsidRPr="00661EC1">
        <w:t xml:space="preserve">ensure that </w:t>
      </w:r>
      <w:r w:rsidRPr="00661EC1">
        <w:t>risk assessments a</w:t>
      </w:r>
      <w:r w:rsidR="00DC6600" w:rsidRPr="00661EC1">
        <w:t>nd treatment needs of the youth serve as the basis for placement decisions</w:t>
      </w:r>
      <w:r w:rsidR="001F55E6" w:rsidRPr="00661EC1">
        <w:t>.</w:t>
      </w:r>
      <w:r w:rsidR="001F55E6" w:rsidRPr="00661EC1">
        <w:rPr>
          <w:rStyle w:val="FootnoteReference"/>
        </w:rPr>
        <w:t xml:space="preserve"> </w:t>
      </w:r>
      <w:r w:rsidR="001F55E6" w:rsidRPr="00661EC1">
        <w:rPr>
          <w:rStyle w:val="FootnoteReference"/>
        </w:rPr>
        <w:footnoteReference w:id="27"/>
      </w:r>
      <w:r w:rsidR="001F55E6" w:rsidRPr="00661EC1">
        <w:t xml:space="preserve"> However, all youth must initially be placed in one of the institutions</w:t>
      </w:r>
      <w:r w:rsidR="00C363FC">
        <w:t xml:space="preserve"> for no less than 30 days.</w:t>
      </w:r>
      <w:r w:rsidR="00C363FC">
        <w:rPr>
          <w:rStyle w:val="FootnoteReference"/>
        </w:rPr>
        <w:footnoteReference w:id="28"/>
      </w:r>
      <w:r w:rsidR="00C363FC">
        <w:t xml:space="preserve"> </w:t>
      </w:r>
      <w:r w:rsidR="001F55E6" w:rsidRPr="00661EC1">
        <w:t>Youth cannot be placed in a community facility until ten percent of their sentence, and in no case less than thirty days, has been served in an institution.</w:t>
      </w:r>
      <w:r w:rsidR="001F55E6" w:rsidRPr="00661EC1">
        <w:rPr>
          <w:rStyle w:val="FootnoteReference"/>
        </w:rPr>
        <w:footnoteReference w:id="29"/>
      </w:r>
      <w:r w:rsidR="001F55E6" w:rsidRPr="00661EC1">
        <w:t xml:space="preserve"> JR also must conduct ongoing risk assessments during a juvenile’s commitment that evaluate the risk to public safety, the risk for sexually aggressive behavior, and the risk for vulnerability to sexual aggression</w:t>
      </w:r>
      <w:r w:rsidR="00DC6600" w:rsidRPr="00661EC1">
        <w:t>.</w:t>
      </w:r>
      <w:r w:rsidR="00DC6600" w:rsidRPr="00661EC1">
        <w:rPr>
          <w:rStyle w:val="FootnoteReference"/>
        </w:rPr>
        <w:footnoteReference w:id="30"/>
      </w:r>
      <w:r w:rsidR="00DC6600" w:rsidRPr="00661EC1">
        <w:t xml:space="preserve"> </w:t>
      </w:r>
    </w:p>
    <w:p w14:paraId="1089F309" w14:textId="77777777" w:rsidR="006225EA" w:rsidRDefault="00DC6600" w:rsidP="006225EA">
      <w:r>
        <w:t xml:space="preserve"> JR’s</w:t>
      </w:r>
      <w:r w:rsidR="006225EA">
        <w:t xml:space="preserve"> Division of Institution Programs oversees three institutions:</w:t>
      </w:r>
    </w:p>
    <w:p w14:paraId="173D6D39" w14:textId="77777777" w:rsidR="006225EA" w:rsidRDefault="006225EA" w:rsidP="006225EA">
      <w:pPr>
        <w:pStyle w:val="ListBullet"/>
      </w:pPr>
      <w:r>
        <w:t>Echo Glen Children’s Center (Echo Glen)</w:t>
      </w:r>
    </w:p>
    <w:p w14:paraId="2A93EC17" w14:textId="77777777" w:rsidR="006225EA" w:rsidRDefault="006225EA" w:rsidP="006225EA">
      <w:pPr>
        <w:pStyle w:val="ListBullet"/>
      </w:pPr>
      <w:r>
        <w:t>Green Hill School (Green Hill)</w:t>
      </w:r>
    </w:p>
    <w:p w14:paraId="07D4F3AB" w14:textId="77777777" w:rsidR="006225EA" w:rsidRDefault="006225EA" w:rsidP="00BE5090">
      <w:pPr>
        <w:pStyle w:val="ListBullet"/>
        <w:spacing w:after="120"/>
        <w:contextualSpacing w:val="0"/>
      </w:pPr>
      <w:r>
        <w:t>Naselle Youth Camp (Naselle)</w:t>
      </w:r>
    </w:p>
    <w:p w14:paraId="0F949B46" w14:textId="612330A4" w:rsidR="006225EA" w:rsidRDefault="006225EA" w:rsidP="00741BE1">
      <w:r w:rsidRPr="00B563B3">
        <w:rPr>
          <w:b/>
        </w:rPr>
        <w:t>Echo Glen</w:t>
      </w:r>
      <w:r w:rsidR="00FD56A9">
        <w:t xml:space="preserve"> is a medium/maximum-</w:t>
      </w:r>
      <w:r>
        <w:t>security facility that is not fenced</w:t>
      </w:r>
      <w:r w:rsidR="00C92D96">
        <w:t xml:space="preserve"> </w:t>
      </w:r>
      <w:r>
        <w:t xml:space="preserve">but </w:t>
      </w:r>
      <w:r w:rsidR="00C92D96">
        <w:t xml:space="preserve">is </w:t>
      </w:r>
      <w:r>
        <w:t>bordered by natural wetlands. It provides treatment services for younger male offenders and is the only instituti</w:t>
      </w:r>
      <w:r w:rsidR="007B6FA1">
        <w:t>on offering</w:t>
      </w:r>
      <w:r w:rsidR="00FD56A9">
        <w:t xml:space="preserve"> services to</w:t>
      </w:r>
      <w:r>
        <w:t xml:space="preserve"> female offenders. It has nine living units. </w:t>
      </w:r>
      <w:r w:rsidRPr="00B563B3">
        <w:rPr>
          <w:b/>
        </w:rPr>
        <w:t>Green Hill</w:t>
      </w:r>
      <w:r w:rsidR="007B6FA1">
        <w:t xml:space="preserve"> is a medium/maximum-</w:t>
      </w:r>
      <w:r>
        <w:t>security fenced facility for older male offenders.</w:t>
      </w:r>
      <w:r w:rsidR="00395789">
        <w:t xml:space="preserve"> </w:t>
      </w:r>
      <w:r>
        <w:t xml:space="preserve">It has six living units. </w:t>
      </w:r>
      <w:r w:rsidRPr="00B563B3">
        <w:rPr>
          <w:b/>
        </w:rPr>
        <w:t>Naselle</w:t>
      </w:r>
      <w:r w:rsidR="00904E9D">
        <w:t xml:space="preserve"> is a medium-</w:t>
      </w:r>
      <w:r>
        <w:t xml:space="preserve">security </w:t>
      </w:r>
      <w:r w:rsidR="00904E9D">
        <w:t>facility that is not fenced and has</w:t>
      </w:r>
      <w:r>
        <w:t xml:space="preserve"> three living units.</w:t>
      </w:r>
    </w:p>
    <w:p w14:paraId="53159017" w14:textId="77777777" w:rsidR="00996837" w:rsidRPr="00996837" w:rsidRDefault="00A97115" w:rsidP="00741BE1">
      <w:r>
        <w:t>The JR</w:t>
      </w:r>
      <w:r w:rsidR="006225EA">
        <w:t xml:space="preserve"> Division of Community, Reentry and Parole Programs administer</w:t>
      </w:r>
      <w:r>
        <w:t>s</w:t>
      </w:r>
      <w:r w:rsidR="006225EA">
        <w:t xml:space="preserve"> eight</w:t>
      </w:r>
      <w:r>
        <w:t xml:space="preserve"> community facilities, l</w:t>
      </w:r>
      <w:r w:rsidR="006225EA">
        <w:t xml:space="preserve">ocated </w:t>
      </w:r>
      <w:r w:rsidR="00C92D96">
        <w:t xml:space="preserve">throughout the </w:t>
      </w:r>
      <w:r w:rsidR="00476575">
        <w:t>s</w:t>
      </w:r>
      <w:r w:rsidR="00C92D96">
        <w:t>tate</w:t>
      </w:r>
      <w:r w:rsidR="004A55ED">
        <w:t>.</w:t>
      </w:r>
      <w:r w:rsidR="003F0C4D">
        <w:t xml:space="preserve"> </w:t>
      </w:r>
      <w:r w:rsidR="008301EA">
        <w:t>Three of the community facilities are in the western part of Washington and five are in the eastern part of Washington.</w:t>
      </w:r>
      <w:r w:rsidR="006225EA">
        <w:t xml:space="preserve"> The co</w:t>
      </w:r>
      <w:r>
        <w:t>mmunity facilities provide step-</w:t>
      </w:r>
      <w:r w:rsidRPr="001F55E6">
        <w:t xml:space="preserve">down and </w:t>
      </w:r>
      <w:r w:rsidR="002474B5" w:rsidRPr="001F55E6">
        <w:t>reentry</w:t>
      </w:r>
      <w:r w:rsidRPr="001F55E6">
        <w:t xml:space="preserve"> services</w:t>
      </w:r>
      <w:r w:rsidR="006225EA" w:rsidRPr="001F55E6">
        <w:t xml:space="preserve"> to </w:t>
      </w:r>
      <w:r w:rsidR="003C6314" w:rsidRPr="001F55E6">
        <w:t>minimum-security youth.</w:t>
      </w:r>
      <w:r w:rsidR="00DC6600" w:rsidRPr="001F55E6">
        <w:rPr>
          <w:rStyle w:val="FootnoteReference"/>
        </w:rPr>
        <w:footnoteReference w:id="31"/>
      </w:r>
      <w:r w:rsidR="003C6314" w:rsidRPr="001F55E6">
        <w:t xml:space="preserve"> </w:t>
      </w:r>
      <w:r w:rsidR="003F0C4D" w:rsidRPr="001F55E6">
        <w:t xml:space="preserve">Youth cannot be placed in a </w:t>
      </w:r>
      <w:r w:rsidR="003F0C4D" w:rsidRPr="001F55E6">
        <w:lastRenderedPageBreak/>
        <w:t xml:space="preserve">community facility unless a risk assessment has been conducted, including a determination of alcohol and drug abuse, and the results indicate the youth will pose not more than a minimum threat to public safety. </w:t>
      </w:r>
      <w:r w:rsidR="00A9151B">
        <w:t xml:space="preserve">Schools and </w:t>
      </w:r>
      <w:r w:rsidR="004A616E">
        <w:t>l</w:t>
      </w:r>
      <w:r w:rsidR="003F0C4D" w:rsidRPr="001F55E6">
        <w:t>ocal law enforcement must also be properly notified prior to placement.</w:t>
      </w:r>
      <w:r w:rsidR="003F0C4D" w:rsidRPr="001F55E6">
        <w:rPr>
          <w:rStyle w:val="FootnoteReference"/>
        </w:rPr>
        <w:footnoteReference w:id="32"/>
      </w:r>
      <w:r w:rsidR="003F0C4D" w:rsidRPr="001F55E6">
        <w:t xml:space="preserve"> </w:t>
      </w:r>
      <w:r w:rsidR="00996837">
        <w:t>Youth in community facilities may be permitted unescorted participation in treatment programs in the community that do not involve family for up to 12-hours per day.</w:t>
      </w:r>
      <w:r w:rsidR="00996837">
        <w:rPr>
          <w:rStyle w:val="FootnoteReference"/>
        </w:rPr>
        <w:footnoteReference w:id="33"/>
      </w:r>
    </w:p>
    <w:p w14:paraId="7D459D04" w14:textId="77777777" w:rsidR="006225EA" w:rsidRDefault="006225EA" w:rsidP="00741BE1">
      <w:r>
        <w:t>The community fac</w:t>
      </w:r>
      <w:r w:rsidR="00A97115">
        <w:t xml:space="preserve">ilities have capacities ranging from </w:t>
      </w:r>
      <w:r w:rsidR="00AB227F">
        <w:t>14-16</w:t>
      </w:r>
      <w:r w:rsidR="00A97115">
        <w:t xml:space="preserve"> beds. These</w:t>
      </w:r>
      <w:r>
        <w:t xml:space="preserve"> facilities include:</w:t>
      </w:r>
    </w:p>
    <w:p w14:paraId="72A59A69" w14:textId="77777777" w:rsidR="006225EA" w:rsidRDefault="006225EA" w:rsidP="006225EA">
      <w:pPr>
        <w:pStyle w:val="ListBullet"/>
      </w:pPr>
      <w:r>
        <w:t>Canyon View Community Facility (Canyon View)</w:t>
      </w:r>
    </w:p>
    <w:p w14:paraId="5621A701" w14:textId="77777777" w:rsidR="006225EA" w:rsidRDefault="006225EA" w:rsidP="006225EA">
      <w:pPr>
        <w:pStyle w:val="ListBullet"/>
      </w:pPr>
      <w:r>
        <w:t>Oakridge</w:t>
      </w:r>
      <w:r w:rsidRPr="005A2E0F">
        <w:t xml:space="preserve"> </w:t>
      </w:r>
      <w:r>
        <w:t>Community Facility</w:t>
      </w:r>
      <w:r w:rsidR="003E02CD">
        <w:t xml:space="preserve"> (Oakridge)</w:t>
      </w:r>
    </w:p>
    <w:p w14:paraId="6410AAC0" w14:textId="77777777" w:rsidR="006225EA" w:rsidRDefault="006225EA" w:rsidP="006225EA">
      <w:pPr>
        <w:pStyle w:val="ListBullet"/>
      </w:pPr>
      <w:r>
        <w:t>Parke Creek</w:t>
      </w:r>
      <w:r w:rsidRPr="005A2E0F">
        <w:t xml:space="preserve"> </w:t>
      </w:r>
      <w:r>
        <w:t>Community Facility</w:t>
      </w:r>
      <w:r w:rsidR="003E02CD">
        <w:t xml:space="preserve"> (Parke Creek)</w:t>
      </w:r>
    </w:p>
    <w:p w14:paraId="6E737C56" w14:textId="77777777" w:rsidR="006225EA" w:rsidRDefault="006225EA" w:rsidP="006225EA">
      <w:pPr>
        <w:pStyle w:val="ListBullet"/>
      </w:pPr>
      <w:r>
        <w:t>Ridgeview</w:t>
      </w:r>
      <w:r w:rsidRPr="005A2E0F">
        <w:t xml:space="preserve"> </w:t>
      </w:r>
      <w:r>
        <w:t>Community Facility</w:t>
      </w:r>
      <w:r w:rsidR="003E02CD">
        <w:t xml:space="preserve"> (Ridgeview)</w:t>
      </w:r>
    </w:p>
    <w:p w14:paraId="5F75E15B" w14:textId="77777777" w:rsidR="006225EA" w:rsidRDefault="006225EA" w:rsidP="006225EA">
      <w:pPr>
        <w:pStyle w:val="ListBullet"/>
      </w:pPr>
      <w:r>
        <w:t>Sunrise</w:t>
      </w:r>
      <w:r w:rsidRPr="005A2E0F">
        <w:t xml:space="preserve"> </w:t>
      </w:r>
      <w:r>
        <w:t>Community Facility</w:t>
      </w:r>
      <w:r w:rsidR="003E02CD">
        <w:t xml:space="preserve"> (Sunrise)</w:t>
      </w:r>
    </w:p>
    <w:p w14:paraId="48535279" w14:textId="77777777" w:rsidR="006225EA" w:rsidRDefault="006225EA" w:rsidP="006225EA">
      <w:pPr>
        <w:pStyle w:val="ListBullet"/>
      </w:pPr>
      <w:r>
        <w:t>Touchstone</w:t>
      </w:r>
      <w:r w:rsidRPr="005A2E0F">
        <w:t xml:space="preserve"> </w:t>
      </w:r>
      <w:r>
        <w:t>Community Facility</w:t>
      </w:r>
      <w:r w:rsidR="003E02CD">
        <w:t xml:space="preserve"> (Touchstone)</w:t>
      </w:r>
    </w:p>
    <w:p w14:paraId="3F8FD3CF" w14:textId="77777777" w:rsidR="006225EA" w:rsidRDefault="006225EA" w:rsidP="006225EA">
      <w:pPr>
        <w:pStyle w:val="ListBullet"/>
      </w:pPr>
      <w:r>
        <w:t>Twin Rivers</w:t>
      </w:r>
      <w:r w:rsidRPr="005A2E0F">
        <w:t xml:space="preserve"> </w:t>
      </w:r>
      <w:r>
        <w:t>Community Facility</w:t>
      </w:r>
      <w:r w:rsidR="003E02CD">
        <w:t xml:space="preserve"> (Twin Rivers)</w:t>
      </w:r>
    </w:p>
    <w:p w14:paraId="0BBD7C9A" w14:textId="77777777" w:rsidR="006225EA" w:rsidRDefault="006225EA" w:rsidP="00BE5090">
      <w:pPr>
        <w:pStyle w:val="ListBullet"/>
        <w:spacing w:after="120"/>
        <w:contextualSpacing w:val="0"/>
      </w:pPr>
      <w:r>
        <w:t>Woodinville</w:t>
      </w:r>
      <w:r w:rsidRPr="005A2E0F">
        <w:t xml:space="preserve"> </w:t>
      </w:r>
      <w:r>
        <w:t>Community Facility</w:t>
      </w:r>
      <w:r w:rsidR="003E02CD">
        <w:t xml:space="preserve"> (Woodinville)</w:t>
      </w:r>
    </w:p>
    <w:p w14:paraId="7F61CF99" w14:textId="77777777" w:rsidR="001F55E6" w:rsidRDefault="006225EA" w:rsidP="001F55E6">
      <w:r w:rsidRPr="00395F4F">
        <w:t>Ridgeview is the only community facility for female juvenile offenders.</w:t>
      </w:r>
      <w:r w:rsidR="00946E93">
        <w:t xml:space="preserve"> </w:t>
      </w:r>
    </w:p>
    <w:p w14:paraId="66660E80" w14:textId="58EE8EB5" w:rsidR="00946E93" w:rsidRPr="00661EC1" w:rsidRDefault="00946E93" w:rsidP="001F55E6">
      <w:r w:rsidRPr="001F55E6">
        <w:t>Any youth who commits a serious infraction while living in a community facility must be returned to an institution.</w:t>
      </w:r>
      <w:r w:rsidRPr="001F55E6">
        <w:rPr>
          <w:rStyle w:val="FootnoteReference"/>
        </w:rPr>
        <w:footnoteReference w:id="34"/>
      </w:r>
      <w:r w:rsidRPr="001F55E6">
        <w:t xml:space="preserve"> </w:t>
      </w:r>
      <w:r w:rsidRPr="00661EC1">
        <w:t xml:space="preserve">Serious violations </w:t>
      </w:r>
      <w:r w:rsidR="00661EC1">
        <w:t xml:space="preserve">including demonstrating </w:t>
      </w:r>
      <w:r w:rsidRPr="00661EC1">
        <w:t>violence toward others</w:t>
      </w:r>
      <w:r w:rsidR="00D96F84">
        <w:t xml:space="preserve"> with intent to harm and/or resulting in significant bodily injury</w:t>
      </w:r>
      <w:r w:rsidRPr="00661EC1">
        <w:t xml:space="preserve">; setting or causing an unauthorized </w:t>
      </w:r>
      <w:r w:rsidR="004E5604" w:rsidRPr="00661EC1">
        <w:t xml:space="preserve">fire </w:t>
      </w:r>
      <w:r w:rsidRPr="00661EC1">
        <w:t>with intent to harm self, others, or property;</w:t>
      </w:r>
      <w:r w:rsidR="003D492B" w:rsidRPr="00661EC1">
        <w:t xml:space="preserve"> suspensions or expulsions from school or work; </w:t>
      </w:r>
      <w:r w:rsidR="00D96F84">
        <w:t xml:space="preserve">escape or attempted escape. </w:t>
      </w:r>
      <w:r w:rsidR="003D492B" w:rsidRPr="00661EC1">
        <w:rPr>
          <w:rStyle w:val="FootnoteReference"/>
        </w:rPr>
        <w:footnoteReference w:id="35"/>
      </w:r>
      <w:r w:rsidR="00811CD2" w:rsidRPr="00661EC1">
        <w:t xml:space="preserve"> </w:t>
      </w:r>
      <w:r w:rsidR="00D96F84">
        <w:t xml:space="preserve">For other non-serious violations youth may be returned to an institution or receive other sanctions. </w:t>
      </w:r>
      <w:r w:rsidR="00811CD2" w:rsidRPr="00661EC1">
        <w:t>All violations must be documented in an incident report no less than 24-hours after the behavior is discovered.</w:t>
      </w:r>
      <w:r w:rsidR="00811CD2" w:rsidRPr="00661EC1">
        <w:rPr>
          <w:rStyle w:val="FootnoteReference"/>
        </w:rPr>
        <w:footnoteReference w:id="36"/>
      </w:r>
    </w:p>
    <w:p w14:paraId="74473052" w14:textId="77777777" w:rsidR="00B563B3" w:rsidRDefault="00B563B3" w:rsidP="00F42D48">
      <w:pPr>
        <w:pStyle w:val="Heading2"/>
      </w:pPr>
      <w:bookmarkStart w:id="22" w:name="_Toc531597479"/>
      <w:r>
        <w:t>J</w:t>
      </w:r>
      <w:r w:rsidR="007756DF">
        <w:t xml:space="preserve">uvenile </w:t>
      </w:r>
      <w:r>
        <w:t>R</w:t>
      </w:r>
      <w:r w:rsidR="007756DF">
        <w:t>ehabilitation</w:t>
      </w:r>
      <w:r>
        <w:t xml:space="preserve"> Staffing Study</w:t>
      </w:r>
      <w:bookmarkEnd w:id="22"/>
      <w:r>
        <w:t xml:space="preserve"> </w:t>
      </w:r>
    </w:p>
    <w:p w14:paraId="6A15A23D" w14:textId="77777777" w:rsidR="00C97024" w:rsidRDefault="00C97024" w:rsidP="00C97024">
      <w:r>
        <w:t xml:space="preserve">During the </w:t>
      </w:r>
      <w:r w:rsidR="007756DF">
        <w:t>s</w:t>
      </w:r>
      <w:r w:rsidR="00B563B3">
        <w:t xml:space="preserve">ummer </w:t>
      </w:r>
      <w:r>
        <w:t>of 2018, DSHS contract</w:t>
      </w:r>
      <w:r w:rsidR="00B563B3">
        <w:t>ed</w:t>
      </w:r>
      <w:r>
        <w:t xml:space="preserve"> with Hyzer Group LLC to c</w:t>
      </w:r>
      <w:r w:rsidR="007B0A05">
        <w:t>onduct a staffing analysis for Juvenile Rehabilitation (</w:t>
      </w:r>
      <w:r w:rsidR="00C92D96">
        <w:t>JR</w:t>
      </w:r>
      <w:r w:rsidR="007B0A05">
        <w:t>)</w:t>
      </w:r>
      <w:r>
        <w:t xml:space="preserve">. The staffing analysis </w:t>
      </w:r>
      <w:r w:rsidR="00B563B3">
        <w:t xml:space="preserve">focuses </w:t>
      </w:r>
      <w:r>
        <w:t xml:space="preserve">on JR’s residential custody staff who have direct interactions with </w:t>
      </w:r>
      <w:r w:rsidR="00C92D96">
        <w:t>youth</w:t>
      </w:r>
      <w:r>
        <w:t xml:space="preserve">. The </w:t>
      </w:r>
      <w:r w:rsidR="00B563B3">
        <w:t xml:space="preserve">study’s </w:t>
      </w:r>
      <w:r>
        <w:t xml:space="preserve">goal </w:t>
      </w:r>
      <w:r w:rsidR="00B563B3">
        <w:t xml:space="preserve">is </w:t>
      </w:r>
      <w:r w:rsidR="00946E93">
        <w:t>to</w:t>
      </w:r>
      <w:r>
        <w:t xml:space="preserve"> “determine an optimal </w:t>
      </w:r>
      <w:r w:rsidR="005D560D">
        <w:t xml:space="preserve">residential </w:t>
      </w:r>
      <w:r>
        <w:t>staffing model to allow staff to sufficiently perform their required responsibilities.” The main qu</w:t>
      </w:r>
      <w:r w:rsidR="00FD5F56">
        <w:t>estions the project sought to address include</w:t>
      </w:r>
      <w:r>
        <w:t>:</w:t>
      </w:r>
      <w:r w:rsidR="00A368E2">
        <w:rPr>
          <w:rStyle w:val="FootnoteReference"/>
        </w:rPr>
        <w:footnoteReference w:id="37"/>
      </w:r>
    </w:p>
    <w:p w14:paraId="5AFDE017" w14:textId="77777777" w:rsidR="00C97024" w:rsidRDefault="00C97024" w:rsidP="00C97024">
      <w:pPr>
        <w:pStyle w:val="ListBullet"/>
      </w:pPr>
      <w:r>
        <w:t xml:space="preserve">What </w:t>
      </w:r>
      <w:r w:rsidR="00FD5F56">
        <w:t>is</w:t>
      </w:r>
      <w:r>
        <w:t xml:space="preserve"> the most effective and efficient level of staffing?</w:t>
      </w:r>
    </w:p>
    <w:p w14:paraId="588ABBB4" w14:textId="77777777" w:rsidR="00C97024" w:rsidRDefault="00C97024" w:rsidP="00C97024">
      <w:pPr>
        <w:pStyle w:val="ListBullet"/>
      </w:pPr>
      <w:r>
        <w:t>What are the causes of staffing challenges</w:t>
      </w:r>
      <w:r w:rsidR="00FD5F56">
        <w:t xml:space="preserve"> identified</w:t>
      </w:r>
      <w:r>
        <w:t>?</w:t>
      </w:r>
    </w:p>
    <w:p w14:paraId="5D4FD110" w14:textId="77777777" w:rsidR="00C97024" w:rsidRDefault="00C97024" w:rsidP="00C97024">
      <w:pPr>
        <w:pStyle w:val="ListBullet"/>
      </w:pPr>
      <w:r>
        <w:t xml:space="preserve">What management practices regarding staffing can be implemented to respond </w:t>
      </w:r>
      <w:r w:rsidR="00FD5F56">
        <w:t xml:space="preserve">appropriately </w:t>
      </w:r>
      <w:r>
        <w:t>to future fluctuations in th</w:t>
      </w:r>
      <w:r w:rsidR="00FD5F56">
        <w:t>e projected resident population</w:t>
      </w:r>
      <w:r w:rsidR="00B563B3">
        <w:t>?</w:t>
      </w:r>
    </w:p>
    <w:p w14:paraId="5A14497F" w14:textId="77777777" w:rsidR="00C97024" w:rsidRDefault="00C97024" w:rsidP="00C97024">
      <w:pPr>
        <w:pStyle w:val="ListBullet"/>
      </w:pPr>
      <w:r>
        <w:t xml:space="preserve">What </w:t>
      </w:r>
      <w:r w:rsidR="00FD5F56">
        <w:t xml:space="preserve">strategies could be </w:t>
      </w:r>
      <w:r>
        <w:t>implemented to reduce overtime and on-call utilization?</w:t>
      </w:r>
    </w:p>
    <w:p w14:paraId="5754828C" w14:textId="77777777" w:rsidR="004E4E81" w:rsidRDefault="00FC10D0" w:rsidP="00C97024">
      <w:r>
        <w:t xml:space="preserve">The focus of the study was direct services staff members, which include </w:t>
      </w:r>
      <w:r w:rsidR="00CD09C5">
        <w:t xml:space="preserve">Juvenile Rehabilitation Residential Counselors (JRRCs), Juvenile Rehabilitation Counselor Assistants (JRCAs) and Juvenile Rehabilitation Security Officer </w:t>
      </w:r>
      <w:r w:rsidR="007B0A05">
        <w:t xml:space="preserve">1s </w:t>
      </w:r>
      <w:r w:rsidR="00CD09C5">
        <w:t>(JRSO</w:t>
      </w:r>
      <w:r w:rsidR="007B0A05">
        <w:t xml:space="preserve"> 1</w:t>
      </w:r>
      <w:r w:rsidR="00CD09C5">
        <w:t>s).</w:t>
      </w:r>
    </w:p>
    <w:p w14:paraId="602126E6" w14:textId="77777777" w:rsidR="003923AE" w:rsidRDefault="00C92D96" w:rsidP="00C97024">
      <w:r>
        <w:lastRenderedPageBreak/>
        <w:t xml:space="preserve">Prior to </w:t>
      </w:r>
      <w:r w:rsidR="00B563B3">
        <w:t>develop</w:t>
      </w:r>
      <w:r>
        <w:t>ing</w:t>
      </w:r>
      <w:r w:rsidR="00B563B3">
        <w:t xml:space="preserve"> a new </w:t>
      </w:r>
      <w:r w:rsidR="005D560D">
        <w:t xml:space="preserve">residential </w:t>
      </w:r>
      <w:r w:rsidR="00B563B3">
        <w:t xml:space="preserve">staffing model, we first sought to gain a </w:t>
      </w:r>
      <w:r w:rsidR="00C97024">
        <w:t xml:space="preserve">360-degree view of the current staffing attributes, features, strengths and challenges at each of the </w:t>
      </w:r>
      <w:r w:rsidR="00B563B3">
        <w:t xml:space="preserve">three </w:t>
      </w:r>
      <w:r w:rsidR="00AF71CB">
        <w:t>JR institutions</w:t>
      </w:r>
      <w:r>
        <w:t xml:space="preserve"> and </w:t>
      </w:r>
      <w:r w:rsidR="00AF71CB">
        <w:t>eight community facilities</w:t>
      </w:r>
      <w:r w:rsidR="00C97024">
        <w:t xml:space="preserve">. </w:t>
      </w:r>
      <w:r w:rsidR="004E4E81">
        <w:t xml:space="preserve">The primary focus of </w:t>
      </w:r>
      <w:r w:rsidR="00CD09C5">
        <w:t xml:space="preserve">current state staffing analysis is to document </w:t>
      </w:r>
      <w:r w:rsidR="00B563B3">
        <w:t xml:space="preserve">the findings from our data collection and analysis activities and </w:t>
      </w:r>
      <w:r>
        <w:t xml:space="preserve">establish the baseline for developing a new </w:t>
      </w:r>
      <w:r w:rsidR="005D560D">
        <w:t xml:space="preserve">residential </w:t>
      </w:r>
      <w:r>
        <w:t xml:space="preserve">staffing model. </w:t>
      </w:r>
    </w:p>
    <w:p w14:paraId="72DE30ED" w14:textId="77777777" w:rsidR="00C97024" w:rsidRDefault="0044792B" w:rsidP="002323A9">
      <w:pPr>
        <w:pStyle w:val="Heading1"/>
      </w:pPr>
      <w:r w:rsidRPr="00A42EEB">
        <w:t xml:space="preserve"> </w:t>
      </w:r>
      <w:bookmarkStart w:id="23" w:name="_Toc531597480"/>
      <w:r w:rsidRPr="00A42EEB">
        <w:t>Methodology</w:t>
      </w:r>
      <w:bookmarkEnd w:id="23"/>
    </w:p>
    <w:p w14:paraId="5107D91A" w14:textId="77777777" w:rsidR="00A42EEB" w:rsidRDefault="00B563B3" w:rsidP="00A42EEB">
      <w:r w:rsidRPr="00FB5981">
        <w:t xml:space="preserve">We used </w:t>
      </w:r>
      <w:r w:rsidR="00A42EEB" w:rsidRPr="00FB5981">
        <w:t xml:space="preserve">a mixed-method approach that blends qualitative and quantitative analysis to </w:t>
      </w:r>
      <w:r w:rsidRPr="00FB5981">
        <w:t xml:space="preserve">understand </w:t>
      </w:r>
      <w:r w:rsidR="00A42EEB" w:rsidRPr="00FB5981">
        <w:t>Juvenile Rehabilitation’s (JR) goa</w:t>
      </w:r>
      <w:r w:rsidR="00557309" w:rsidRPr="00FB5981">
        <w:t>ls, programs</w:t>
      </w:r>
      <w:r w:rsidR="00E81C5C" w:rsidRPr="00FB5981">
        <w:t>,</w:t>
      </w:r>
      <w:r w:rsidR="00557309" w:rsidRPr="00FB5981">
        <w:t xml:space="preserve"> and services, and </w:t>
      </w:r>
      <w:r w:rsidR="007E6CDD" w:rsidRPr="00FB5981">
        <w:t xml:space="preserve">to provide </w:t>
      </w:r>
      <w:r w:rsidR="00557309" w:rsidRPr="00FB5981">
        <w:t>a</w:t>
      </w:r>
      <w:r w:rsidR="00A42EEB" w:rsidRPr="00FB5981">
        <w:t xml:space="preserve"> comprehensive picture of the current workforce</w:t>
      </w:r>
      <w:r w:rsidR="007E6CDD" w:rsidRPr="00FB5981">
        <w:t>’s</w:t>
      </w:r>
      <w:r w:rsidR="00A42EEB" w:rsidRPr="00FB5981">
        <w:t xml:space="preserve"> strengths and challenges. </w:t>
      </w:r>
      <w:r w:rsidR="002243E7" w:rsidRPr="00FB5981">
        <w:t xml:space="preserve">This </w:t>
      </w:r>
      <w:r w:rsidR="00E81C5C" w:rsidRPr="00FB5981">
        <w:t>m</w:t>
      </w:r>
      <w:r w:rsidR="007E6CDD" w:rsidRPr="00FB5981">
        <w:t xml:space="preserve">ethodology </w:t>
      </w:r>
      <w:r w:rsidR="002243E7" w:rsidRPr="00FB5981">
        <w:t xml:space="preserve">section provides a brief overview of the </w:t>
      </w:r>
      <w:r w:rsidR="00FC701A" w:rsidRPr="00FB5981">
        <w:t xml:space="preserve">data </w:t>
      </w:r>
      <w:r w:rsidR="006C4899" w:rsidRPr="00FB5981">
        <w:t>sources</w:t>
      </w:r>
      <w:r w:rsidR="00906C9D" w:rsidRPr="00FB5981">
        <w:t xml:space="preserve">. </w:t>
      </w:r>
      <w:r w:rsidR="002243E7" w:rsidRPr="00FB5981">
        <w:t>Appendix A provides a more in-depth description of the methodology</w:t>
      </w:r>
      <w:r w:rsidR="002B47DB" w:rsidRPr="00FB5981">
        <w:t xml:space="preserve"> used</w:t>
      </w:r>
      <w:r w:rsidR="002243E7" w:rsidRPr="00FB5981">
        <w:t xml:space="preserve">. </w:t>
      </w:r>
      <w:r w:rsidR="00E81C5C" w:rsidRPr="00FB5981">
        <w:t xml:space="preserve">We obtained data </w:t>
      </w:r>
      <w:r w:rsidR="002B47DB" w:rsidRPr="00FB5981">
        <w:t>via the following means:</w:t>
      </w:r>
    </w:p>
    <w:p w14:paraId="35208E97" w14:textId="77777777" w:rsidR="00C97024" w:rsidRDefault="00C97024" w:rsidP="002243E7">
      <w:pPr>
        <w:pStyle w:val="ListBullet"/>
      </w:pPr>
      <w:r>
        <w:t>Site visits</w:t>
      </w:r>
      <w:r w:rsidR="00B7460D">
        <w:t>;</w:t>
      </w:r>
    </w:p>
    <w:p w14:paraId="3D0B1005" w14:textId="77777777" w:rsidR="00C97024" w:rsidRDefault="002B47DB" w:rsidP="00042DB8">
      <w:pPr>
        <w:pStyle w:val="ListBullet"/>
      </w:pPr>
      <w:r>
        <w:t>Staff survey</w:t>
      </w:r>
      <w:r w:rsidR="00B7460D">
        <w:t>;</w:t>
      </w:r>
    </w:p>
    <w:p w14:paraId="6C726F7F" w14:textId="77777777" w:rsidR="006C4899" w:rsidRDefault="006C4899" w:rsidP="00042DB8">
      <w:pPr>
        <w:pStyle w:val="ListBullet"/>
      </w:pPr>
      <w:r>
        <w:t>Organizatio</w:t>
      </w:r>
      <w:r w:rsidR="002B47DB">
        <w:t>nal Social Context (OSC) survey</w:t>
      </w:r>
      <w:r w:rsidR="00B7460D">
        <w:t>;</w:t>
      </w:r>
    </w:p>
    <w:p w14:paraId="7D2C599D" w14:textId="77777777" w:rsidR="00C97024" w:rsidRDefault="006C4899" w:rsidP="00042DB8">
      <w:pPr>
        <w:pStyle w:val="ListBullet"/>
      </w:pPr>
      <w:r>
        <w:t>R</w:t>
      </w:r>
      <w:r w:rsidR="00492400">
        <w:t xml:space="preserve">eview </w:t>
      </w:r>
      <w:r>
        <w:t>of administrative</w:t>
      </w:r>
      <w:r w:rsidR="00492400">
        <w:t xml:space="preserve"> data </w:t>
      </w:r>
      <w:r w:rsidR="002B47DB">
        <w:t xml:space="preserve">from the State’s </w:t>
      </w:r>
      <w:r w:rsidR="00DD4F6B">
        <w:t>Human Resources Management System (</w:t>
      </w:r>
      <w:r w:rsidR="002B47DB">
        <w:t>HRMS</w:t>
      </w:r>
      <w:r w:rsidR="00DD4F6B">
        <w:t>)</w:t>
      </w:r>
      <w:r w:rsidR="002B47DB">
        <w:t xml:space="preserve"> system</w:t>
      </w:r>
      <w:r w:rsidR="00B7460D">
        <w:t>; and</w:t>
      </w:r>
      <w:r w:rsidR="00C97024">
        <w:t xml:space="preserve"> </w:t>
      </w:r>
    </w:p>
    <w:p w14:paraId="2976CD41" w14:textId="77777777" w:rsidR="00FD4D58" w:rsidRDefault="008301EA" w:rsidP="00042DB8">
      <w:pPr>
        <w:pStyle w:val="ListBullet"/>
      </w:pPr>
      <w:r>
        <w:t>Review of select documents, legal mandates and executive orders.</w:t>
      </w:r>
    </w:p>
    <w:p w14:paraId="4DACFBC6" w14:textId="77777777" w:rsidR="006D11B3" w:rsidRDefault="00E81C5C" w:rsidP="006D11B3">
      <w:pPr>
        <w:spacing w:before="60" w:after="60"/>
      </w:pPr>
      <w:r w:rsidRPr="008B3EC1">
        <w:t xml:space="preserve">We conducted site </w:t>
      </w:r>
      <w:r w:rsidR="002243E7" w:rsidRPr="008B3EC1">
        <w:t>visits at the three J</w:t>
      </w:r>
      <w:r w:rsidR="006D11B3">
        <w:t xml:space="preserve">uvenile </w:t>
      </w:r>
      <w:r w:rsidR="002243E7" w:rsidRPr="008B3EC1">
        <w:t>R</w:t>
      </w:r>
      <w:r w:rsidR="006D11B3">
        <w:t>ehabilitation (JR)</w:t>
      </w:r>
      <w:r w:rsidR="002243E7" w:rsidRPr="008B3EC1">
        <w:t xml:space="preserve"> institutions and</w:t>
      </w:r>
      <w:r w:rsidR="000E092B">
        <w:t xml:space="preserve"> eight JR community facilities. </w:t>
      </w:r>
      <w:r w:rsidR="00A167D2" w:rsidRPr="008B3EC1">
        <w:t xml:space="preserve">We met with 175 youth </w:t>
      </w:r>
      <w:r w:rsidRPr="008B3EC1">
        <w:t xml:space="preserve">and </w:t>
      </w:r>
      <w:r w:rsidR="00A167D2" w:rsidRPr="008B3EC1">
        <w:t>staff</w:t>
      </w:r>
      <w:r w:rsidR="002B47DB" w:rsidRPr="008B3EC1">
        <w:t xml:space="preserve"> either</w:t>
      </w:r>
      <w:r w:rsidR="0047347B" w:rsidRPr="008B3EC1">
        <w:t xml:space="preserve"> individually or </w:t>
      </w:r>
      <w:r w:rsidR="002B47DB" w:rsidRPr="008B3EC1">
        <w:t xml:space="preserve">as </w:t>
      </w:r>
      <w:r w:rsidR="0047347B" w:rsidRPr="008B3EC1">
        <w:t>part of focus group</w:t>
      </w:r>
      <w:r w:rsidRPr="008B3EC1">
        <w:t xml:space="preserve">s held </w:t>
      </w:r>
      <w:r w:rsidR="002243E7" w:rsidRPr="008B3EC1">
        <w:t xml:space="preserve">at </w:t>
      </w:r>
      <w:r w:rsidR="00C83C26" w:rsidRPr="008B3EC1">
        <w:t xml:space="preserve">Echo Glen, </w:t>
      </w:r>
      <w:r w:rsidR="000E092B">
        <w:t>Green Hill, and</w:t>
      </w:r>
      <w:r w:rsidR="00C83C26" w:rsidRPr="008B3EC1">
        <w:t xml:space="preserve"> Naselle.</w:t>
      </w:r>
      <w:r w:rsidR="00C83C26">
        <w:t xml:space="preserve"> </w:t>
      </w:r>
      <w:r w:rsidR="000E092B">
        <w:t>We conducted 79 interviews with youth and staff</w:t>
      </w:r>
      <w:r w:rsidR="00DF78E3" w:rsidRPr="008B3EC1">
        <w:t xml:space="preserve"> at the eight community</w:t>
      </w:r>
      <w:r w:rsidR="0047347B" w:rsidRPr="008B3EC1">
        <w:t xml:space="preserve"> facilities</w:t>
      </w:r>
      <w:r w:rsidR="000E092B">
        <w:t>.</w:t>
      </w:r>
      <w:r w:rsidRPr="008B3EC1">
        <w:t xml:space="preserve"> </w:t>
      </w:r>
      <w:r w:rsidR="00994216">
        <w:t>At the community facilities, we had the opportunity to meet with some central office staff including ITM Consultants and Trainers and one Transition Specialist.</w:t>
      </w:r>
    </w:p>
    <w:p w14:paraId="0043A783" w14:textId="77777777" w:rsidR="00350EAC" w:rsidRDefault="00350EAC" w:rsidP="00741BE1">
      <w:r w:rsidRPr="00350EAC">
        <w:t>In</w:t>
      </w:r>
      <w:r>
        <w:t xml:space="preserve"> addition to the staff interviewed at the facilities, we also conducted interviews </w:t>
      </w:r>
      <w:r w:rsidR="00BF151B">
        <w:t xml:space="preserve">with </w:t>
      </w:r>
      <w:r>
        <w:t xml:space="preserve">the two Juvenile Rehabilitation Regional Administrators </w:t>
      </w:r>
      <w:r w:rsidR="000E092B">
        <w:t xml:space="preserve">who provided an overview of the aftercare and reentry services provided to youth leaving JR facilities; The </w:t>
      </w:r>
      <w:r w:rsidR="005071D2">
        <w:t>JR</w:t>
      </w:r>
      <w:r w:rsidR="000E092B">
        <w:t xml:space="preserve"> Clinical Director who provided information and feedback on implementation of the </w:t>
      </w:r>
      <w:r w:rsidR="008C0316">
        <w:t>Rehabilitation Model</w:t>
      </w:r>
      <w:r w:rsidR="000E092B">
        <w:t xml:space="preserve"> and required training; and two leaders from the Services and Enterprise Support Administration (SESA) who work in the Human Resources Division who provided information on recruitment and selection support provided to JR.</w:t>
      </w:r>
    </w:p>
    <w:p w14:paraId="3E7DF221" w14:textId="77777777" w:rsidR="007B0A05" w:rsidRDefault="007B0A05" w:rsidP="00741BE1">
      <w:pPr>
        <w:rPr>
          <w:iCs/>
          <w:color w:val="212121"/>
        </w:rPr>
      </w:pPr>
      <w:r>
        <w:t>We</w:t>
      </w:r>
      <w:r w:rsidR="006D11B3">
        <w:t xml:space="preserve"> also</w:t>
      </w:r>
      <w:r>
        <w:t xml:space="preserve"> conducted a staff survey among </w:t>
      </w:r>
      <w:r w:rsidRPr="00E35BEC">
        <w:rPr>
          <w:iCs/>
          <w:color w:val="212121"/>
        </w:rPr>
        <w:t xml:space="preserve">Juvenile Rehabilitation Residential Counselors (JRRCs), Juvenile Rehabilitation Counselor Assistants (JRCAs), and Juvenile </w:t>
      </w:r>
      <w:r w:rsidR="006201D4">
        <w:rPr>
          <w:iCs/>
          <w:color w:val="212121"/>
        </w:rPr>
        <w:t>Rehabilitation Security Officer 1s</w:t>
      </w:r>
      <w:r w:rsidRPr="00E35BEC">
        <w:rPr>
          <w:iCs/>
          <w:color w:val="212121"/>
        </w:rPr>
        <w:t xml:space="preserve"> (JRSO</w:t>
      </w:r>
      <w:r w:rsidR="006201D4">
        <w:rPr>
          <w:iCs/>
          <w:color w:val="212121"/>
        </w:rPr>
        <w:t xml:space="preserve"> 1</w:t>
      </w:r>
      <w:r w:rsidRPr="00E35BEC">
        <w:rPr>
          <w:iCs/>
          <w:color w:val="212121"/>
        </w:rPr>
        <w:t>s) including on-call JRSO</w:t>
      </w:r>
      <w:r w:rsidR="006201D4">
        <w:rPr>
          <w:iCs/>
          <w:color w:val="212121"/>
        </w:rPr>
        <w:t xml:space="preserve"> 1s </w:t>
      </w:r>
      <w:r>
        <w:rPr>
          <w:iCs/>
          <w:color w:val="212121"/>
        </w:rPr>
        <w:t xml:space="preserve">of the </w:t>
      </w:r>
      <w:r w:rsidR="006201D4">
        <w:rPr>
          <w:iCs/>
          <w:color w:val="212121"/>
        </w:rPr>
        <w:t>three institutions and eight community f</w:t>
      </w:r>
      <w:r>
        <w:rPr>
          <w:iCs/>
          <w:color w:val="212121"/>
        </w:rPr>
        <w:t>acilities. The staff survey questions obtained information about caseloads, time spent on fulfilling key responsibilities, frequency of mandatory</w:t>
      </w:r>
      <w:r w:rsidR="006201D4">
        <w:rPr>
          <w:iCs/>
          <w:color w:val="212121"/>
        </w:rPr>
        <w:t xml:space="preserve"> shift holdovers, and overtime, </w:t>
      </w:r>
      <w:r>
        <w:rPr>
          <w:iCs/>
          <w:color w:val="212121"/>
        </w:rPr>
        <w:t>recruitment practices, training, and key indicators related to staff turnover and retention.</w:t>
      </w:r>
      <w:r w:rsidR="006201D4">
        <w:rPr>
          <w:iCs/>
          <w:color w:val="212121"/>
        </w:rPr>
        <w:t xml:space="preserve"> The survey also included questions to assess organizational culture, climate and morale in each facility.</w:t>
      </w:r>
      <w:r>
        <w:rPr>
          <w:iCs/>
          <w:color w:val="212121"/>
        </w:rPr>
        <w:t xml:space="preserve"> </w:t>
      </w:r>
      <w:r w:rsidR="00CE5277">
        <w:rPr>
          <w:iCs/>
          <w:color w:val="212121"/>
        </w:rPr>
        <w:t xml:space="preserve">Response rates were 34.7% for Echo Glen, 42.5% for Green Hill, 69.2% for Naselle, and 35.7% for the eight community facilities. </w:t>
      </w:r>
    </w:p>
    <w:p w14:paraId="00BEB5E8" w14:textId="77777777" w:rsidR="007B0A05" w:rsidRPr="00172B5C" w:rsidRDefault="007B0A05" w:rsidP="00741BE1">
      <w:r w:rsidRPr="00172B5C">
        <w:t>To augment the survey data, we also analyzed DSHS administrative data</w:t>
      </w:r>
      <w:r>
        <w:t xml:space="preserve"> from </w:t>
      </w:r>
      <w:r w:rsidRPr="00172B5C">
        <w:t>DSHS Human Resources Management Information System (HRMS)</w:t>
      </w:r>
      <w:r>
        <w:t xml:space="preserve"> and the Automated Client Tracking System (ACT). We used data from these systems to analyze JR staff </w:t>
      </w:r>
      <w:r w:rsidRPr="00172B5C">
        <w:t>salary</w:t>
      </w:r>
      <w:r>
        <w:t xml:space="preserve"> levels</w:t>
      </w:r>
      <w:r w:rsidRPr="00172B5C">
        <w:t xml:space="preserve">, turnover, </w:t>
      </w:r>
      <w:r>
        <w:t xml:space="preserve">use of </w:t>
      </w:r>
      <w:r w:rsidRPr="00172B5C">
        <w:t xml:space="preserve">overtime, and </w:t>
      </w:r>
      <w:r>
        <w:t xml:space="preserve">the </w:t>
      </w:r>
      <w:r w:rsidRPr="00172B5C">
        <w:t xml:space="preserve">time </w:t>
      </w:r>
      <w:r>
        <w:t xml:space="preserve">staff </w:t>
      </w:r>
      <w:r w:rsidRPr="00172B5C">
        <w:t xml:space="preserve">spent working and </w:t>
      </w:r>
      <w:r>
        <w:t xml:space="preserve">taking both </w:t>
      </w:r>
      <w:r w:rsidRPr="00172B5C">
        <w:t>planned and unplanned leave</w:t>
      </w:r>
      <w:r>
        <w:t xml:space="preserve">. </w:t>
      </w:r>
    </w:p>
    <w:p w14:paraId="2F5545F2" w14:textId="77777777" w:rsidR="007B0A05" w:rsidRPr="006201D4" w:rsidRDefault="006201D4" w:rsidP="00741BE1">
      <w:pPr>
        <w:rPr>
          <w:iCs/>
          <w:color w:val="212121"/>
        </w:rPr>
      </w:pPr>
      <w:r>
        <w:lastRenderedPageBreak/>
        <w:t>Lastly, w</w:t>
      </w:r>
      <w:r w:rsidR="007B0A05">
        <w:t>e</w:t>
      </w:r>
      <w:r>
        <w:t xml:space="preserve"> reviewed numerous documents identified by</w:t>
      </w:r>
      <w:r w:rsidR="007B0A05">
        <w:t xml:space="preserve"> the Rehabilitation Administration (RA) Project Team </w:t>
      </w:r>
      <w:r>
        <w:t>to ensure</w:t>
      </w:r>
      <w:r w:rsidR="007B0A05">
        <w:t xml:space="preserve"> a comprehensive understanding of Juvenile Rehabilitation</w:t>
      </w:r>
      <w:r>
        <w:t>’s (JR’s)</w:t>
      </w:r>
      <w:r w:rsidR="007B0A05">
        <w:t xml:space="preserve"> treatme</w:t>
      </w:r>
      <w:r>
        <w:t xml:space="preserve">nt models, program components, and </w:t>
      </w:r>
      <w:r w:rsidR="007B0A05">
        <w:t xml:space="preserve">current </w:t>
      </w:r>
      <w:r>
        <w:t>staff job duties and responsibilities.</w:t>
      </w:r>
      <w:r w:rsidR="004C1712">
        <w:t xml:space="preserve"> We also reviewed select legal mandates and executive orders.</w:t>
      </w:r>
    </w:p>
    <w:p w14:paraId="75692563" w14:textId="77777777" w:rsidR="00350EAC" w:rsidRPr="00350EAC" w:rsidRDefault="00A11879" w:rsidP="002323A9">
      <w:pPr>
        <w:pStyle w:val="Heading1"/>
      </w:pPr>
      <w:bookmarkStart w:id="24" w:name="_Toc531597481"/>
      <w:r w:rsidRPr="00F56ADA">
        <w:t>Workforce Context</w:t>
      </w:r>
      <w:bookmarkEnd w:id="24"/>
      <w:r w:rsidR="00082B3C" w:rsidRPr="00F56ADA">
        <w:t xml:space="preserve"> </w:t>
      </w:r>
    </w:p>
    <w:p w14:paraId="5DCC2F73" w14:textId="77777777" w:rsidR="00821431" w:rsidRDefault="00821431" w:rsidP="00821431">
      <w:r>
        <w:t xml:space="preserve">An important part of developing a </w:t>
      </w:r>
      <w:r w:rsidR="005D560D">
        <w:t xml:space="preserve">residential </w:t>
      </w:r>
      <w:r>
        <w:t xml:space="preserve">staffing model is understanding what the </w:t>
      </w:r>
      <w:r w:rsidR="00CA2C1D">
        <w:t xml:space="preserve">full scope of the </w:t>
      </w:r>
      <w:r>
        <w:t>work entails by identifying the programs, services, and tasks in which the workforce is involved on a routine basis. This section highlight</w:t>
      </w:r>
      <w:r w:rsidR="00E81C5C">
        <w:t>s</w:t>
      </w:r>
      <w:r>
        <w:t xml:space="preserve"> how staff</w:t>
      </w:r>
      <w:r w:rsidR="001A69B5">
        <w:t xml:space="preserve"> at</w:t>
      </w:r>
      <w:r>
        <w:t xml:space="preserve"> </w:t>
      </w:r>
      <w:r w:rsidR="00E81C5C">
        <w:t xml:space="preserve">the </w:t>
      </w:r>
      <w:r>
        <w:t xml:space="preserve">facilities balance </w:t>
      </w:r>
      <w:r w:rsidR="00CA2C1D">
        <w:t xml:space="preserve">the need to </w:t>
      </w:r>
      <w:r>
        <w:t>provid</w:t>
      </w:r>
      <w:r w:rsidR="00CA2C1D">
        <w:t>e</w:t>
      </w:r>
      <w:r>
        <w:t xml:space="preserve"> both day-to-day custodial care and effective treatment to populations that have increasingly complex and challenging needs. </w:t>
      </w:r>
    </w:p>
    <w:p w14:paraId="7D454755" w14:textId="77777777" w:rsidR="00821431" w:rsidRDefault="004E1C9A" w:rsidP="00F42D48">
      <w:pPr>
        <w:pStyle w:val="Heading2"/>
      </w:pPr>
      <w:bookmarkStart w:id="25" w:name="_Toc531597482"/>
      <w:r>
        <w:t>Custodial</w:t>
      </w:r>
      <w:r w:rsidR="000F7244">
        <w:t xml:space="preserve"> </w:t>
      </w:r>
      <w:r w:rsidR="00821431">
        <w:t>Care of Youth</w:t>
      </w:r>
      <w:bookmarkEnd w:id="25"/>
      <w:r w:rsidR="00821431">
        <w:t xml:space="preserve"> </w:t>
      </w:r>
      <w:r w:rsidR="00821431" w:rsidRPr="6B06ED69">
        <w:t xml:space="preserve"> </w:t>
      </w:r>
      <w:r w:rsidR="003C3A2F">
        <w:t xml:space="preserve"> </w:t>
      </w:r>
    </w:p>
    <w:p w14:paraId="65CE920B" w14:textId="77777777" w:rsidR="000B3AD8" w:rsidRDefault="00526A28" w:rsidP="008B3EC1">
      <w:r w:rsidRPr="008B3EC1">
        <w:t xml:space="preserve">Juvenile </w:t>
      </w:r>
      <w:r w:rsidR="00C3325A">
        <w:t xml:space="preserve">Rehabilitation </w:t>
      </w:r>
      <w:r w:rsidRPr="008B3EC1">
        <w:t>staff</w:t>
      </w:r>
      <w:r w:rsidR="00C3325A">
        <w:t xml:space="preserve"> working at the three institutions and eight community facilities</w:t>
      </w:r>
      <w:r w:rsidRPr="008B3EC1">
        <w:t xml:space="preserve"> have an enormous responsibility. They must provide for the needs of youth</w:t>
      </w:r>
      <w:r w:rsidR="00F33409" w:rsidRPr="008B3EC1">
        <w:t xml:space="preserve"> in custody 24 hours a day, seven</w:t>
      </w:r>
      <w:r w:rsidRPr="008B3EC1">
        <w:t xml:space="preserve"> days a week</w:t>
      </w:r>
      <w:r w:rsidR="00BE5090" w:rsidRPr="008B3EC1">
        <w:t xml:space="preserve">. Youth must be </w:t>
      </w:r>
      <w:r w:rsidR="00821431" w:rsidRPr="008B3EC1">
        <w:t>kept healthy, active</w:t>
      </w:r>
      <w:r w:rsidR="00067614" w:rsidRPr="008B3EC1">
        <w:t xml:space="preserve">, well </w:t>
      </w:r>
      <w:r w:rsidR="004C1712">
        <w:t>nourished.</w:t>
      </w:r>
      <w:r w:rsidR="00821431" w:rsidRPr="008B3EC1">
        <w:t xml:space="preserve"> </w:t>
      </w:r>
      <w:r w:rsidR="00872579" w:rsidRPr="008B3EC1">
        <w:t xml:space="preserve">Youth </w:t>
      </w:r>
      <w:r w:rsidR="00DB4A57" w:rsidRPr="008B3EC1">
        <w:t xml:space="preserve">must receive </w:t>
      </w:r>
      <w:r w:rsidR="00BA6EB3">
        <w:t xml:space="preserve">the appropriate </w:t>
      </w:r>
      <w:r w:rsidR="00DB4A57" w:rsidRPr="008B3EC1">
        <w:t xml:space="preserve">education </w:t>
      </w:r>
      <w:r w:rsidR="00067614" w:rsidRPr="008B3EC1">
        <w:t xml:space="preserve">and </w:t>
      </w:r>
      <w:r w:rsidR="00DB4A57" w:rsidRPr="008B3EC1">
        <w:t xml:space="preserve">have </w:t>
      </w:r>
      <w:r w:rsidR="009552BA" w:rsidRPr="008B3EC1">
        <w:t xml:space="preserve">opportunities </w:t>
      </w:r>
      <w:r w:rsidR="00DB4A57" w:rsidRPr="008B3EC1">
        <w:t xml:space="preserve">to develop </w:t>
      </w:r>
      <w:r w:rsidR="00067614" w:rsidRPr="008B3EC1">
        <w:t>vocational</w:t>
      </w:r>
      <w:r w:rsidR="00872579" w:rsidRPr="008B3EC1">
        <w:t xml:space="preserve"> skills. </w:t>
      </w:r>
      <w:r w:rsidR="004C1712">
        <w:t>In the institutions</w:t>
      </w:r>
      <w:r w:rsidR="00E770D5">
        <w:t xml:space="preserve"> and community facilities</w:t>
      </w:r>
      <w:r w:rsidR="004C1712">
        <w:t>, the</w:t>
      </w:r>
      <w:r w:rsidR="00872579" w:rsidRPr="008B3EC1">
        <w:t xml:space="preserve"> expectation is youth</w:t>
      </w:r>
      <w:r w:rsidR="00821431" w:rsidRPr="008B3EC1">
        <w:t xml:space="preserve"> spend at least 13 hours of the day </w:t>
      </w:r>
      <w:r w:rsidR="00872579" w:rsidRPr="008B3EC1">
        <w:t>outside of their rooms.</w:t>
      </w:r>
      <w:r w:rsidR="00821431" w:rsidRPr="008B3EC1">
        <w:rPr>
          <w:rStyle w:val="FootnoteReference"/>
        </w:rPr>
        <w:footnoteReference w:id="38"/>
      </w:r>
      <w:r w:rsidR="00872579" w:rsidRPr="008B3EC1">
        <w:t xml:space="preserve"> </w:t>
      </w:r>
      <w:r w:rsidR="00821431" w:rsidRPr="008B3EC1">
        <w:t xml:space="preserve">Staff must balance </w:t>
      </w:r>
      <w:r w:rsidR="00067614" w:rsidRPr="008B3EC1">
        <w:t xml:space="preserve">the </w:t>
      </w:r>
      <w:r w:rsidR="00821431" w:rsidRPr="008B3EC1">
        <w:t xml:space="preserve">competing demands of </w:t>
      </w:r>
      <w:r w:rsidR="00067614" w:rsidRPr="008B3EC1">
        <w:t xml:space="preserve">meeting </w:t>
      </w:r>
      <w:r w:rsidR="00821431" w:rsidRPr="008B3EC1">
        <w:t xml:space="preserve">different </w:t>
      </w:r>
      <w:r w:rsidR="00BA6EB3">
        <w:t xml:space="preserve">treatment, </w:t>
      </w:r>
      <w:r w:rsidR="00821431" w:rsidRPr="008B3EC1">
        <w:t>educational, recreational, vocational, and community engagement needs</w:t>
      </w:r>
      <w:r w:rsidR="006D45C9">
        <w:t>. In the institutions, staff must also</w:t>
      </w:r>
      <w:r w:rsidR="00067614" w:rsidRPr="008B3EC1">
        <w:t xml:space="preserve"> </w:t>
      </w:r>
      <w:r w:rsidR="006D45C9">
        <w:t xml:space="preserve">maintain constant </w:t>
      </w:r>
      <w:r w:rsidR="005D5957" w:rsidRPr="008B3EC1">
        <w:t>supervision to ensure the safety and security of youth</w:t>
      </w:r>
      <w:r w:rsidR="00085E47">
        <w:t xml:space="preserve"> and </w:t>
      </w:r>
      <w:r w:rsidR="005D5957" w:rsidRPr="008B3EC1">
        <w:t>staff</w:t>
      </w:r>
      <w:r w:rsidR="00085E47">
        <w:t>.</w:t>
      </w:r>
      <w:r w:rsidR="004C1712">
        <w:t xml:space="preserve"> Staff working in the community facilities must also support opportunities for youth to be in the community including shopping, </w:t>
      </w:r>
      <w:r w:rsidR="006D45C9">
        <w:t>recreation</w:t>
      </w:r>
      <w:r w:rsidR="004C1712">
        <w:t>, field trips, local community</w:t>
      </w:r>
      <w:r w:rsidR="006D45C9">
        <w:t xml:space="preserve"> activities, and family visits and ensure the ongoing safety of the youth and community. </w:t>
      </w:r>
      <w:r w:rsidR="00EA4B4D">
        <w:t xml:space="preserve">They must also provide monitoring to youth who are working or attending a private or public school. </w:t>
      </w:r>
      <w:r w:rsidR="00872579" w:rsidRPr="008B3EC1">
        <w:t xml:space="preserve">Exhibit </w:t>
      </w:r>
      <w:r w:rsidR="00DD4F6B">
        <w:t>4</w:t>
      </w:r>
      <w:r w:rsidR="00FF53C7" w:rsidRPr="008B3EC1">
        <w:t>-1</w:t>
      </w:r>
      <w:r w:rsidR="003C6314" w:rsidRPr="008B3EC1">
        <w:t xml:space="preserve"> </w:t>
      </w:r>
      <w:r w:rsidR="00F87F37" w:rsidRPr="008B3EC1">
        <w:t>includes</w:t>
      </w:r>
      <w:r w:rsidR="00067614" w:rsidRPr="008B3EC1">
        <w:t xml:space="preserve"> </w:t>
      </w:r>
      <w:r w:rsidR="00F87F37" w:rsidRPr="008B3EC1">
        <w:t xml:space="preserve">the </w:t>
      </w:r>
      <w:r w:rsidR="00067614" w:rsidRPr="008B3EC1">
        <w:t xml:space="preserve">primary staff activities and </w:t>
      </w:r>
      <w:r w:rsidR="00872579" w:rsidRPr="008B3EC1">
        <w:t xml:space="preserve">duties </w:t>
      </w:r>
      <w:r w:rsidR="00067614" w:rsidRPr="008B3EC1">
        <w:t>listed in</w:t>
      </w:r>
      <w:r w:rsidR="00872579" w:rsidRPr="008B3EC1">
        <w:t xml:space="preserve"> job descriptions </w:t>
      </w:r>
      <w:r w:rsidR="0093221E" w:rsidRPr="008B3EC1">
        <w:t>and</w:t>
      </w:r>
      <w:r w:rsidR="00872579" w:rsidRPr="008B3EC1">
        <w:t xml:space="preserve"> discussed </w:t>
      </w:r>
      <w:r w:rsidR="00067614" w:rsidRPr="008B3EC1">
        <w:t xml:space="preserve">with applicants </w:t>
      </w:r>
      <w:r w:rsidR="00872579" w:rsidRPr="008B3EC1">
        <w:t xml:space="preserve">during </w:t>
      </w:r>
      <w:r w:rsidR="00067614" w:rsidRPr="008B3EC1">
        <w:t>the hiring process.</w:t>
      </w:r>
    </w:p>
    <w:p w14:paraId="40C5AE1A" w14:textId="77777777" w:rsidR="00BE5090" w:rsidRDefault="00ED1C95" w:rsidP="00FB5981">
      <w:pPr>
        <w:pStyle w:val="Caption"/>
        <w:keepLines/>
      </w:pPr>
      <w:r>
        <w:t xml:space="preserve">Exhibit </w:t>
      </w:r>
      <w:r w:rsidR="005076C5">
        <w:rPr>
          <w:noProof/>
        </w:rPr>
        <w:fldChar w:fldCharType="begin"/>
      </w:r>
      <w:r w:rsidR="005076C5">
        <w:rPr>
          <w:noProof/>
        </w:rPr>
        <w:instrText xml:space="preserve"> STYLEREF 1 \s </w:instrText>
      </w:r>
      <w:r w:rsidR="005076C5">
        <w:rPr>
          <w:noProof/>
        </w:rPr>
        <w:fldChar w:fldCharType="separate"/>
      </w:r>
      <w:r w:rsidR="00FD2536">
        <w:rPr>
          <w:noProof/>
        </w:rPr>
        <w:t>4</w:t>
      </w:r>
      <w:r w:rsidR="005076C5">
        <w:rPr>
          <w:noProof/>
        </w:rPr>
        <w:fldChar w:fldCharType="end"/>
      </w:r>
      <w:r>
        <w:noBreakHyphen/>
      </w:r>
      <w:r w:rsidR="005076C5">
        <w:rPr>
          <w:noProof/>
        </w:rPr>
        <w:fldChar w:fldCharType="begin"/>
      </w:r>
      <w:r w:rsidR="005076C5">
        <w:rPr>
          <w:noProof/>
        </w:rPr>
        <w:instrText xml:space="preserve"> SEQ Exhibit \* ARABIC \s 1 </w:instrText>
      </w:r>
      <w:r w:rsidR="005076C5">
        <w:rPr>
          <w:noProof/>
        </w:rPr>
        <w:fldChar w:fldCharType="separate"/>
      </w:r>
      <w:r w:rsidR="00FD2536">
        <w:rPr>
          <w:noProof/>
        </w:rPr>
        <w:t>1</w:t>
      </w:r>
      <w:r w:rsidR="005076C5">
        <w:rPr>
          <w:noProof/>
        </w:rPr>
        <w:fldChar w:fldCharType="end"/>
      </w:r>
      <w:r w:rsidR="00E251C1">
        <w:t xml:space="preserve">. </w:t>
      </w:r>
      <w:r>
        <w:t>Youth Care and Security Responsibilities</w:t>
      </w:r>
    </w:p>
    <w:tbl>
      <w:tblPr>
        <w:tblStyle w:val="HyzerTable"/>
        <w:tblW w:w="0" w:type="auto"/>
        <w:tblLook w:val="04A0" w:firstRow="1" w:lastRow="0" w:firstColumn="1" w:lastColumn="0" w:noHBand="0" w:noVBand="1"/>
      </w:tblPr>
      <w:tblGrid>
        <w:gridCol w:w="5817"/>
        <w:gridCol w:w="1347"/>
        <w:gridCol w:w="2196"/>
      </w:tblGrid>
      <w:tr w:rsidR="00BE5090" w14:paraId="39E8FEE0" w14:textId="77777777" w:rsidTr="00BC5B02">
        <w:trPr>
          <w:cnfStyle w:val="100000000000" w:firstRow="1" w:lastRow="0" w:firstColumn="0" w:lastColumn="0" w:oddVBand="0" w:evenVBand="0" w:oddHBand="0" w:evenHBand="0" w:firstRowFirstColumn="0" w:firstRowLastColumn="0" w:lastRowFirstColumn="0" w:lastRowLastColumn="0"/>
          <w:tblHeader/>
        </w:trPr>
        <w:tc>
          <w:tcPr>
            <w:tcW w:w="5906" w:type="dxa"/>
          </w:tcPr>
          <w:p w14:paraId="7AB4E9D1" w14:textId="77777777" w:rsidR="00BE5090" w:rsidRPr="005C3DC2" w:rsidRDefault="006C3C7C" w:rsidP="00FB5981">
            <w:pPr>
              <w:pStyle w:val="tableheaderwhite"/>
              <w:keepNext/>
              <w:keepLines/>
              <w:spacing w:before="20" w:after="20"/>
              <w:rPr>
                <w:sz w:val="22"/>
              </w:rPr>
            </w:pPr>
            <w:r w:rsidRPr="1FF1B213">
              <w:rPr>
                <w:sz w:val="22"/>
                <w:szCs w:val="22"/>
              </w:rPr>
              <w:t>Responsibility</w:t>
            </w:r>
          </w:p>
        </w:tc>
        <w:tc>
          <w:tcPr>
            <w:tcW w:w="1350" w:type="dxa"/>
          </w:tcPr>
          <w:p w14:paraId="097AF6FB" w14:textId="77777777" w:rsidR="00BE5090" w:rsidRPr="005C3DC2" w:rsidRDefault="00BE5090" w:rsidP="00FB5981">
            <w:pPr>
              <w:pStyle w:val="tableheaderwhite"/>
              <w:keepNext/>
              <w:keepLines/>
              <w:spacing w:before="20" w:after="20"/>
              <w:rPr>
                <w:sz w:val="22"/>
              </w:rPr>
            </w:pPr>
            <w:r w:rsidRPr="1FF1B213">
              <w:rPr>
                <w:sz w:val="22"/>
                <w:szCs w:val="22"/>
              </w:rPr>
              <w:t>Institutions</w:t>
            </w:r>
          </w:p>
        </w:tc>
        <w:tc>
          <w:tcPr>
            <w:tcW w:w="2216" w:type="dxa"/>
          </w:tcPr>
          <w:p w14:paraId="4D61BEFE" w14:textId="77777777" w:rsidR="00BE5090" w:rsidRPr="005C3DC2" w:rsidRDefault="00BE5090" w:rsidP="00FB5981">
            <w:pPr>
              <w:pStyle w:val="tableheaderwhite"/>
              <w:keepNext/>
              <w:keepLines/>
              <w:spacing w:before="20" w:after="20"/>
              <w:rPr>
                <w:sz w:val="22"/>
              </w:rPr>
            </w:pPr>
            <w:r w:rsidRPr="1FF1B213">
              <w:rPr>
                <w:sz w:val="22"/>
                <w:szCs w:val="22"/>
              </w:rPr>
              <w:t>Community Facilities</w:t>
            </w:r>
          </w:p>
        </w:tc>
      </w:tr>
      <w:tr w:rsidR="00BE5090" w14:paraId="0401BD12" w14:textId="77777777" w:rsidTr="006B38E0">
        <w:trPr>
          <w:cnfStyle w:val="000000100000" w:firstRow="0" w:lastRow="0" w:firstColumn="0" w:lastColumn="0" w:oddVBand="0" w:evenVBand="0" w:oddHBand="1" w:evenHBand="0" w:firstRowFirstColumn="0" w:firstRowLastColumn="0" w:lastRowFirstColumn="0" w:lastRowLastColumn="0"/>
        </w:trPr>
        <w:tc>
          <w:tcPr>
            <w:tcW w:w="5906" w:type="dxa"/>
          </w:tcPr>
          <w:p w14:paraId="3A86A0BB" w14:textId="77777777" w:rsidR="00BE5090" w:rsidRPr="006B38E0" w:rsidRDefault="00F87F37" w:rsidP="00FB5981">
            <w:pPr>
              <w:pStyle w:val="TableText"/>
              <w:keepNext/>
              <w:keepLines/>
            </w:pPr>
            <w:r>
              <w:t xml:space="preserve">Supervise youth movement </w:t>
            </w:r>
            <w:r w:rsidR="0049251D">
              <w:t>to and from s</w:t>
            </w:r>
            <w:r>
              <w:t xml:space="preserve">chool and/or </w:t>
            </w:r>
            <w:r w:rsidR="001F15D6">
              <w:t>educational opportunities</w:t>
            </w:r>
          </w:p>
        </w:tc>
        <w:tc>
          <w:tcPr>
            <w:tcW w:w="1350" w:type="dxa"/>
            <w:vAlign w:val="center"/>
          </w:tcPr>
          <w:p w14:paraId="59D0F91A" w14:textId="77777777" w:rsidR="0049251D" w:rsidRPr="006B38E0" w:rsidRDefault="006B38E0" w:rsidP="00FB5981">
            <w:pPr>
              <w:keepNext/>
              <w:keepLines/>
              <w:jc w:val="center"/>
              <w:rPr>
                <w:b/>
                <w:color w:val="E36C0A" w:themeColor="accent6" w:themeShade="BF"/>
              </w:rPr>
            </w:pPr>
            <w:r w:rsidRPr="006B38E0">
              <w:rPr>
                <w:b/>
                <w:color w:val="E36C0A" w:themeColor="accent6" w:themeShade="BF"/>
              </w:rPr>
              <w:sym w:font="Wingdings 2" w:char="F050"/>
            </w:r>
          </w:p>
        </w:tc>
        <w:tc>
          <w:tcPr>
            <w:tcW w:w="2216" w:type="dxa"/>
            <w:vAlign w:val="center"/>
          </w:tcPr>
          <w:p w14:paraId="40F14C1D" w14:textId="77777777" w:rsidR="00BE5090" w:rsidRPr="006B38E0" w:rsidRDefault="006B38E0" w:rsidP="00FB5981">
            <w:pPr>
              <w:keepNext/>
              <w:keepLines/>
              <w:jc w:val="center"/>
              <w:rPr>
                <w:b/>
              </w:rPr>
            </w:pPr>
            <w:r w:rsidRPr="006B38E0">
              <w:rPr>
                <w:b/>
                <w:color w:val="E36C0A" w:themeColor="accent6" w:themeShade="BF"/>
              </w:rPr>
              <w:sym w:font="Wingdings 2" w:char="F050"/>
            </w:r>
          </w:p>
        </w:tc>
      </w:tr>
      <w:tr w:rsidR="006B38E0" w14:paraId="20B414D6" w14:textId="77777777" w:rsidTr="003C6314">
        <w:tc>
          <w:tcPr>
            <w:tcW w:w="5906" w:type="dxa"/>
            <w:vAlign w:val="center"/>
          </w:tcPr>
          <w:p w14:paraId="51BF086C" w14:textId="77777777" w:rsidR="006B38E0" w:rsidRDefault="006B38E0" w:rsidP="00F87F37">
            <w:pPr>
              <w:pStyle w:val="TableText"/>
            </w:pPr>
            <w:r>
              <w:t>E</w:t>
            </w:r>
            <w:r w:rsidR="00F87F37">
              <w:t xml:space="preserve">scort </w:t>
            </w:r>
            <w:r>
              <w:t>youth to cultural and recreational programming at the facility or in the community and supervise them during these activities</w:t>
            </w:r>
          </w:p>
        </w:tc>
        <w:tc>
          <w:tcPr>
            <w:tcW w:w="1350" w:type="dxa"/>
            <w:vAlign w:val="center"/>
          </w:tcPr>
          <w:p w14:paraId="28B2E982" w14:textId="77777777" w:rsidR="006B38E0" w:rsidRDefault="006B38E0" w:rsidP="001E461A">
            <w:pPr>
              <w:keepNext/>
              <w:jc w:val="center"/>
            </w:pPr>
            <w:r w:rsidRPr="006B38E0">
              <w:rPr>
                <w:b/>
                <w:color w:val="E36C0A" w:themeColor="accent6" w:themeShade="BF"/>
              </w:rPr>
              <w:sym w:font="Wingdings 2" w:char="F050"/>
            </w:r>
          </w:p>
        </w:tc>
        <w:tc>
          <w:tcPr>
            <w:tcW w:w="2216" w:type="dxa"/>
            <w:vAlign w:val="center"/>
          </w:tcPr>
          <w:p w14:paraId="72B4E4A2" w14:textId="77777777" w:rsidR="006B38E0" w:rsidRDefault="006B38E0" w:rsidP="001E461A">
            <w:pPr>
              <w:keepNext/>
              <w:jc w:val="center"/>
            </w:pPr>
            <w:r w:rsidRPr="006B38E0">
              <w:rPr>
                <w:b/>
                <w:color w:val="E36C0A" w:themeColor="accent6" w:themeShade="BF"/>
              </w:rPr>
              <w:sym w:font="Wingdings 2" w:char="F050"/>
            </w:r>
          </w:p>
        </w:tc>
      </w:tr>
      <w:tr w:rsidR="006B38E0" w14:paraId="5CDB3380"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3790247E" w14:textId="77777777" w:rsidR="006B38E0" w:rsidRDefault="006B38E0" w:rsidP="00BC5B02">
            <w:pPr>
              <w:pStyle w:val="TableText"/>
            </w:pPr>
            <w:r>
              <w:t>Facilitate and supervise daily personal hygiene activities</w:t>
            </w:r>
            <w:r w:rsidR="00F87F37">
              <w:t xml:space="preserve"> of youth</w:t>
            </w:r>
          </w:p>
        </w:tc>
        <w:tc>
          <w:tcPr>
            <w:tcW w:w="1350" w:type="dxa"/>
            <w:vAlign w:val="center"/>
          </w:tcPr>
          <w:p w14:paraId="2FD4CBF1" w14:textId="77777777" w:rsidR="006B38E0" w:rsidRDefault="006B38E0" w:rsidP="006B38E0">
            <w:pPr>
              <w:jc w:val="center"/>
            </w:pPr>
            <w:r w:rsidRPr="006B38E0">
              <w:rPr>
                <w:b/>
                <w:color w:val="E36C0A" w:themeColor="accent6" w:themeShade="BF"/>
              </w:rPr>
              <w:sym w:font="Wingdings 2" w:char="F050"/>
            </w:r>
          </w:p>
        </w:tc>
        <w:tc>
          <w:tcPr>
            <w:tcW w:w="2216" w:type="dxa"/>
            <w:vAlign w:val="center"/>
          </w:tcPr>
          <w:p w14:paraId="11A0B20C" w14:textId="77777777" w:rsidR="006B38E0" w:rsidRDefault="006B38E0" w:rsidP="006B38E0">
            <w:pPr>
              <w:jc w:val="center"/>
            </w:pPr>
            <w:r w:rsidRPr="006B38E0">
              <w:rPr>
                <w:b/>
                <w:color w:val="E36C0A" w:themeColor="accent6" w:themeShade="BF"/>
              </w:rPr>
              <w:sym w:font="Wingdings 2" w:char="F050"/>
            </w:r>
          </w:p>
        </w:tc>
      </w:tr>
      <w:tr w:rsidR="0017274A" w14:paraId="29E31703" w14:textId="77777777" w:rsidTr="003C6314">
        <w:tc>
          <w:tcPr>
            <w:tcW w:w="5906" w:type="dxa"/>
          </w:tcPr>
          <w:p w14:paraId="605397BB" w14:textId="77777777" w:rsidR="0017274A" w:rsidRDefault="0017274A" w:rsidP="00BC5B02">
            <w:pPr>
              <w:pStyle w:val="TableText"/>
            </w:pPr>
            <w:r>
              <w:t>Conduct “spot checks” of youth working in the community</w:t>
            </w:r>
          </w:p>
        </w:tc>
        <w:tc>
          <w:tcPr>
            <w:tcW w:w="1350" w:type="dxa"/>
            <w:vAlign w:val="center"/>
          </w:tcPr>
          <w:p w14:paraId="01F0BFCC" w14:textId="77777777" w:rsidR="0017274A" w:rsidRDefault="0017274A" w:rsidP="00E74F2F">
            <w:pPr>
              <w:jc w:val="center"/>
            </w:pPr>
          </w:p>
        </w:tc>
        <w:tc>
          <w:tcPr>
            <w:tcW w:w="2216" w:type="dxa"/>
            <w:vAlign w:val="center"/>
          </w:tcPr>
          <w:p w14:paraId="0BFAA6F1" w14:textId="77777777" w:rsidR="0017274A" w:rsidRDefault="00715B04" w:rsidP="00E74F2F">
            <w:pPr>
              <w:jc w:val="center"/>
            </w:pPr>
            <w:r w:rsidRPr="006B38E0">
              <w:rPr>
                <w:b/>
                <w:color w:val="E36C0A" w:themeColor="accent6" w:themeShade="BF"/>
              </w:rPr>
              <w:sym w:font="Wingdings 2" w:char="F050"/>
            </w:r>
          </w:p>
        </w:tc>
      </w:tr>
      <w:tr w:rsidR="009552BA" w14:paraId="2D45E164"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07F6A60D" w14:textId="77777777" w:rsidR="009552BA" w:rsidRDefault="009552BA" w:rsidP="00F87F37">
            <w:pPr>
              <w:pStyle w:val="TableText"/>
            </w:pPr>
            <w:r>
              <w:t>S</w:t>
            </w:r>
            <w:r w:rsidR="00F87F37">
              <w:t>upervise youth completing</w:t>
            </w:r>
            <w:r>
              <w:t xml:space="preserve"> housekeeping tasks, laundr</w:t>
            </w:r>
            <w:r w:rsidR="00F87F37">
              <w:t>y, snack distribution and cleanup,</w:t>
            </w:r>
            <w:r>
              <w:t xml:space="preserve"> and other daily living chores</w:t>
            </w:r>
          </w:p>
        </w:tc>
        <w:tc>
          <w:tcPr>
            <w:tcW w:w="1350" w:type="dxa"/>
            <w:vAlign w:val="center"/>
          </w:tcPr>
          <w:p w14:paraId="1C4CEE65" w14:textId="77777777" w:rsidR="009552BA" w:rsidRDefault="00715B04" w:rsidP="00E74F2F">
            <w:pPr>
              <w:jc w:val="center"/>
            </w:pPr>
            <w:r w:rsidRPr="006B38E0">
              <w:rPr>
                <w:b/>
                <w:color w:val="E36C0A" w:themeColor="accent6" w:themeShade="BF"/>
              </w:rPr>
              <w:sym w:font="Wingdings 2" w:char="F050"/>
            </w:r>
          </w:p>
        </w:tc>
        <w:tc>
          <w:tcPr>
            <w:tcW w:w="2216" w:type="dxa"/>
            <w:vAlign w:val="center"/>
          </w:tcPr>
          <w:p w14:paraId="4E625439" w14:textId="77777777" w:rsidR="009552BA" w:rsidRDefault="00715B04" w:rsidP="00E74F2F">
            <w:pPr>
              <w:jc w:val="center"/>
            </w:pPr>
            <w:r w:rsidRPr="006B38E0">
              <w:rPr>
                <w:b/>
                <w:color w:val="E36C0A" w:themeColor="accent6" w:themeShade="BF"/>
              </w:rPr>
              <w:sym w:font="Wingdings 2" w:char="F050"/>
            </w:r>
          </w:p>
        </w:tc>
      </w:tr>
      <w:tr w:rsidR="00E74F2F" w14:paraId="73D3DD06" w14:textId="77777777" w:rsidTr="003C6314">
        <w:tc>
          <w:tcPr>
            <w:tcW w:w="5906" w:type="dxa"/>
          </w:tcPr>
          <w:p w14:paraId="6CE490D8" w14:textId="77777777" w:rsidR="00E74F2F" w:rsidRDefault="00E74F2F" w:rsidP="00BC5B02">
            <w:pPr>
              <w:pStyle w:val="TableText"/>
            </w:pPr>
            <w:r>
              <w:t>Plan, organize, and supervise youth in individual and group activities</w:t>
            </w:r>
          </w:p>
        </w:tc>
        <w:tc>
          <w:tcPr>
            <w:tcW w:w="1350" w:type="dxa"/>
            <w:vAlign w:val="center"/>
          </w:tcPr>
          <w:p w14:paraId="17958E4E" w14:textId="77777777" w:rsidR="00E74F2F" w:rsidRDefault="00715B04" w:rsidP="00E74F2F">
            <w:pPr>
              <w:jc w:val="center"/>
            </w:pPr>
            <w:r w:rsidRPr="006B38E0">
              <w:rPr>
                <w:b/>
                <w:color w:val="E36C0A" w:themeColor="accent6" w:themeShade="BF"/>
              </w:rPr>
              <w:sym w:font="Wingdings 2" w:char="F050"/>
            </w:r>
          </w:p>
        </w:tc>
        <w:tc>
          <w:tcPr>
            <w:tcW w:w="2216" w:type="dxa"/>
            <w:vAlign w:val="center"/>
          </w:tcPr>
          <w:p w14:paraId="5F810619" w14:textId="77777777" w:rsidR="00E74F2F" w:rsidRDefault="00715B04" w:rsidP="00E74F2F">
            <w:pPr>
              <w:jc w:val="center"/>
            </w:pPr>
            <w:r w:rsidRPr="006B38E0">
              <w:rPr>
                <w:b/>
                <w:color w:val="E36C0A" w:themeColor="accent6" w:themeShade="BF"/>
              </w:rPr>
              <w:sym w:font="Wingdings 2" w:char="F050"/>
            </w:r>
          </w:p>
        </w:tc>
      </w:tr>
      <w:tr w:rsidR="00BE5090" w14:paraId="6A61411D"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21D31742" w14:textId="77777777" w:rsidR="00BE5090" w:rsidRPr="009F4592" w:rsidRDefault="0049251D" w:rsidP="005C4919">
            <w:pPr>
              <w:pStyle w:val="TableText"/>
            </w:pPr>
            <w:r>
              <w:t>Drive</w:t>
            </w:r>
            <w:r w:rsidR="00E74F2F">
              <w:t xml:space="preserve"> or escort</w:t>
            </w:r>
            <w:r>
              <w:t xml:space="preserve"> youth to, and wait for t</w:t>
            </w:r>
            <w:r w:rsidR="005C4919">
              <w:t xml:space="preserve">hem </w:t>
            </w:r>
            <w:r>
              <w:t>at</w:t>
            </w:r>
            <w:r w:rsidR="005C4919">
              <w:t>,</w:t>
            </w:r>
            <w:r>
              <w:t xml:space="preserve"> appointments (</w:t>
            </w:r>
            <w:r w:rsidR="005C4919">
              <w:t>e.g. doctor, dentist, therapist, etc.</w:t>
            </w:r>
            <w:r>
              <w:t>)</w:t>
            </w:r>
            <w:r w:rsidR="00E74F2F">
              <w:t xml:space="preserve"> on </w:t>
            </w:r>
            <w:r w:rsidR="003D2C36">
              <w:t>campus</w:t>
            </w:r>
            <w:r w:rsidR="00E74F2F">
              <w:t xml:space="preserve"> or in the community</w:t>
            </w:r>
          </w:p>
        </w:tc>
        <w:tc>
          <w:tcPr>
            <w:tcW w:w="1350" w:type="dxa"/>
            <w:vAlign w:val="center"/>
          </w:tcPr>
          <w:p w14:paraId="3A2FFDFE" w14:textId="77777777" w:rsidR="00BE5090" w:rsidRDefault="00715B04" w:rsidP="00E74F2F">
            <w:pPr>
              <w:jc w:val="center"/>
            </w:pPr>
            <w:r w:rsidRPr="006B38E0">
              <w:rPr>
                <w:b/>
                <w:color w:val="E36C0A" w:themeColor="accent6" w:themeShade="BF"/>
              </w:rPr>
              <w:sym w:font="Wingdings 2" w:char="F050"/>
            </w:r>
          </w:p>
        </w:tc>
        <w:tc>
          <w:tcPr>
            <w:tcW w:w="2216" w:type="dxa"/>
            <w:vAlign w:val="center"/>
          </w:tcPr>
          <w:p w14:paraId="5E2FC9E5" w14:textId="77777777" w:rsidR="00BE5090" w:rsidRDefault="00715B04" w:rsidP="00E74F2F">
            <w:pPr>
              <w:jc w:val="center"/>
            </w:pPr>
            <w:r w:rsidRPr="006B38E0">
              <w:rPr>
                <w:b/>
                <w:color w:val="E36C0A" w:themeColor="accent6" w:themeShade="BF"/>
              </w:rPr>
              <w:sym w:font="Wingdings 2" w:char="F050"/>
            </w:r>
          </w:p>
        </w:tc>
      </w:tr>
      <w:tr w:rsidR="00E74F2F" w14:paraId="403F8D5C" w14:textId="77777777" w:rsidTr="003C6314">
        <w:tc>
          <w:tcPr>
            <w:tcW w:w="5906" w:type="dxa"/>
          </w:tcPr>
          <w:p w14:paraId="300BD718" w14:textId="77777777" w:rsidR="00E74F2F" w:rsidRDefault="009552BA" w:rsidP="005C4919">
            <w:pPr>
              <w:pStyle w:val="TableText"/>
            </w:pPr>
            <w:r>
              <w:lastRenderedPageBreak/>
              <w:t>Distribute and monitor</w:t>
            </w:r>
            <w:r w:rsidR="00E74F2F">
              <w:t xml:space="preserve"> </w:t>
            </w:r>
            <w:r w:rsidR="005C4919">
              <w:t>youth medications</w:t>
            </w:r>
          </w:p>
        </w:tc>
        <w:tc>
          <w:tcPr>
            <w:tcW w:w="1350" w:type="dxa"/>
            <w:vAlign w:val="center"/>
          </w:tcPr>
          <w:p w14:paraId="51477A3A" w14:textId="77777777" w:rsidR="00E74F2F" w:rsidRDefault="00715B04" w:rsidP="00E74F2F">
            <w:pPr>
              <w:jc w:val="center"/>
            </w:pPr>
            <w:r w:rsidRPr="006B38E0">
              <w:rPr>
                <w:b/>
                <w:color w:val="E36C0A" w:themeColor="accent6" w:themeShade="BF"/>
              </w:rPr>
              <w:sym w:font="Wingdings 2" w:char="F050"/>
            </w:r>
          </w:p>
        </w:tc>
        <w:tc>
          <w:tcPr>
            <w:tcW w:w="2216" w:type="dxa"/>
            <w:vAlign w:val="center"/>
          </w:tcPr>
          <w:p w14:paraId="3E28D9FD" w14:textId="77777777" w:rsidR="00E74F2F" w:rsidRDefault="00715B04" w:rsidP="00E74F2F">
            <w:pPr>
              <w:jc w:val="center"/>
            </w:pPr>
            <w:r w:rsidRPr="006B38E0">
              <w:rPr>
                <w:b/>
                <w:color w:val="E36C0A" w:themeColor="accent6" w:themeShade="BF"/>
              </w:rPr>
              <w:sym w:font="Wingdings 2" w:char="F050"/>
            </w:r>
          </w:p>
        </w:tc>
      </w:tr>
      <w:tr w:rsidR="00E74F2F" w14:paraId="3335635D"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611EE314" w14:textId="77777777" w:rsidR="00E74F2F" w:rsidRDefault="009552BA" w:rsidP="00BC5B02">
            <w:pPr>
              <w:pStyle w:val="TableText"/>
            </w:pPr>
            <w:r>
              <w:t>Drive youth to and from work</w:t>
            </w:r>
          </w:p>
        </w:tc>
        <w:tc>
          <w:tcPr>
            <w:tcW w:w="1350" w:type="dxa"/>
            <w:vAlign w:val="center"/>
          </w:tcPr>
          <w:p w14:paraId="78FA5C3D" w14:textId="77777777" w:rsidR="00E74F2F" w:rsidRDefault="00E74F2F" w:rsidP="00E74F2F">
            <w:pPr>
              <w:jc w:val="center"/>
            </w:pPr>
          </w:p>
        </w:tc>
        <w:tc>
          <w:tcPr>
            <w:tcW w:w="2216" w:type="dxa"/>
            <w:vAlign w:val="center"/>
          </w:tcPr>
          <w:p w14:paraId="37B19888" w14:textId="77777777" w:rsidR="00E74F2F" w:rsidRDefault="00715B04" w:rsidP="00E74F2F">
            <w:pPr>
              <w:jc w:val="center"/>
            </w:pPr>
            <w:r w:rsidRPr="006B38E0">
              <w:rPr>
                <w:b/>
                <w:color w:val="E36C0A" w:themeColor="accent6" w:themeShade="BF"/>
              </w:rPr>
              <w:sym w:font="Wingdings 2" w:char="F050"/>
            </w:r>
          </w:p>
        </w:tc>
      </w:tr>
      <w:tr w:rsidR="00E74F2F" w14:paraId="628363E7" w14:textId="77777777" w:rsidTr="003C6314">
        <w:tc>
          <w:tcPr>
            <w:tcW w:w="5906" w:type="dxa"/>
          </w:tcPr>
          <w:p w14:paraId="2231A4FA" w14:textId="77777777" w:rsidR="00E74F2F" w:rsidRDefault="00E74F2F" w:rsidP="00BC5B02">
            <w:pPr>
              <w:pStyle w:val="TableText"/>
            </w:pPr>
            <w:r>
              <w:t>Prepare and provide meals to youth on weekends</w:t>
            </w:r>
          </w:p>
        </w:tc>
        <w:tc>
          <w:tcPr>
            <w:tcW w:w="1350" w:type="dxa"/>
            <w:vAlign w:val="center"/>
          </w:tcPr>
          <w:p w14:paraId="6592DB84" w14:textId="77777777" w:rsidR="00E74F2F" w:rsidRDefault="00E74F2F" w:rsidP="00E74F2F">
            <w:pPr>
              <w:jc w:val="center"/>
            </w:pPr>
          </w:p>
        </w:tc>
        <w:tc>
          <w:tcPr>
            <w:tcW w:w="2216" w:type="dxa"/>
            <w:vAlign w:val="center"/>
          </w:tcPr>
          <w:p w14:paraId="4DFC48D8" w14:textId="77777777" w:rsidR="00E74F2F" w:rsidRDefault="00715B04" w:rsidP="00E74F2F">
            <w:pPr>
              <w:jc w:val="center"/>
            </w:pPr>
            <w:r w:rsidRPr="006B38E0">
              <w:rPr>
                <w:b/>
                <w:color w:val="E36C0A" w:themeColor="accent6" w:themeShade="BF"/>
              </w:rPr>
              <w:sym w:font="Wingdings 2" w:char="F050"/>
            </w:r>
          </w:p>
        </w:tc>
      </w:tr>
      <w:tr w:rsidR="00E74F2F" w14:paraId="40DE19E8"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659C8229" w14:textId="77777777" w:rsidR="00E74F2F" w:rsidRDefault="00E74F2F" w:rsidP="00BC5B02">
            <w:pPr>
              <w:pStyle w:val="TableText"/>
            </w:pPr>
            <w:r>
              <w:t>Intervene and breakup physical and verbal</w:t>
            </w:r>
            <w:r w:rsidR="005C4919">
              <w:t xml:space="preserve"> altercations and de-escalate</w:t>
            </w:r>
            <w:r>
              <w:t xml:space="preserve"> crisis situations</w:t>
            </w:r>
          </w:p>
        </w:tc>
        <w:tc>
          <w:tcPr>
            <w:tcW w:w="1350" w:type="dxa"/>
            <w:vAlign w:val="center"/>
          </w:tcPr>
          <w:p w14:paraId="403A58A7" w14:textId="77777777" w:rsidR="00E74F2F" w:rsidRDefault="00715B04" w:rsidP="00E74F2F">
            <w:pPr>
              <w:jc w:val="center"/>
            </w:pPr>
            <w:r w:rsidRPr="006B38E0">
              <w:rPr>
                <w:b/>
                <w:color w:val="E36C0A" w:themeColor="accent6" w:themeShade="BF"/>
              </w:rPr>
              <w:sym w:font="Wingdings 2" w:char="F050"/>
            </w:r>
          </w:p>
        </w:tc>
        <w:tc>
          <w:tcPr>
            <w:tcW w:w="2216" w:type="dxa"/>
            <w:vAlign w:val="center"/>
          </w:tcPr>
          <w:p w14:paraId="1967DEE1" w14:textId="77777777" w:rsidR="00E74F2F" w:rsidRDefault="00715B04" w:rsidP="00E74F2F">
            <w:pPr>
              <w:jc w:val="center"/>
            </w:pPr>
            <w:r w:rsidRPr="006B38E0">
              <w:rPr>
                <w:b/>
                <w:color w:val="E36C0A" w:themeColor="accent6" w:themeShade="BF"/>
              </w:rPr>
              <w:sym w:font="Wingdings 2" w:char="F050"/>
            </w:r>
          </w:p>
        </w:tc>
      </w:tr>
      <w:tr w:rsidR="00E74F2F" w14:paraId="59CF1467" w14:textId="77777777" w:rsidTr="003C6314">
        <w:tc>
          <w:tcPr>
            <w:tcW w:w="5906" w:type="dxa"/>
          </w:tcPr>
          <w:p w14:paraId="2394ADA7" w14:textId="77777777" w:rsidR="00E74F2F" w:rsidRDefault="00E74F2F" w:rsidP="00F6514A">
            <w:pPr>
              <w:pStyle w:val="TableText"/>
            </w:pPr>
            <w:r>
              <w:t>Conduct various security checks including head counts</w:t>
            </w:r>
            <w:r w:rsidR="005478F4">
              <w:t xml:space="preserve"> (hourly)</w:t>
            </w:r>
            <w:r>
              <w:t xml:space="preserve"> and room searches for contraband and weapons</w:t>
            </w:r>
          </w:p>
        </w:tc>
        <w:tc>
          <w:tcPr>
            <w:tcW w:w="1350" w:type="dxa"/>
            <w:vAlign w:val="center"/>
          </w:tcPr>
          <w:p w14:paraId="19D6A761" w14:textId="77777777" w:rsidR="00E74F2F" w:rsidRDefault="00715B04" w:rsidP="00E74F2F">
            <w:pPr>
              <w:jc w:val="center"/>
            </w:pPr>
            <w:r w:rsidRPr="006B38E0">
              <w:rPr>
                <w:b/>
                <w:color w:val="E36C0A" w:themeColor="accent6" w:themeShade="BF"/>
              </w:rPr>
              <w:sym w:font="Wingdings 2" w:char="F050"/>
            </w:r>
          </w:p>
        </w:tc>
        <w:tc>
          <w:tcPr>
            <w:tcW w:w="2216" w:type="dxa"/>
            <w:vAlign w:val="center"/>
          </w:tcPr>
          <w:p w14:paraId="5ADFE132" w14:textId="77777777" w:rsidR="00E74F2F" w:rsidRDefault="00715B04" w:rsidP="00E74F2F">
            <w:pPr>
              <w:jc w:val="center"/>
            </w:pPr>
            <w:r w:rsidRPr="006B38E0">
              <w:rPr>
                <w:b/>
                <w:color w:val="E36C0A" w:themeColor="accent6" w:themeShade="BF"/>
              </w:rPr>
              <w:sym w:font="Wingdings 2" w:char="F050"/>
            </w:r>
          </w:p>
        </w:tc>
      </w:tr>
      <w:tr w:rsidR="0017274A" w14:paraId="47740082"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784E9A11" w14:textId="77777777" w:rsidR="0017274A" w:rsidRDefault="009552BA" w:rsidP="00BC5B02">
            <w:pPr>
              <w:pStyle w:val="TableText"/>
            </w:pPr>
            <w:r>
              <w:t>Serve as liaison and maintain and monitor</w:t>
            </w:r>
            <w:r w:rsidR="0017274A">
              <w:t xml:space="preserve"> contact between youth and family</w:t>
            </w:r>
            <w:r w:rsidR="00F6514A">
              <w:t xml:space="preserve"> members</w:t>
            </w:r>
            <w:r w:rsidR="0017274A">
              <w:t>, probation officers, treatment providers, employers</w:t>
            </w:r>
            <w:r w:rsidR="00F6514A">
              <w:t>,</w:t>
            </w:r>
            <w:r w:rsidR="0017274A">
              <w:t xml:space="preserve"> etc.</w:t>
            </w:r>
          </w:p>
        </w:tc>
        <w:tc>
          <w:tcPr>
            <w:tcW w:w="1350" w:type="dxa"/>
            <w:vAlign w:val="center"/>
          </w:tcPr>
          <w:p w14:paraId="7A797888" w14:textId="77777777" w:rsidR="0017274A" w:rsidRDefault="00715B04" w:rsidP="00E74F2F">
            <w:pPr>
              <w:jc w:val="center"/>
            </w:pPr>
            <w:r w:rsidRPr="006B38E0">
              <w:rPr>
                <w:b/>
                <w:color w:val="E36C0A" w:themeColor="accent6" w:themeShade="BF"/>
              </w:rPr>
              <w:sym w:font="Wingdings 2" w:char="F050"/>
            </w:r>
          </w:p>
        </w:tc>
        <w:tc>
          <w:tcPr>
            <w:tcW w:w="2216" w:type="dxa"/>
            <w:vAlign w:val="center"/>
          </w:tcPr>
          <w:p w14:paraId="2111EB13" w14:textId="77777777" w:rsidR="0017274A" w:rsidRDefault="00715B04" w:rsidP="00E74F2F">
            <w:pPr>
              <w:jc w:val="center"/>
            </w:pPr>
            <w:r w:rsidRPr="006B38E0">
              <w:rPr>
                <w:b/>
                <w:color w:val="E36C0A" w:themeColor="accent6" w:themeShade="BF"/>
              </w:rPr>
              <w:sym w:font="Wingdings 2" w:char="F050"/>
            </w:r>
          </w:p>
        </w:tc>
      </w:tr>
      <w:tr w:rsidR="003D2C36" w14:paraId="1B78BDF3" w14:textId="77777777" w:rsidTr="003C6314">
        <w:tc>
          <w:tcPr>
            <w:tcW w:w="5906" w:type="dxa"/>
          </w:tcPr>
          <w:p w14:paraId="48445571" w14:textId="77777777" w:rsidR="003D2C36" w:rsidRDefault="00F6514A" w:rsidP="00F6514A">
            <w:pPr>
              <w:pStyle w:val="TableText"/>
            </w:pPr>
            <w:r>
              <w:t>Monitor youth</w:t>
            </w:r>
            <w:r w:rsidR="003D2C36">
              <w:t xml:space="preserve"> savings and bank accounts; track and receive all incoming and outgoing funds</w:t>
            </w:r>
          </w:p>
        </w:tc>
        <w:tc>
          <w:tcPr>
            <w:tcW w:w="1350" w:type="dxa"/>
            <w:vAlign w:val="center"/>
          </w:tcPr>
          <w:p w14:paraId="008E9E35" w14:textId="77777777" w:rsidR="003D2C36" w:rsidRDefault="003D2C36" w:rsidP="00E74F2F">
            <w:pPr>
              <w:jc w:val="center"/>
            </w:pPr>
          </w:p>
        </w:tc>
        <w:tc>
          <w:tcPr>
            <w:tcW w:w="2216" w:type="dxa"/>
            <w:vAlign w:val="center"/>
          </w:tcPr>
          <w:p w14:paraId="7A57F5AC" w14:textId="77777777" w:rsidR="003D2C36" w:rsidRDefault="00715B04" w:rsidP="00E74F2F">
            <w:pPr>
              <w:jc w:val="center"/>
            </w:pPr>
            <w:r w:rsidRPr="006B38E0">
              <w:rPr>
                <w:b/>
                <w:color w:val="E36C0A" w:themeColor="accent6" w:themeShade="BF"/>
              </w:rPr>
              <w:sym w:font="Wingdings 2" w:char="F050"/>
            </w:r>
          </w:p>
        </w:tc>
      </w:tr>
      <w:tr w:rsidR="003D2C36" w14:paraId="15CE6DD8" w14:textId="77777777" w:rsidTr="003C6314">
        <w:trPr>
          <w:cnfStyle w:val="000000100000" w:firstRow="0" w:lastRow="0" w:firstColumn="0" w:lastColumn="0" w:oddVBand="0" w:evenVBand="0" w:oddHBand="1" w:evenHBand="0" w:firstRowFirstColumn="0" w:firstRowLastColumn="0" w:lastRowFirstColumn="0" w:lastRowLastColumn="0"/>
        </w:trPr>
        <w:tc>
          <w:tcPr>
            <w:tcW w:w="5906" w:type="dxa"/>
          </w:tcPr>
          <w:p w14:paraId="021BD90A" w14:textId="77777777" w:rsidR="003D2C36" w:rsidRDefault="003D2C36" w:rsidP="00BC5B02">
            <w:pPr>
              <w:pStyle w:val="TableText"/>
            </w:pPr>
            <w:r>
              <w:t>Maintain daily log of events and observations</w:t>
            </w:r>
          </w:p>
        </w:tc>
        <w:tc>
          <w:tcPr>
            <w:tcW w:w="1350" w:type="dxa"/>
            <w:vAlign w:val="center"/>
          </w:tcPr>
          <w:p w14:paraId="01620C3C" w14:textId="77777777" w:rsidR="003D2C36" w:rsidRDefault="00715B04" w:rsidP="00E74F2F">
            <w:pPr>
              <w:jc w:val="center"/>
            </w:pPr>
            <w:r w:rsidRPr="006B38E0">
              <w:rPr>
                <w:b/>
                <w:color w:val="E36C0A" w:themeColor="accent6" w:themeShade="BF"/>
              </w:rPr>
              <w:sym w:font="Wingdings 2" w:char="F050"/>
            </w:r>
          </w:p>
        </w:tc>
        <w:tc>
          <w:tcPr>
            <w:tcW w:w="2216" w:type="dxa"/>
            <w:vAlign w:val="center"/>
          </w:tcPr>
          <w:p w14:paraId="297C04BC" w14:textId="77777777" w:rsidR="003D2C36" w:rsidRDefault="00715B04" w:rsidP="00E74F2F">
            <w:pPr>
              <w:jc w:val="center"/>
            </w:pPr>
            <w:r w:rsidRPr="006B38E0">
              <w:rPr>
                <w:b/>
                <w:color w:val="E36C0A" w:themeColor="accent6" w:themeShade="BF"/>
              </w:rPr>
              <w:sym w:font="Wingdings 2" w:char="F050"/>
            </w:r>
          </w:p>
        </w:tc>
      </w:tr>
      <w:tr w:rsidR="00E74F2F" w14:paraId="3C95AE22" w14:textId="77777777" w:rsidTr="003C6314">
        <w:tc>
          <w:tcPr>
            <w:tcW w:w="5906" w:type="dxa"/>
          </w:tcPr>
          <w:p w14:paraId="2B58BE17" w14:textId="77777777" w:rsidR="00E74F2F" w:rsidRDefault="009552BA" w:rsidP="00BC5B02">
            <w:pPr>
              <w:pStyle w:val="TableText"/>
            </w:pPr>
            <w:r>
              <w:t>Arrange, support and monitor family visits</w:t>
            </w:r>
          </w:p>
        </w:tc>
        <w:tc>
          <w:tcPr>
            <w:tcW w:w="1350" w:type="dxa"/>
            <w:vAlign w:val="center"/>
          </w:tcPr>
          <w:p w14:paraId="0681468C" w14:textId="77777777" w:rsidR="00E74F2F" w:rsidRDefault="00715B04" w:rsidP="00E74F2F">
            <w:pPr>
              <w:jc w:val="center"/>
            </w:pPr>
            <w:r w:rsidRPr="006B38E0">
              <w:rPr>
                <w:b/>
                <w:color w:val="E36C0A" w:themeColor="accent6" w:themeShade="BF"/>
              </w:rPr>
              <w:sym w:font="Wingdings 2" w:char="F050"/>
            </w:r>
          </w:p>
        </w:tc>
        <w:tc>
          <w:tcPr>
            <w:tcW w:w="2216" w:type="dxa"/>
            <w:vAlign w:val="center"/>
          </w:tcPr>
          <w:p w14:paraId="287C1DF3" w14:textId="77777777" w:rsidR="00E74F2F" w:rsidRDefault="00715B04" w:rsidP="00E74F2F">
            <w:pPr>
              <w:jc w:val="center"/>
            </w:pPr>
            <w:r w:rsidRPr="006B38E0">
              <w:rPr>
                <w:b/>
                <w:color w:val="E36C0A" w:themeColor="accent6" w:themeShade="BF"/>
              </w:rPr>
              <w:sym w:font="Wingdings 2" w:char="F050"/>
            </w:r>
          </w:p>
        </w:tc>
      </w:tr>
    </w:tbl>
    <w:p w14:paraId="55462F0C" w14:textId="77777777" w:rsidR="000F7244" w:rsidRPr="000F7244" w:rsidRDefault="002D22B3" w:rsidP="00F42D48">
      <w:pPr>
        <w:pStyle w:val="Heading2"/>
        <w:rPr>
          <w:shd w:val="clear" w:color="auto" w:fill="FFFFFF"/>
        </w:rPr>
      </w:pPr>
      <w:bookmarkStart w:id="26" w:name="_Toc531597483"/>
      <w:r>
        <w:rPr>
          <w:shd w:val="clear" w:color="auto" w:fill="FFFFFF"/>
        </w:rPr>
        <w:t>Rehabilitation</w:t>
      </w:r>
      <w:r w:rsidR="004E1C9A">
        <w:rPr>
          <w:shd w:val="clear" w:color="auto" w:fill="FFFFFF"/>
        </w:rPr>
        <w:t xml:space="preserve"> Model</w:t>
      </w:r>
      <w:bookmarkEnd w:id="26"/>
    </w:p>
    <w:p w14:paraId="0087B5AE" w14:textId="77777777" w:rsidR="00BF151B" w:rsidRDefault="005D5957" w:rsidP="00085E47">
      <w:r w:rsidRPr="008B3EC1">
        <w:rPr>
          <w:shd w:val="clear" w:color="auto" w:fill="FFFFFF"/>
        </w:rPr>
        <w:t>In addition to the daily care and supervision of youth,</w:t>
      </w:r>
      <w:r w:rsidRPr="008B3EC1">
        <w:t xml:space="preserve"> JR staff </w:t>
      </w:r>
      <w:r w:rsidR="00EF533A" w:rsidRPr="008B3EC1">
        <w:t>members also</w:t>
      </w:r>
      <w:r w:rsidRPr="008B3EC1">
        <w:t xml:space="preserve"> </w:t>
      </w:r>
      <w:r w:rsidR="00C45BB5">
        <w:t xml:space="preserve">provide </w:t>
      </w:r>
      <w:r w:rsidRPr="008B3EC1">
        <w:t xml:space="preserve">a transformative experience and pathway to self-sufficiency </w:t>
      </w:r>
      <w:r w:rsidR="00C45BB5">
        <w:t>for youth</w:t>
      </w:r>
      <w:r w:rsidR="00EF533A" w:rsidRPr="008B3EC1">
        <w:t>,</w:t>
      </w:r>
      <w:r w:rsidRPr="008B3EC1">
        <w:t xml:space="preserve"> from commitment through </w:t>
      </w:r>
      <w:r w:rsidR="001A69B5">
        <w:t>reentry</w:t>
      </w:r>
      <w:r w:rsidR="00B70C96" w:rsidRPr="008B3EC1">
        <w:t xml:space="preserve"> </w:t>
      </w:r>
      <w:r w:rsidR="00EF533A" w:rsidRPr="008B3EC1">
        <w:t>in</w:t>
      </w:r>
      <w:r w:rsidR="00B70C96" w:rsidRPr="008B3EC1">
        <w:t xml:space="preserve">to their communities. </w:t>
      </w:r>
      <w:r w:rsidRPr="008B3EC1">
        <w:t>JR services are designed to increase each youth’s pro-social behavior</w:t>
      </w:r>
      <w:r w:rsidR="00EF533A" w:rsidRPr="008B3EC1">
        <w:t>,</w:t>
      </w:r>
      <w:r w:rsidRPr="008B3EC1">
        <w:t xml:space="preserve"> enhance community safety</w:t>
      </w:r>
      <w:r w:rsidR="00EF533A" w:rsidRPr="008B3EC1">
        <w:t>,</w:t>
      </w:r>
      <w:r w:rsidRPr="008B3EC1">
        <w:t xml:space="preserve"> and prepare them for productive </w:t>
      </w:r>
      <w:r w:rsidRPr="002D22B3">
        <w:t xml:space="preserve">lives and a successful future </w:t>
      </w:r>
      <w:r w:rsidR="00EF533A" w:rsidRPr="002D22B3">
        <w:t>after</w:t>
      </w:r>
      <w:r w:rsidRPr="002D22B3">
        <w:t xml:space="preserve"> they leave</w:t>
      </w:r>
      <w:r w:rsidR="00B35C8F" w:rsidRPr="002D22B3">
        <w:t xml:space="preserve">. The overarching model used to treat and rehabilitate juvenile offenders is known as the </w:t>
      </w:r>
      <w:r w:rsidR="00AF70EE" w:rsidRPr="002D22B3">
        <w:t>Rehabilitation Model</w:t>
      </w:r>
      <w:r w:rsidR="00476575">
        <w:t xml:space="preserve">, depicted in Exhibit 4-2. The Rehabilitation Model is often </w:t>
      </w:r>
      <w:r w:rsidR="002D22B3">
        <w:t xml:space="preserve">referred to </w:t>
      </w:r>
      <w:r w:rsidR="00AF70EE" w:rsidRPr="002D22B3">
        <w:t xml:space="preserve">the </w:t>
      </w:r>
      <w:r w:rsidR="00476575">
        <w:t>“</w:t>
      </w:r>
      <w:r w:rsidR="00B35C8F" w:rsidRPr="002D22B3">
        <w:t>Integrated Treatment Model</w:t>
      </w:r>
      <w:r w:rsidR="00476575">
        <w:t>”</w:t>
      </w:r>
      <w:r w:rsidR="00B35C8F" w:rsidRPr="002D22B3">
        <w:t xml:space="preserve"> </w:t>
      </w:r>
      <w:r w:rsidR="00476575">
        <w:t>(</w:t>
      </w:r>
      <w:r w:rsidR="00B35C8F" w:rsidRPr="002D22B3">
        <w:t>ITM</w:t>
      </w:r>
      <w:r w:rsidR="00AF70EE" w:rsidRPr="002D22B3">
        <w:t>)</w:t>
      </w:r>
      <w:r w:rsidR="00476575">
        <w:t xml:space="preserve">. </w:t>
      </w:r>
    </w:p>
    <w:p w14:paraId="71519146" w14:textId="77777777" w:rsidR="00BF151B" w:rsidRDefault="00BF151B" w:rsidP="00BF151B">
      <w:pPr>
        <w:pStyle w:val="Caption"/>
      </w:pPr>
      <w:r>
        <w:t xml:space="preserve">Exhibit </w:t>
      </w:r>
      <w:r w:rsidR="00DD4F6B">
        <w:t>4</w:t>
      </w:r>
      <w:r>
        <w:t xml:space="preserve">-2. </w:t>
      </w:r>
      <w:r w:rsidR="00AF70EE">
        <w:t>Rehabilitation</w:t>
      </w:r>
      <w:r>
        <w:t xml:space="preserve"> Model </w:t>
      </w:r>
    </w:p>
    <w:p w14:paraId="613F2C0E" w14:textId="77777777" w:rsidR="00BF151B" w:rsidRDefault="00BF151B" w:rsidP="00BF151B">
      <w:pPr>
        <w:jc w:val="center"/>
      </w:pPr>
      <w:r w:rsidRPr="00BF151B">
        <w:rPr>
          <w:noProof/>
        </w:rPr>
        <w:drawing>
          <wp:inline distT="0" distB="0" distL="0" distR="0" wp14:anchorId="6C800335" wp14:editId="06080397">
            <wp:extent cx="5943600" cy="34372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437263"/>
                    </a:xfrm>
                    <a:prstGeom prst="rect">
                      <a:avLst/>
                    </a:prstGeom>
                    <a:noFill/>
                    <a:ln>
                      <a:noFill/>
                    </a:ln>
                  </pic:spPr>
                </pic:pic>
              </a:graphicData>
            </a:graphic>
          </wp:inline>
        </w:drawing>
      </w:r>
    </w:p>
    <w:p w14:paraId="4F8A039B" w14:textId="77777777" w:rsidR="008B3EC1" w:rsidRDefault="00B35C8F" w:rsidP="00085E47">
      <w:pPr>
        <w:rPr>
          <w:highlight w:val="yellow"/>
        </w:rPr>
      </w:pPr>
      <w:r w:rsidRPr="008B3EC1">
        <w:lastRenderedPageBreak/>
        <w:t xml:space="preserve">The </w:t>
      </w:r>
      <w:r w:rsidR="00AF70EE">
        <w:t>Rehabilitation Model</w:t>
      </w:r>
      <w:r w:rsidRPr="008B3EC1">
        <w:t xml:space="preserve"> and supportive case management encompass </w:t>
      </w:r>
      <w:r w:rsidR="00C45BB5">
        <w:t xml:space="preserve">the following </w:t>
      </w:r>
      <w:r w:rsidRPr="008B3EC1">
        <w:t xml:space="preserve">three overarching </w:t>
      </w:r>
      <w:r w:rsidR="001A0A94" w:rsidRPr="008B3EC1">
        <w:t>elements</w:t>
      </w:r>
      <w:r w:rsidR="00911B1D" w:rsidRPr="008B3EC1">
        <w:t>:</w:t>
      </w:r>
    </w:p>
    <w:p w14:paraId="7CB92812" w14:textId="77777777" w:rsidR="001A0A94" w:rsidRDefault="00085E47" w:rsidP="008B3EC1">
      <w:pPr>
        <w:pStyle w:val="NumberedList"/>
      </w:pPr>
      <w:r>
        <w:t>Primary Treatment</w:t>
      </w:r>
      <w:r w:rsidR="001A0A94">
        <w:t xml:space="preserve">;  </w:t>
      </w:r>
    </w:p>
    <w:p w14:paraId="664347C7" w14:textId="77777777" w:rsidR="001A0A94" w:rsidRDefault="00085E47" w:rsidP="008B3EC1">
      <w:pPr>
        <w:pStyle w:val="NumberedList"/>
      </w:pPr>
      <w:r>
        <w:t xml:space="preserve">Key </w:t>
      </w:r>
      <w:r w:rsidR="001A0A94">
        <w:t>Programs and Services; and</w:t>
      </w:r>
    </w:p>
    <w:p w14:paraId="3E258645" w14:textId="77777777" w:rsidR="00B35C8F" w:rsidRDefault="0087719A" w:rsidP="008B3EC1">
      <w:pPr>
        <w:pStyle w:val="NumberedList"/>
      </w:pPr>
      <w:r>
        <w:t xml:space="preserve">Reentry </w:t>
      </w:r>
      <w:r w:rsidR="00085E47">
        <w:t>Planning</w:t>
      </w:r>
      <w:r w:rsidR="00911B1D">
        <w:t>.</w:t>
      </w:r>
      <w:r w:rsidR="00B35C8F">
        <w:t xml:space="preserve"> </w:t>
      </w:r>
    </w:p>
    <w:p w14:paraId="409CCAE6" w14:textId="77777777" w:rsidR="003D492B" w:rsidRDefault="003D492B" w:rsidP="003D492B">
      <w:pPr>
        <w:pStyle w:val="Heading3"/>
      </w:pPr>
      <w:bookmarkStart w:id="27" w:name="_Toc531597484"/>
      <w:r>
        <w:t>Primary Treatment</w:t>
      </w:r>
      <w:bookmarkEnd w:id="27"/>
    </w:p>
    <w:p w14:paraId="5A20BE7B" w14:textId="77777777" w:rsidR="004C75A6" w:rsidRPr="002D22B3" w:rsidRDefault="00B36AFD" w:rsidP="00767F4B">
      <w:r w:rsidRPr="002D22B3">
        <w:t>Dialectical Behavior</w:t>
      </w:r>
      <w:r w:rsidR="00B35C8F" w:rsidRPr="002D22B3">
        <w:t xml:space="preserve"> </w:t>
      </w:r>
      <w:r w:rsidR="00643CFD" w:rsidRPr="002D22B3">
        <w:t>T</w:t>
      </w:r>
      <w:r w:rsidR="00B35C8F" w:rsidRPr="002D22B3">
        <w:t>herapy</w:t>
      </w:r>
      <w:r w:rsidR="00643CFD" w:rsidRPr="002D22B3">
        <w:t xml:space="preserve"> (DBT),</w:t>
      </w:r>
      <w:r w:rsidR="00B35C8F" w:rsidRPr="002D22B3">
        <w:t xml:space="preserve"> which is a </w:t>
      </w:r>
      <w:r w:rsidR="003D492B" w:rsidRPr="002D22B3">
        <w:t>research</w:t>
      </w:r>
      <w:r w:rsidR="00B35C8F" w:rsidRPr="002D22B3">
        <w:t xml:space="preserve">-based treatment, is </w:t>
      </w:r>
      <w:r w:rsidR="00623798" w:rsidRPr="002D22B3">
        <w:t>at the foundation</w:t>
      </w:r>
      <w:r w:rsidR="00B35C8F" w:rsidRPr="002D22B3">
        <w:t xml:space="preserve"> of the</w:t>
      </w:r>
      <w:r w:rsidR="00623798" w:rsidRPr="002D22B3">
        <w:t xml:space="preserve"> </w:t>
      </w:r>
      <w:r w:rsidR="00AF70EE" w:rsidRPr="002D22B3">
        <w:t xml:space="preserve">primary </w:t>
      </w:r>
      <w:r>
        <w:t xml:space="preserve">residential </w:t>
      </w:r>
      <w:r w:rsidR="00623798" w:rsidRPr="002D22B3">
        <w:t>treatment component of the</w:t>
      </w:r>
      <w:r w:rsidR="00BF151B" w:rsidRPr="002D22B3">
        <w:t xml:space="preserve"> </w:t>
      </w:r>
      <w:r w:rsidR="00AF70EE" w:rsidRPr="002D22B3">
        <w:t>Rehabilitation Model</w:t>
      </w:r>
      <w:r w:rsidR="00B35C8F" w:rsidRPr="002D22B3">
        <w:t>.</w:t>
      </w:r>
      <w:r w:rsidR="00B35C8F" w:rsidRPr="002D22B3">
        <w:rPr>
          <w:rStyle w:val="FootnoteReference"/>
        </w:rPr>
        <w:footnoteReference w:id="39"/>
      </w:r>
      <w:r w:rsidR="003D492B" w:rsidRPr="002D22B3">
        <w:t xml:space="preserve"> </w:t>
      </w:r>
      <w:r w:rsidR="00B35C8F" w:rsidRPr="002D22B3">
        <w:t>DBT blends cognitive and behavioral theory to address both external behaviors and internal thought process</w:t>
      </w:r>
      <w:r w:rsidR="00643CFD" w:rsidRPr="002D22B3">
        <w:t>es</w:t>
      </w:r>
      <w:r w:rsidR="00911B1D" w:rsidRPr="002D22B3">
        <w:t xml:space="preserve"> and</w:t>
      </w:r>
      <w:r w:rsidR="00B35C8F" w:rsidRPr="002D22B3">
        <w:t xml:space="preserve"> foster </w:t>
      </w:r>
      <w:r w:rsidR="00911B1D" w:rsidRPr="002D22B3">
        <w:t xml:space="preserve">the </w:t>
      </w:r>
      <w:r w:rsidR="00B35C8F" w:rsidRPr="002D22B3">
        <w:t xml:space="preserve">development of </w:t>
      </w:r>
      <w:r w:rsidR="0087719A" w:rsidRPr="002D22B3">
        <w:t xml:space="preserve">skills and </w:t>
      </w:r>
      <w:r w:rsidR="00B35C8F" w:rsidRPr="002D22B3">
        <w:t xml:space="preserve">pro-social behaviors. The model focuses on </w:t>
      </w:r>
      <w:r w:rsidR="001C6DA9" w:rsidRPr="002D22B3">
        <w:t xml:space="preserve">counselors </w:t>
      </w:r>
      <w:r w:rsidR="004C75A6" w:rsidRPr="002D22B3">
        <w:t xml:space="preserve">engaging </w:t>
      </w:r>
      <w:r w:rsidR="00B35C8F" w:rsidRPr="002D22B3">
        <w:t>youth in a supportive</w:t>
      </w:r>
      <w:r w:rsidR="00911B1D" w:rsidRPr="002D22B3">
        <w:t>,</w:t>
      </w:r>
      <w:r w:rsidR="00B35C8F" w:rsidRPr="002D22B3">
        <w:t xml:space="preserve"> therapeutic relationship </w:t>
      </w:r>
      <w:r w:rsidR="00911B1D" w:rsidRPr="002D22B3">
        <w:t>in which they</w:t>
      </w:r>
      <w:r w:rsidR="00B35C8F" w:rsidRPr="002D22B3">
        <w:t xml:space="preserve"> examine target behaviors </w:t>
      </w:r>
      <w:r w:rsidR="00911B1D" w:rsidRPr="002D22B3">
        <w:t>to</w:t>
      </w:r>
      <w:r w:rsidR="00B35C8F" w:rsidRPr="002D22B3">
        <w:t xml:space="preserve"> understand the factors </w:t>
      </w:r>
      <w:r w:rsidR="002B2036" w:rsidRPr="002D22B3">
        <w:t>underlying them</w:t>
      </w:r>
      <w:r w:rsidR="00911B1D" w:rsidRPr="002D22B3">
        <w:t xml:space="preserve">. With </w:t>
      </w:r>
      <w:r w:rsidR="002B2036" w:rsidRPr="002D22B3">
        <w:t>these insights,</w:t>
      </w:r>
      <w:r w:rsidR="00911B1D" w:rsidRPr="002D22B3">
        <w:t xml:space="preserve"> youth can</w:t>
      </w:r>
      <w:r w:rsidR="00B35C8F" w:rsidRPr="002D22B3">
        <w:t xml:space="preserve"> identify </w:t>
      </w:r>
      <w:r w:rsidR="002B2036" w:rsidRPr="002D22B3">
        <w:t>approaches</w:t>
      </w:r>
      <w:r w:rsidR="00B35C8F" w:rsidRPr="002D22B3">
        <w:t xml:space="preserve"> to </w:t>
      </w:r>
      <w:r w:rsidR="004C75A6" w:rsidRPr="002D22B3">
        <w:t xml:space="preserve">address </w:t>
      </w:r>
      <w:r w:rsidR="00911B1D" w:rsidRPr="002D22B3">
        <w:t>problematic</w:t>
      </w:r>
      <w:r w:rsidR="00B35C8F" w:rsidRPr="002D22B3">
        <w:t xml:space="preserve"> behaviors and develop</w:t>
      </w:r>
      <w:r w:rsidR="0087719A" w:rsidRPr="002D22B3">
        <w:t xml:space="preserve"> skills and</w:t>
      </w:r>
      <w:r w:rsidR="00B35C8F" w:rsidRPr="002D22B3">
        <w:t xml:space="preserve"> goals that will help them be successful in the community.</w:t>
      </w:r>
      <w:r w:rsidR="00B35C8F" w:rsidRPr="002D22B3">
        <w:rPr>
          <w:rStyle w:val="FootnoteReference"/>
        </w:rPr>
        <w:footnoteReference w:id="40"/>
      </w:r>
      <w:r w:rsidR="00B35C8F" w:rsidRPr="002D22B3">
        <w:t xml:space="preserve"> </w:t>
      </w:r>
    </w:p>
    <w:p w14:paraId="35386839" w14:textId="77777777" w:rsidR="00B35C8F" w:rsidRDefault="001C6DA9" w:rsidP="00767F4B">
      <w:r w:rsidRPr="008B3EC1">
        <w:t xml:space="preserve">Exhibit </w:t>
      </w:r>
      <w:r w:rsidR="00DD4F6B">
        <w:t>4</w:t>
      </w:r>
      <w:r w:rsidRPr="008B3EC1">
        <w:t>-3</w:t>
      </w:r>
      <w:r w:rsidR="002B2036" w:rsidRPr="008B3EC1">
        <w:t xml:space="preserve"> provides an</w:t>
      </w:r>
      <w:r w:rsidR="00B35C8F" w:rsidRPr="008B3EC1">
        <w:t xml:space="preserve"> overview of the DBT </w:t>
      </w:r>
      <w:r w:rsidR="004C75A6">
        <w:t>s</w:t>
      </w:r>
      <w:r w:rsidR="00B35C8F" w:rsidRPr="008B3EC1">
        <w:t xml:space="preserve">tandards that guide </w:t>
      </w:r>
      <w:r w:rsidR="002B2036" w:rsidRPr="008B3EC1">
        <w:t xml:space="preserve">the </w:t>
      </w:r>
      <w:r w:rsidR="00B35C8F" w:rsidRPr="008B3EC1">
        <w:t xml:space="preserve">work of </w:t>
      </w:r>
      <w:r w:rsidR="002B2036" w:rsidRPr="008B3EC1">
        <w:t xml:space="preserve">the </w:t>
      </w:r>
      <w:r w:rsidR="00085E47">
        <w:t>Juvenile Rehabil</w:t>
      </w:r>
      <w:r w:rsidR="007E250F">
        <w:t xml:space="preserve">itation Residential Counselors </w:t>
      </w:r>
      <w:r w:rsidR="00085E47">
        <w:t>(</w:t>
      </w:r>
      <w:r w:rsidR="00B35C8F" w:rsidRPr="008B3EC1">
        <w:t>JR</w:t>
      </w:r>
      <w:r w:rsidR="00085E47">
        <w:t>R</w:t>
      </w:r>
      <w:r w:rsidR="00B35C8F" w:rsidRPr="008B3EC1">
        <w:t>C</w:t>
      </w:r>
      <w:r w:rsidR="00085E47">
        <w:t>s)</w:t>
      </w:r>
      <w:r w:rsidR="00B35C8F" w:rsidRPr="008B3EC1">
        <w:t xml:space="preserve"> and </w:t>
      </w:r>
      <w:r w:rsidR="00085E47">
        <w:t>Juvenile Rehabilitation Counselor Assistants (</w:t>
      </w:r>
      <w:r w:rsidR="00B35C8F" w:rsidRPr="008B3EC1">
        <w:t>JRCAs</w:t>
      </w:r>
      <w:r w:rsidR="00085E47">
        <w:t>)</w:t>
      </w:r>
      <w:r w:rsidR="00B35C8F" w:rsidRPr="008B3EC1">
        <w:t xml:space="preserve">. </w:t>
      </w:r>
      <w:r w:rsidR="00B70C96" w:rsidRPr="008B3EC1">
        <w:t>All staff are</w:t>
      </w:r>
      <w:r w:rsidR="00B35C8F" w:rsidRPr="008B3EC1">
        <w:t xml:space="preserve"> expected to use DBT strategies</w:t>
      </w:r>
      <w:r w:rsidR="00085E47">
        <w:t>,</w:t>
      </w:r>
      <w:r w:rsidR="00623798">
        <w:t xml:space="preserve"> </w:t>
      </w:r>
      <w:r w:rsidR="00B35C8F" w:rsidRPr="008B3EC1">
        <w:t>principles</w:t>
      </w:r>
      <w:r w:rsidR="00085E47">
        <w:t>,</w:t>
      </w:r>
      <w:r w:rsidR="0087719A">
        <w:t xml:space="preserve"> and skills</w:t>
      </w:r>
      <w:r w:rsidR="00B35C8F" w:rsidRPr="008B3EC1">
        <w:t xml:space="preserve"> when working in the milieu (anywhere youth are </w:t>
      </w:r>
      <w:r w:rsidR="002B77F9" w:rsidRPr="008B3EC1">
        <w:t xml:space="preserve">present: </w:t>
      </w:r>
      <w:r w:rsidR="00B35C8F" w:rsidRPr="008B3EC1">
        <w:t xml:space="preserve">in their room, on the floor, </w:t>
      </w:r>
      <w:r w:rsidR="00DB7E31">
        <w:t xml:space="preserve">common areas </w:t>
      </w:r>
      <w:r w:rsidR="00B35C8F" w:rsidRPr="008B3EC1">
        <w:t>wher</w:t>
      </w:r>
      <w:r w:rsidR="000B3AD8" w:rsidRPr="008B3EC1">
        <w:t xml:space="preserve">e they eat meals, </w:t>
      </w:r>
      <w:r w:rsidR="002B77F9" w:rsidRPr="008B3EC1">
        <w:t xml:space="preserve">and when they are </w:t>
      </w:r>
      <w:r w:rsidR="000B3AD8" w:rsidRPr="008B3EC1">
        <w:t>transitioning</w:t>
      </w:r>
      <w:r w:rsidR="002B77F9" w:rsidRPr="008B3EC1">
        <w:t xml:space="preserve"> between spaces</w:t>
      </w:r>
      <w:r w:rsidR="003C6314" w:rsidRPr="008B3EC1">
        <w:t>).</w:t>
      </w:r>
    </w:p>
    <w:p w14:paraId="50032FFE" w14:textId="77777777" w:rsidR="00767F4B" w:rsidRPr="00131649" w:rsidRDefault="001C6DA9" w:rsidP="001C6DA9">
      <w:pPr>
        <w:pStyle w:val="Caption"/>
      </w:pPr>
      <w:r>
        <w:t xml:space="preserve">Exhibit </w:t>
      </w:r>
      <w:r w:rsidR="00EC62E5">
        <w:rPr>
          <w:noProof/>
        </w:rPr>
        <w:fldChar w:fldCharType="begin"/>
      </w:r>
      <w:r w:rsidR="00EC62E5">
        <w:rPr>
          <w:noProof/>
        </w:rPr>
        <w:instrText xml:space="preserve"> STYLEREF 1 \s </w:instrText>
      </w:r>
      <w:r w:rsidR="00EC62E5">
        <w:rPr>
          <w:noProof/>
        </w:rPr>
        <w:fldChar w:fldCharType="separate"/>
      </w:r>
      <w:r w:rsidR="00FD2536">
        <w:rPr>
          <w:noProof/>
        </w:rPr>
        <w:t>4</w:t>
      </w:r>
      <w:r w:rsidR="00EC62E5">
        <w:rPr>
          <w:noProof/>
        </w:rPr>
        <w:fldChar w:fldCharType="end"/>
      </w:r>
      <w:r>
        <w:noBreakHyphen/>
      </w:r>
      <w:r w:rsidR="00DD4F6B">
        <w:t>3</w:t>
      </w:r>
      <w:r w:rsidR="00E251C1">
        <w:t>.</w:t>
      </w:r>
      <w:r>
        <w:t xml:space="preserve"> </w:t>
      </w:r>
      <w:r w:rsidR="00767F4B">
        <w:t>Dialectical Behavior Therapy (DBT) Standards</w:t>
      </w:r>
    </w:p>
    <w:tbl>
      <w:tblPr>
        <w:tblStyle w:val="HyzerTable"/>
        <w:tblW w:w="9061" w:type="dxa"/>
        <w:tblLayout w:type="fixed"/>
        <w:tblLook w:val="0420" w:firstRow="1" w:lastRow="0" w:firstColumn="0" w:lastColumn="0" w:noHBand="0" w:noVBand="1"/>
      </w:tblPr>
      <w:tblGrid>
        <w:gridCol w:w="1651"/>
        <w:gridCol w:w="7410"/>
      </w:tblGrid>
      <w:tr w:rsidR="00767F4B" w:rsidRPr="00CD1826" w14:paraId="623EB3F7" w14:textId="77777777" w:rsidTr="00BC5B02">
        <w:trPr>
          <w:cnfStyle w:val="100000000000" w:firstRow="1" w:lastRow="0" w:firstColumn="0" w:lastColumn="0" w:oddVBand="0" w:evenVBand="0" w:oddHBand="0" w:evenHBand="0" w:firstRowFirstColumn="0" w:firstRowLastColumn="0" w:lastRowFirstColumn="0" w:lastRowLastColumn="0"/>
          <w:tblHeader/>
        </w:trPr>
        <w:tc>
          <w:tcPr>
            <w:tcW w:w="1651" w:type="dxa"/>
          </w:tcPr>
          <w:p w14:paraId="25550296" w14:textId="77777777" w:rsidR="00767F4B" w:rsidRPr="005C3DC2" w:rsidRDefault="00767F4B" w:rsidP="003C6314">
            <w:pPr>
              <w:pStyle w:val="tableheaderwhite"/>
              <w:keepNext/>
              <w:spacing w:before="0"/>
              <w:rPr>
                <w:sz w:val="22"/>
              </w:rPr>
            </w:pPr>
            <w:r w:rsidRPr="1FF1B213">
              <w:rPr>
                <w:sz w:val="22"/>
                <w:szCs w:val="22"/>
              </w:rPr>
              <w:t>Standard</w:t>
            </w:r>
          </w:p>
          <w:p w14:paraId="4950E9C4" w14:textId="77777777" w:rsidR="00767F4B" w:rsidRPr="005C3DC2" w:rsidRDefault="00767F4B" w:rsidP="003C6314">
            <w:pPr>
              <w:pStyle w:val="tableheaderwhite"/>
              <w:keepNext/>
              <w:spacing w:before="0"/>
              <w:rPr>
                <w:sz w:val="22"/>
              </w:rPr>
            </w:pPr>
            <w:r w:rsidRPr="1FF1B213">
              <w:rPr>
                <w:sz w:val="22"/>
                <w:szCs w:val="22"/>
              </w:rPr>
              <w:t>Effective Date</w:t>
            </w:r>
          </w:p>
        </w:tc>
        <w:tc>
          <w:tcPr>
            <w:tcW w:w="7410" w:type="dxa"/>
          </w:tcPr>
          <w:p w14:paraId="4024E3A9" w14:textId="77777777" w:rsidR="00767F4B" w:rsidRPr="005C3DC2" w:rsidRDefault="00767F4B" w:rsidP="003C6314">
            <w:pPr>
              <w:pStyle w:val="tableheaderwhite"/>
              <w:keepNext/>
              <w:rPr>
                <w:sz w:val="22"/>
              </w:rPr>
            </w:pPr>
            <w:r w:rsidRPr="1FF1B213">
              <w:rPr>
                <w:sz w:val="22"/>
                <w:szCs w:val="22"/>
              </w:rPr>
              <w:t>Key Requirements</w:t>
            </w:r>
          </w:p>
        </w:tc>
      </w:tr>
      <w:tr w:rsidR="00767F4B" w:rsidRPr="00CD1826" w14:paraId="5A19E1CF" w14:textId="77777777" w:rsidTr="003C6314">
        <w:trPr>
          <w:cnfStyle w:val="000000100000" w:firstRow="0" w:lastRow="0" w:firstColumn="0" w:lastColumn="0" w:oddVBand="0" w:evenVBand="0" w:oddHBand="1" w:evenHBand="0" w:firstRowFirstColumn="0" w:firstRowLastColumn="0" w:lastRowFirstColumn="0" w:lastRowLastColumn="0"/>
        </w:trPr>
        <w:tc>
          <w:tcPr>
            <w:tcW w:w="1651" w:type="dxa"/>
          </w:tcPr>
          <w:p w14:paraId="1A8B0850" w14:textId="77777777" w:rsidR="00767F4B" w:rsidRDefault="00767F4B" w:rsidP="003C6314">
            <w:pPr>
              <w:pStyle w:val="TableText"/>
              <w:keepNext/>
              <w:spacing w:before="0" w:after="0"/>
            </w:pPr>
            <w:r>
              <w:t>DBT Standard 01:</w:t>
            </w:r>
          </w:p>
          <w:p w14:paraId="62CAA905" w14:textId="77777777" w:rsidR="00767F4B" w:rsidRPr="002D2D1C" w:rsidRDefault="00767F4B" w:rsidP="003C6314">
            <w:pPr>
              <w:pStyle w:val="TableText"/>
              <w:keepNext/>
              <w:spacing w:before="0" w:after="0"/>
              <w:rPr>
                <w:b/>
              </w:rPr>
            </w:pPr>
            <w:r w:rsidRPr="002D2D1C">
              <w:rPr>
                <w:b/>
              </w:rPr>
              <w:t>Individual Client Sessions</w:t>
            </w:r>
          </w:p>
          <w:p w14:paraId="13C31B5B" w14:textId="77777777" w:rsidR="00767F4B" w:rsidRPr="00CD1826" w:rsidRDefault="00767F4B" w:rsidP="003C6314">
            <w:pPr>
              <w:pStyle w:val="TableText"/>
              <w:keepNext/>
              <w:spacing w:before="0" w:after="0"/>
            </w:pPr>
            <w:r>
              <w:t>(February 1,</w:t>
            </w:r>
            <w:r w:rsidR="003C63F7">
              <w:t xml:space="preserve"> </w:t>
            </w:r>
            <w:r>
              <w:t>2017)</w:t>
            </w:r>
          </w:p>
        </w:tc>
        <w:tc>
          <w:tcPr>
            <w:tcW w:w="7410" w:type="dxa"/>
          </w:tcPr>
          <w:p w14:paraId="3EFD332C" w14:textId="77777777" w:rsidR="00767F4B" w:rsidRDefault="001C6DA9" w:rsidP="003C6314">
            <w:pPr>
              <w:pStyle w:val="TableBullet"/>
              <w:ind w:left="216" w:hanging="216"/>
            </w:pPr>
            <w:r w:rsidRPr="001C6DA9">
              <w:t>Conduct</w:t>
            </w:r>
            <w:r>
              <w:rPr>
                <w:b/>
              </w:rPr>
              <w:t xml:space="preserve"> </w:t>
            </w:r>
            <w:r w:rsidR="003C63F7">
              <w:rPr>
                <w:b/>
              </w:rPr>
              <w:t>1</w:t>
            </w:r>
            <w:r w:rsidR="00767F4B" w:rsidRPr="002E3D56">
              <w:rPr>
                <w:b/>
              </w:rPr>
              <w:t xml:space="preserve"> </w:t>
            </w:r>
            <w:r>
              <w:rPr>
                <w:b/>
              </w:rPr>
              <w:t xml:space="preserve">counseling </w:t>
            </w:r>
            <w:r w:rsidR="00767F4B" w:rsidRPr="002E3D56">
              <w:rPr>
                <w:b/>
              </w:rPr>
              <w:t>session (minimum) per week</w:t>
            </w:r>
            <w:r w:rsidR="00767F4B">
              <w:t xml:space="preserve">, typically for </w:t>
            </w:r>
            <w:r w:rsidR="003C63F7">
              <w:rPr>
                <w:b/>
              </w:rPr>
              <w:t>1</w:t>
            </w:r>
            <w:r w:rsidR="00767F4B" w:rsidRPr="002E3D56">
              <w:rPr>
                <w:b/>
              </w:rPr>
              <w:t xml:space="preserve"> hour</w:t>
            </w:r>
          </w:p>
          <w:p w14:paraId="12A0F2E8" w14:textId="77777777" w:rsidR="00767F4B" w:rsidRDefault="00767F4B" w:rsidP="003C6314">
            <w:pPr>
              <w:pStyle w:val="TableBullet"/>
              <w:ind w:left="216" w:hanging="216"/>
            </w:pPr>
            <w:r>
              <w:t>Repair relationship while on milieu during the week, if needed</w:t>
            </w:r>
          </w:p>
          <w:p w14:paraId="4393728B" w14:textId="77777777" w:rsidR="00767F4B" w:rsidRDefault="00767F4B" w:rsidP="003C6314">
            <w:pPr>
              <w:pStyle w:val="TableBullet"/>
              <w:ind w:left="216" w:hanging="216"/>
            </w:pPr>
            <w:r>
              <w:t xml:space="preserve">Conduct check-ins between sessions to ensure </w:t>
            </w:r>
            <w:r w:rsidR="00D71184">
              <w:t xml:space="preserve">acquisition and </w:t>
            </w:r>
            <w:r>
              <w:t>generalization of skills</w:t>
            </w:r>
          </w:p>
          <w:p w14:paraId="0A9E042F" w14:textId="77777777" w:rsidR="00767F4B" w:rsidRDefault="00767F4B" w:rsidP="003C6314">
            <w:pPr>
              <w:pStyle w:val="TableBullet"/>
              <w:ind w:left="216" w:hanging="216"/>
            </w:pPr>
            <w:r>
              <w:t>Check on homework, follow-thro</w:t>
            </w:r>
            <w:r w:rsidR="003C63F7">
              <w:t>ugh with commitments (e.g.</w:t>
            </w:r>
            <w:r w:rsidR="004C75A6">
              <w:t>,</w:t>
            </w:r>
            <w:r w:rsidR="003C63F7">
              <w:t xml:space="preserve"> role-</w:t>
            </w:r>
            <w:r>
              <w:t>play on the floor)</w:t>
            </w:r>
          </w:p>
          <w:p w14:paraId="6B132FB3" w14:textId="77777777" w:rsidR="00767F4B" w:rsidRPr="00CD1826" w:rsidRDefault="00767F4B" w:rsidP="003C6314">
            <w:pPr>
              <w:pStyle w:val="TableBullet"/>
              <w:ind w:left="216" w:hanging="216"/>
            </w:pPr>
            <w:r>
              <w:t>Enter notes for each session into</w:t>
            </w:r>
            <w:r w:rsidR="001C6DA9">
              <w:t xml:space="preserve"> the</w:t>
            </w:r>
            <w:r>
              <w:t xml:space="preserve"> </w:t>
            </w:r>
            <w:r w:rsidR="003C6314">
              <w:t>A</w:t>
            </w:r>
            <w:r w:rsidR="001C6DA9">
              <w:t>utomated Client Tracking (A</w:t>
            </w:r>
            <w:r w:rsidR="003C6314">
              <w:t>CT</w:t>
            </w:r>
            <w:r w:rsidR="001C6DA9">
              <w:t>) system</w:t>
            </w:r>
            <w:r w:rsidR="004C75A6">
              <w:t xml:space="preserve"> </w:t>
            </w:r>
          </w:p>
        </w:tc>
      </w:tr>
      <w:tr w:rsidR="00767F4B" w:rsidRPr="00CD1826" w14:paraId="1CD19597" w14:textId="77777777" w:rsidTr="003C6314">
        <w:tc>
          <w:tcPr>
            <w:tcW w:w="1651" w:type="dxa"/>
          </w:tcPr>
          <w:p w14:paraId="2DF89EBD" w14:textId="77777777" w:rsidR="00767F4B" w:rsidRDefault="00767F4B" w:rsidP="003C6314">
            <w:pPr>
              <w:pStyle w:val="TableBullet"/>
              <w:numPr>
                <w:ilvl w:val="0"/>
                <w:numId w:val="0"/>
              </w:numPr>
              <w:ind w:hanging="18"/>
            </w:pPr>
            <w:r>
              <w:t>DBT Standard 02:</w:t>
            </w:r>
          </w:p>
          <w:p w14:paraId="35EE78A6" w14:textId="77777777" w:rsidR="00767F4B" w:rsidRDefault="00877C58" w:rsidP="003C6314">
            <w:pPr>
              <w:pStyle w:val="TableBullet"/>
              <w:numPr>
                <w:ilvl w:val="0"/>
                <w:numId w:val="0"/>
              </w:numPr>
              <w:ind w:hanging="18"/>
            </w:pPr>
            <w:r>
              <w:rPr>
                <w:b/>
              </w:rPr>
              <w:t xml:space="preserve">Consultation </w:t>
            </w:r>
            <w:r w:rsidR="00767F4B" w:rsidRPr="002D2D1C">
              <w:rPr>
                <w:b/>
              </w:rPr>
              <w:t>Team</w:t>
            </w:r>
            <w:r w:rsidR="00767F4B">
              <w:rPr>
                <w:b/>
              </w:rPr>
              <w:t>s</w:t>
            </w:r>
          </w:p>
          <w:p w14:paraId="189756CB" w14:textId="77777777" w:rsidR="00767F4B" w:rsidRPr="00CD1826" w:rsidRDefault="00767F4B" w:rsidP="003C6314">
            <w:pPr>
              <w:pStyle w:val="TableBullet"/>
              <w:numPr>
                <w:ilvl w:val="0"/>
                <w:numId w:val="0"/>
              </w:numPr>
              <w:ind w:hanging="18"/>
            </w:pPr>
            <w:r>
              <w:t>(February 1, 2017)</w:t>
            </w:r>
          </w:p>
        </w:tc>
        <w:tc>
          <w:tcPr>
            <w:tcW w:w="7410" w:type="dxa"/>
          </w:tcPr>
          <w:p w14:paraId="00E95F19" w14:textId="77777777" w:rsidR="00767F4B" w:rsidRPr="001C6DA9" w:rsidRDefault="00767F4B" w:rsidP="003C6314">
            <w:pPr>
              <w:pStyle w:val="TableBullet"/>
              <w:ind w:left="216" w:hanging="216"/>
            </w:pPr>
            <w:r>
              <w:t xml:space="preserve">Consultation Teams shall meet </w:t>
            </w:r>
            <w:r w:rsidRPr="00E25B90">
              <w:rPr>
                <w:b/>
              </w:rPr>
              <w:t>weekly</w:t>
            </w:r>
            <w:r w:rsidR="001C6DA9">
              <w:rPr>
                <w:b/>
              </w:rPr>
              <w:t xml:space="preserve"> </w:t>
            </w:r>
            <w:r w:rsidR="001C6DA9" w:rsidRPr="001C6DA9">
              <w:t>to enhance capabilities and motivation of counselors</w:t>
            </w:r>
          </w:p>
          <w:p w14:paraId="13F20226" w14:textId="77777777" w:rsidR="00767F4B" w:rsidRDefault="00767F4B" w:rsidP="003C6314">
            <w:pPr>
              <w:pStyle w:val="TableBullet"/>
              <w:ind w:left="216" w:hanging="216"/>
            </w:pPr>
            <w:r>
              <w:t>Prior to their first meeting, counselors must read the D</w:t>
            </w:r>
            <w:r w:rsidR="00A11B65">
              <w:t>BT manual and the skills manual,</w:t>
            </w:r>
            <w:r>
              <w:t xml:space="preserve"> be oriented to the purposes and pra</w:t>
            </w:r>
            <w:r w:rsidR="001C6DA9">
              <w:t>ctices of the Consultation T</w:t>
            </w:r>
            <w:r w:rsidR="00A11B65">
              <w:t>eam, and</w:t>
            </w:r>
            <w:r>
              <w:t xml:space="preserve"> make a commitment to be present and participate at each meeting</w:t>
            </w:r>
          </w:p>
          <w:p w14:paraId="46492AE5" w14:textId="77777777" w:rsidR="00767F4B" w:rsidRPr="00E25B90" w:rsidRDefault="00767F4B" w:rsidP="003C6314">
            <w:pPr>
              <w:pStyle w:val="TableBullet"/>
              <w:ind w:left="216" w:hanging="216"/>
            </w:pPr>
            <w:r>
              <w:t xml:space="preserve">The Consultation Team meeting shall be </w:t>
            </w:r>
            <w:r w:rsidRPr="00E25B90">
              <w:rPr>
                <w:b/>
              </w:rPr>
              <w:t>2 hours</w:t>
            </w:r>
          </w:p>
          <w:p w14:paraId="7FFF7648" w14:textId="77777777" w:rsidR="00767F4B" w:rsidRDefault="00767F4B" w:rsidP="003C6314">
            <w:pPr>
              <w:pStyle w:val="TableBullet"/>
              <w:ind w:left="216" w:hanging="216"/>
            </w:pPr>
            <w:r>
              <w:t>Therapist consultation is the first hour and includes: mindfulness exercise</w:t>
            </w:r>
            <w:r w:rsidR="00A11B65">
              <w:t>; approval of</w:t>
            </w:r>
            <w:r>
              <w:t xml:space="preserve"> mi</w:t>
            </w:r>
            <w:r w:rsidR="00A11B65">
              <w:t>nutes from last meeting; agenda-</w:t>
            </w:r>
            <w:r>
              <w:t>setting and discussion of agenda</w:t>
            </w:r>
            <w:r w:rsidR="00A11B65">
              <w:t>,</w:t>
            </w:r>
            <w:r>
              <w:t xml:space="preserve"> which must</w:t>
            </w:r>
            <w:r w:rsidR="00A11B65">
              <w:t xml:space="preserve"> include skills groups updates; </w:t>
            </w:r>
            <w:r>
              <w:t>follow-up</w:t>
            </w:r>
            <w:r w:rsidR="00A11B65">
              <w:t xml:space="preserve"> on</w:t>
            </w:r>
            <w:r>
              <w:t xml:space="preserve"> items from previous meetings; client attendance</w:t>
            </w:r>
            <w:r w:rsidR="00A11B65">
              <w:t xml:space="preserve"> review and individual sessions;</w:t>
            </w:r>
            <w:r>
              <w:t xml:space="preserve"> update of therapist or client contact information; </w:t>
            </w:r>
            <w:r w:rsidR="00A11B65">
              <w:t xml:space="preserve">details on </w:t>
            </w:r>
            <w:r>
              <w:t>counselors</w:t>
            </w:r>
            <w:r w:rsidR="00A97610">
              <w:t xml:space="preserve"> out of town and needing backup</w:t>
            </w:r>
          </w:p>
          <w:p w14:paraId="06699DA6" w14:textId="77777777" w:rsidR="00767F4B" w:rsidRPr="00E25B90" w:rsidRDefault="00767F4B" w:rsidP="003C6314">
            <w:pPr>
              <w:pStyle w:val="TableBullet"/>
              <w:ind w:left="216" w:hanging="216"/>
            </w:pPr>
            <w:r>
              <w:t xml:space="preserve">The Didactic Discussion is the second hour of the Consultation Team meeting. It will include </w:t>
            </w:r>
            <w:r w:rsidR="00A97610">
              <w:t xml:space="preserve">a </w:t>
            </w:r>
            <w:r>
              <w:t xml:space="preserve">mindfulness exercise and teaching or </w:t>
            </w:r>
            <w:r w:rsidR="004C75A6">
              <w:t>training</w:t>
            </w:r>
            <w:r>
              <w:t xml:space="preserve"> in DBT (50 min.)</w:t>
            </w:r>
            <w:r w:rsidR="00A97610">
              <w:t>,</w:t>
            </w:r>
            <w:r>
              <w:t xml:space="preserve"> such as discus</w:t>
            </w:r>
            <w:r w:rsidR="00A97610">
              <w:t>sion of assigned readings, role-plays</w:t>
            </w:r>
            <w:r>
              <w:t xml:space="preserve"> or skills practice, </w:t>
            </w:r>
            <w:r w:rsidR="004C75A6">
              <w:t xml:space="preserve">videotape </w:t>
            </w:r>
            <w:r>
              <w:t xml:space="preserve">review, </w:t>
            </w:r>
            <w:r w:rsidR="004C75A6">
              <w:t xml:space="preserve">and </w:t>
            </w:r>
            <w:r>
              <w:t>review and discuss</w:t>
            </w:r>
            <w:r w:rsidR="00A97610">
              <w:t>ion of</w:t>
            </w:r>
            <w:r>
              <w:t xml:space="preserve"> available training materials</w:t>
            </w:r>
          </w:p>
        </w:tc>
      </w:tr>
      <w:tr w:rsidR="00767F4B" w:rsidRPr="00CD1826" w14:paraId="7E96614C" w14:textId="77777777" w:rsidTr="003C6314">
        <w:trPr>
          <w:cnfStyle w:val="000000100000" w:firstRow="0" w:lastRow="0" w:firstColumn="0" w:lastColumn="0" w:oddVBand="0" w:evenVBand="0" w:oddHBand="1" w:evenHBand="0" w:firstRowFirstColumn="0" w:firstRowLastColumn="0" w:lastRowFirstColumn="0" w:lastRowLastColumn="0"/>
        </w:trPr>
        <w:tc>
          <w:tcPr>
            <w:tcW w:w="1651" w:type="dxa"/>
          </w:tcPr>
          <w:p w14:paraId="2F6482BF" w14:textId="77777777" w:rsidR="00767F4B" w:rsidRDefault="00767F4B" w:rsidP="00767F4B">
            <w:pPr>
              <w:pStyle w:val="TableText"/>
            </w:pPr>
            <w:r>
              <w:t>DBT Standard 03:</w:t>
            </w:r>
          </w:p>
          <w:p w14:paraId="3DF89867" w14:textId="77777777" w:rsidR="00767F4B" w:rsidRDefault="00767F4B" w:rsidP="00767F4B">
            <w:pPr>
              <w:pStyle w:val="TableText"/>
            </w:pPr>
            <w:r w:rsidRPr="002D2D1C">
              <w:rPr>
                <w:b/>
              </w:rPr>
              <w:lastRenderedPageBreak/>
              <w:t>Milieu Management</w:t>
            </w:r>
          </w:p>
          <w:p w14:paraId="04FB780B" w14:textId="77777777" w:rsidR="00767F4B" w:rsidRDefault="00767F4B" w:rsidP="00767F4B">
            <w:pPr>
              <w:pStyle w:val="TableText"/>
            </w:pPr>
            <w:r>
              <w:t>(February 1, 2017)</w:t>
            </w:r>
          </w:p>
          <w:p w14:paraId="3E39028E" w14:textId="77777777" w:rsidR="00767F4B" w:rsidRPr="00CD1826" w:rsidRDefault="00767F4B" w:rsidP="00767F4B">
            <w:pPr>
              <w:pStyle w:val="TableText"/>
            </w:pPr>
          </w:p>
        </w:tc>
        <w:tc>
          <w:tcPr>
            <w:tcW w:w="7410" w:type="dxa"/>
          </w:tcPr>
          <w:p w14:paraId="2C23E325" w14:textId="77777777" w:rsidR="00767F4B" w:rsidRDefault="00767F4B" w:rsidP="00767F4B">
            <w:pPr>
              <w:pStyle w:val="TableBullet"/>
              <w:keepNext w:val="0"/>
              <w:ind w:left="216" w:hanging="216"/>
            </w:pPr>
            <w:r>
              <w:lastRenderedPageBreak/>
              <w:t>Assure that the milieu is safe, structured, and supportive</w:t>
            </w:r>
          </w:p>
          <w:p w14:paraId="77CDC8F2" w14:textId="77777777" w:rsidR="00767F4B" w:rsidRDefault="00767F4B" w:rsidP="00767F4B">
            <w:pPr>
              <w:pStyle w:val="TableBullet"/>
              <w:keepNext w:val="0"/>
              <w:ind w:left="216" w:hanging="216"/>
            </w:pPr>
            <w:r>
              <w:lastRenderedPageBreak/>
              <w:t>The milieu will feature common structures intended to be supportive of youth development, such as: daily routine, consistent rules, and enjoyable act</w:t>
            </w:r>
            <w:r w:rsidR="00A97610">
              <w:t>ivities</w:t>
            </w:r>
          </w:p>
          <w:p w14:paraId="2CA2E932" w14:textId="77777777" w:rsidR="00767F4B" w:rsidRDefault="00767F4B" w:rsidP="006C3C7C">
            <w:pPr>
              <w:pStyle w:val="TableBullet"/>
              <w:keepNext w:val="0"/>
              <w:ind w:left="216" w:hanging="216"/>
            </w:pPr>
            <w:r>
              <w:t>The milieu must foster effective communication between staff</w:t>
            </w:r>
            <w:r w:rsidR="00A97610">
              <w:t xml:space="preserve"> members</w:t>
            </w:r>
            <w:r>
              <w:t xml:space="preserve"> in order to support the treatment goals and milieu functions. Staff must use a combination of mechanisms to aid communication of relevant information; have structures in place to talk about </w:t>
            </w:r>
            <w:r w:rsidR="00A97610">
              <w:t xml:space="preserve">each </w:t>
            </w:r>
            <w:r>
              <w:t>y</w:t>
            </w:r>
            <w:r w:rsidR="00A97610">
              <w:t>outh’s goals and treatment plan;</w:t>
            </w:r>
            <w:r>
              <w:t xml:space="preserve"> a</w:t>
            </w:r>
            <w:r w:rsidR="001F2EAF">
              <w:t>nd a</w:t>
            </w:r>
            <w:r>
              <w:t xml:space="preserve">ctively talk about </w:t>
            </w:r>
            <w:r w:rsidR="00A97610">
              <w:t xml:space="preserve">each </w:t>
            </w:r>
            <w:r>
              <w:t>youth’s goals and targeted behaviors with a focus on treating b</w:t>
            </w:r>
            <w:r w:rsidR="00A97610">
              <w:t>ehaviors vs. managing behaviors</w:t>
            </w:r>
          </w:p>
          <w:p w14:paraId="00D8F19E" w14:textId="77777777" w:rsidR="00767F4B" w:rsidRDefault="00767F4B" w:rsidP="00767F4B">
            <w:pPr>
              <w:pStyle w:val="TableBullet"/>
              <w:keepNext w:val="0"/>
              <w:ind w:left="216" w:hanging="216"/>
            </w:pPr>
            <w:r>
              <w:t>Staff will apply DBT strategies in the milieu to support youth including motivation and engagement; as</w:t>
            </w:r>
            <w:r w:rsidR="000F336F">
              <w:t>sessment; validation; changing</w:t>
            </w:r>
            <w:r>
              <w:t xml:space="preserve"> strategies; coaching in the moment; cue management removal; and consultation with youth to help them man</w:t>
            </w:r>
            <w:r w:rsidR="000F336F">
              <w:t>a</w:t>
            </w:r>
            <w:r>
              <w:t>ge their environment</w:t>
            </w:r>
          </w:p>
          <w:p w14:paraId="1DB9F4B2" w14:textId="77777777" w:rsidR="00767F4B" w:rsidRDefault="00767F4B" w:rsidP="00767F4B">
            <w:pPr>
              <w:pStyle w:val="TableBullet"/>
              <w:keepNext w:val="0"/>
              <w:ind w:left="216" w:hanging="216"/>
            </w:pPr>
            <w:r>
              <w:t>Stop and treat high</w:t>
            </w:r>
            <w:r w:rsidR="001F2EAF">
              <w:t>-</w:t>
            </w:r>
            <w:r>
              <w:t>level egregious behaviors and behaviors that destroy treatment and shut down the program</w:t>
            </w:r>
          </w:p>
          <w:p w14:paraId="01ED1049" w14:textId="77777777" w:rsidR="00767F4B" w:rsidRPr="00CD1826" w:rsidRDefault="00767F4B" w:rsidP="00767F4B">
            <w:pPr>
              <w:pStyle w:val="TableBullet"/>
              <w:keepNext w:val="0"/>
              <w:ind w:left="216" w:hanging="216"/>
            </w:pPr>
            <w:r>
              <w:t>Observe and address youth and staff interfering behaviors occurring in the milieu</w:t>
            </w:r>
          </w:p>
        </w:tc>
      </w:tr>
      <w:tr w:rsidR="00767F4B" w:rsidRPr="00CD1826" w14:paraId="1852B5E0" w14:textId="77777777" w:rsidTr="003C6314">
        <w:tc>
          <w:tcPr>
            <w:tcW w:w="1651" w:type="dxa"/>
          </w:tcPr>
          <w:p w14:paraId="6A1F9F93" w14:textId="77777777" w:rsidR="00767F4B" w:rsidRDefault="00767F4B" w:rsidP="00767F4B">
            <w:pPr>
              <w:pStyle w:val="TableText"/>
            </w:pPr>
            <w:r>
              <w:lastRenderedPageBreak/>
              <w:t xml:space="preserve">DBT Standard 04: </w:t>
            </w:r>
          </w:p>
          <w:p w14:paraId="5A39C668" w14:textId="77777777" w:rsidR="00767F4B" w:rsidRDefault="00767F4B" w:rsidP="00767F4B">
            <w:pPr>
              <w:pStyle w:val="TableText"/>
              <w:rPr>
                <w:b/>
              </w:rPr>
            </w:pPr>
            <w:r w:rsidRPr="002D2D1C">
              <w:rPr>
                <w:b/>
              </w:rPr>
              <w:t>Skill Acquisition Groups</w:t>
            </w:r>
          </w:p>
          <w:p w14:paraId="757D7538" w14:textId="77777777" w:rsidR="00767F4B" w:rsidRPr="002D754D" w:rsidRDefault="00767F4B" w:rsidP="00767F4B">
            <w:pPr>
              <w:pStyle w:val="TableText"/>
            </w:pPr>
            <w:r w:rsidRPr="002D754D">
              <w:t>(February 1, 2017)</w:t>
            </w:r>
          </w:p>
        </w:tc>
        <w:tc>
          <w:tcPr>
            <w:tcW w:w="7410" w:type="dxa"/>
          </w:tcPr>
          <w:p w14:paraId="6906E5B2" w14:textId="77777777" w:rsidR="00767F4B" w:rsidRPr="002D2D1C" w:rsidRDefault="00767F4B" w:rsidP="00767F4B">
            <w:pPr>
              <w:pStyle w:val="TableBullet"/>
              <w:keepNext w:val="0"/>
              <w:ind w:left="216" w:hanging="216"/>
            </w:pPr>
            <w:r>
              <w:t xml:space="preserve">JR counselors will provide youth with </w:t>
            </w:r>
            <w:r w:rsidR="000F336F">
              <w:rPr>
                <w:b/>
              </w:rPr>
              <w:t>two 60-min</w:t>
            </w:r>
            <w:r w:rsidRPr="002D2D1C">
              <w:rPr>
                <w:b/>
              </w:rPr>
              <w:t>ute groups each week</w:t>
            </w:r>
          </w:p>
          <w:p w14:paraId="48A6BD59" w14:textId="77777777" w:rsidR="00767F4B" w:rsidRDefault="00767F4B" w:rsidP="00767F4B">
            <w:pPr>
              <w:pStyle w:val="TableBullet"/>
              <w:keepNext w:val="0"/>
              <w:ind w:left="216" w:hanging="216"/>
            </w:pPr>
            <w:r>
              <w:t>Each group will have a leader and a co-leader</w:t>
            </w:r>
          </w:p>
          <w:p w14:paraId="3FBAD773" w14:textId="77777777" w:rsidR="00767F4B" w:rsidRDefault="00767F4B" w:rsidP="00767F4B">
            <w:pPr>
              <w:pStyle w:val="TableBullet"/>
              <w:keepNext w:val="0"/>
              <w:ind w:left="216" w:hanging="216"/>
            </w:pPr>
            <w:r>
              <w:t>Skill groups will utilize skills from all 5 Skills Modules: Mindfulness; Interpersonal Effectiveness; Emotion Regulation; Distress Tolerance; Middle Path Skills (Problem Solving)</w:t>
            </w:r>
          </w:p>
          <w:p w14:paraId="7DE821A1" w14:textId="77777777" w:rsidR="00767F4B" w:rsidRDefault="00767F4B" w:rsidP="00767F4B">
            <w:pPr>
              <w:pStyle w:val="TableBullet"/>
              <w:keepNext w:val="0"/>
              <w:ind w:left="216" w:hanging="216"/>
            </w:pPr>
            <w:r>
              <w:t>Trainers must remain consistent across all session</w:t>
            </w:r>
            <w:r w:rsidR="000F336F">
              <w:t>s</w:t>
            </w:r>
            <w:r>
              <w:t xml:space="preserve"> of group</w:t>
            </w:r>
          </w:p>
          <w:p w14:paraId="4D5F08EF" w14:textId="77777777" w:rsidR="00767F4B" w:rsidRDefault="00767F4B" w:rsidP="00767F4B">
            <w:pPr>
              <w:pStyle w:val="TableBullet"/>
              <w:keepNext w:val="0"/>
              <w:ind w:left="216" w:hanging="216"/>
            </w:pPr>
            <w:r>
              <w:t>Leaders write group notes in ACT</w:t>
            </w:r>
          </w:p>
          <w:p w14:paraId="51E6A4F2" w14:textId="77777777" w:rsidR="00767F4B" w:rsidRDefault="00767F4B" w:rsidP="00767F4B">
            <w:pPr>
              <w:pStyle w:val="TableBullet"/>
              <w:keepNext w:val="0"/>
              <w:ind w:left="216" w:hanging="216"/>
            </w:pPr>
            <w:r>
              <w:t>Staff are responsible for tracking attendance, assessing why youth are missing sessions</w:t>
            </w:r>
            <w:r w:rsidR="000F336F">
              <w:t>,</w:t>
            </w:r>
            <w:r>
              <w:t xml:space="preserve"> and getting the youth back into group</w:t>
            </w:r>
          </w:p>
        </w:tc>
      </w:tr>
      <w:tr w:rsidR="00767F4B" w:rsidRPr="00CD1826" w14:paraId="47717802" w14:textId="77777777" w:rsidTr="003C6314">
        <w:trPr>
          <w:cnfStyle w:val="000000100000" w:firstRow="0" w:lastRow="0" w:firstColumn="0" w:lastColumn="0" w:oddVBand="0" w:evenVBand="0" w:oddHBand="1" w:evenHBand="0" w:firstRowFirstColumn="0" w:firstRowLastColumn="0" w:lastRowFirstColumn="0" w:lastRowLastColumn="0"/>
        </w:trPr>
        <w:tc>
          <w:tcPr>
            <w:tcW w:w="1651" w:type="dxa"/>
          </w:tcPr>
          <w:p w14:paraId="381823AC" w14:textId="77777777" w:rsidR="00767F4B" w:rsidRDefault="00767F4B" w:rsidP="00767F4B">
            <w:pPr>
              <w:pStyle w:val="TableText"/>
            </w:pPr>
            <w:r>
              <w:t xml:space="preserve">DBT Standard 05: </w:t>
            </w:r>
          </w:p>
          <w:p w14:paraId="111D5A66" w14:textId="77777777" w:rsidR="00767F4B" w:rsidRDefault="00767F4B" w:rsidP="00767F4B">
            <w:pPr>
              <w:pStyle w:val="TableText"/>
              <w:rPr>
                <w:b/>
              </w:rPr>
            </w:pPr>
            <w:r w:rsidRPr="002D2D1C">
              <w:rPr>
                <w:b/>
              </w:rPr>
              <w:t>Skills Generalization Groups</w:t>
            </w:r>
          </w:p>
          <w:p w14:paraId="2E21B786" w14:textId="77777777" w:rsidR="00767F4B" w:rsidRPr="002D754D" w:rsidRDefault="00767F4B" w:rsidP="00767F4B">
            <w:pPr>
              <w:pStyle w:val="TableText"/>
            </w:pPr>
            <w:r w:rsidRPr="002D754D">
              <w:t>(February 1, 2017)</w:t>
            </w:r>
          </w:p>
        </w:tc>
        <w:tc>
          <w:tcPr>
            <w:tcW w:w="7410" w:type="dxa"/>
          </w:tcPr>
          <w:p w14:paraId="5E8A598F" w14:textId="77777777" w:rsidR="00767F4B" w:rsidRPr="002D754D" w:rsidRDefault="00767F4B" w:rsidP="00767F4B">
            <w:pPr>
              <w:pStyle w:val="TableBullet"/>
              <w:keepNext w:val="0"/>
              <w:ind w:left="216" w:hanging="216"/>
            </w:pPr>
            <w:r>
              <w:t xml:space="preserve">JR counselors will provide youth with </w:t>
            </w:r>
            <w:r w:rsidRPr="002D2D1C">
              <w:rPr>
                <w:b/>
              </w:rPr>
              <w:t>one 60-minute group each week</w:t>
            </w:r>
          </w:p>
          <w:p w14:paraId="7C9AA088" w14:textId="77777777" w:rsidR="00767F4B" w:rsidRDefault="00767F4B" w:rsidP="00767F4B">
            <w:pPr>
              <w:pStyle w:val="TableBullet"/>
              <w:keepNext w:val="0"/>
              <w:ind w:left="216" w:hanging="216"/>
            </w:pPr>
            <w:r>
              <w:t>Leaders must remain consistent across all sessions of the group</w:t>
            </w:r>
          </w:p>
          <w:p w14:paraId="530D7C96" w14:textId="77777777" w:rsidR="00767F4B" w:rsidRDefault="00767F4B" w:rsidP="00767F4B">
            <w:pPr>
              <w:pStyle w:val="TableBullet"/>
              <w:keepNext w:val="0"/>
              <w:ind w:left="216" w:hanging="216"/>
            </w:pPr>
            <w:r>
              <w:t>The leader focuses on skill strengthening and g</w:t>
            </w:r>
            <w:r w:rsidR="000F336F">
              <w:t>eneralization during the group</w:t>
            </w:r>
            <w:r>
              <w:t xml:space="preserve"> getting youth to give behaviorally specific feedback on skill use; getting participants to actively solve problems with each other; promoting skillful responses when the group is “stuck”; leading the group in behavioral rehearsal of potential solutions; assigning behavioral practice; </w:t>
            </w:r>
            <w:r w:rsidR="001F2EAF">
              <w:t xml:space="preserve">and </w:t>
            </w:r>
            <w:r>
              <w:t>using principles of shaping, social learning and contingency management</w:t>
            </w:r>
          </w:p>
        </w:tc>
      </w:tr>
    </w:tbl>
    <w:p w14:paraId="6715C5AF" w14:textId="77777777" w:rsidR="00A43D69" w:rsidRDefault="00A43D69" w:rsidP="004F409F">
      <w:pPr>
        <w:pStyle w:val="paragraph"/>
        <w:spacing w:before="60" w:beforeAutospacing="0" w:after="60" w:afterAutospacing="0"/>
        <w:contextualSpacing/>
        <w:textAlignment w:val="baseline"/>
      </w:pPr>
    </w:p>
    <w:p w14:paraId="494DA610" w14:textId="77777777" w:rsidR="00F6492F" w:rsidRDefault="00F6492F" w:rsidP="00BC0E8E">
      <w:r>
        <w:t xml:space="preserve">In addition to DBT, facilities must provide </w:t>
      </w:r>
      <w:r w:rsidRPr="004F409F">
        <w:t>specialized treatment services base</w:t>
      </w:r>
      <w:r>
        <w:t>d on identified needs</w:t>
      </w:r>
      <w:r w:rsidR="00B36AFD">
        <w:t xml:space="preserve">. </w:t>
      </w:r>
      <w:r>
        <w:t>These may include:</w:t>
      </w:r>
    </w:p>
    <w:p w14:paraId="42E88556" w14:textId="77777777" w:rsidR="00F6492F" w:rsidRDefault="00FD2536" w:rsidP="00F6492F">
      <w:pPr>
        <w:pStyle w:val="ListBullet"/>
      </w:pPr>
      <w:r>
        <w:t>Mental</w:t>
      </w:r>
      <w:r w:rsidR="00F6492F">
        <w:t xml:space="preserve"> health treatment;</w:t>
      </w:r>
    </w:p>
    <w:p w14:paraId="6D4FFFB1" w14:textId="77777777" w:rsidR="00F6492F" w:rsidRDefault="00FD2536" w:rsidP="00F6492F">
      <w:pPr>
        <w:pStyle w:val="ListBullet"/>
      </w:pPr>
      <w:r w:rsidRPr="004F409F">
        <w:t>Substance</w:t>
      </w:r>
      <w:r w:rsidR="00F6492F" w:rsidRPr="004F409F">
        <w:t xml:space="preserve"> abuse </w:t>
      </w:r>
      <w:r w:rsidR="00F6492F">
        <w:t>treatment;</w:t>
      </w:r>
      <w:r w:rsidR="00F6492F" w:rsidRPr="004F409F">
        <w:t xml:space="preserve"> </w:t>
      </w:r>
    </w:p>
    <w:p w14:paraId="31112622" w14:textId="77777777" w:rsidR="00F6492F" w:rsidRDefault="00FD2536" w:rsidP="00F6492F">
      <w:pPr>
        <w:pStyle w:val="ListBullet"/>
      </w:pPr>
      <w:r w:rsidRPr="004F409F">
        <w:t>Sexual</w:t>
      </w:r>
      <w:r w:rsidR="00F6492F" w:rsidRPr="004F409F">
        <w:t xml:space="preserve"> behavior treatment</w:t>
      </w:r>
      <w:r w:rsidR="00F6492F">
        <w:t>; and</w:t>
      </w:r>
    </w:p>
    <w:p w14:paraId="79F0B180" w14:textId="77777777" w:rsidR="00F6492F" w:rsidRDefault="00F6492F" w:rsidP="00F6492F">
      <w:pPr>
        <w:pStyle w:val="ListBullet"/>
      </w:pPr>
      <w:r>
        <w:t>Aggression</w:t>
      </w:r>
      <w:r w:rsidRPr="004F409F">
        <w:t xml:space="preserve"> Replacement Training (ART)</w:t>
      </w:r>
      <w:r>
        <w:t>;</w:t>
      </w:r>
    </w:p>
    <w:p w14:paraId="21D682D3" w14:textId="77777777" w:rsidR="00F6492F" w:rsidRDefault="00F6492F" w:rsidP="00F6492F">
      <w:pPr>
        <w:pStyle w:val="Heading3"/>
      </w:pPr>
      <w:bookmarkStart w:id="28" w:name="_Toc531597485"/>
      <w:r>
        <w:t>Key Programs and Services</w:t>
      </w:r>
      <w:bookmarkEnd w:id="28"/>
    </w:p>
    <w:p w14:paraId="3D658DED" w14:textId="77777777" w:rsidR="00F6492F" w:rsidRPr="002D22B3" w:rsidRDefault="00F6492F" w:rsidP="00F6492F">
      <w:r w:rsidRPr="002D22B3">
        <w:t>Key programs and service include vocation and education, health and mentoring, and cultural and recreational activities. The educational program must emphasize instruction in character</w:t>
      </w:r>
      <w:r w:rsidR="002D22B3" w:rsidRPr="002D22B3">
        <w:t>-</w:t>
      </w:r>
      <w:r w:rsidRPr="002D22B3">
        <w:t>building principles</w:t>
      </w:r>
      <w:r w:rsidR="002D22B3" w:rsidRPr="002D22B3">
        <w:t>,</w:t>
      </w:r>
      <w:r w:rsidRPr="002D22B3">
        <w:t xml:space="preserve"> including</w:t>
      </w:r>
      <w:r w:rsidR="002D22B3" w:rsidRPr="002D22B3">
        <w:t xml:space="preserve"> </w:t>
      </w:r>
      <w:r w:rsidRPr="002D22B3">
        <w:t>respect for self and others, victim awareness, accountability, work ethics</w:t>
      </w:r>
      <w:r w:rsidR="00C363FC">
        <w:t>,</w:t>
      </w:r>
      <w:r w:rsidRPr="002D22B3">
        <w:t xml:space="preserve"> good citizenship, and life skills.</w:t>
      </w:r>
      <w:r w:rsidRPr="002D22B3">
        <w:rPr>
          <w:rStyle w:val="FootnoteReference"/>
        </w:rPr>
        <w:footnoteReference w:id="41"/>
      </w:r>
    </w:p>
    <w:p w14:paraId="7C029C8E" w14:textId="77777777" w:rsidR="003D492B" w:rsidRDefault="00F6492F" w:rsidP="00F6492F">
      <w:pPr>
        <w:pStyle w:val="Heading3"/>
      </w:pPr>
      <w:bookmarkStart w:id="29" w:name="_Toc531597486"/>
      <w:r>
        <w:t>Reentry Planning and Services</w:t>
      </w:r>
      <w:bookmarkEnd w:id="29"/>
    </w:p>
    <w:p w14:paraId="0B3CDD2A" w14:textId="77777777" w:rsidR="00D12D39" w:rsidRPr="006324BE" w:rsidRDefault="000D039B" w:rsidP="00E07FBD">
      <w:pPr>
        <w:rPr>
          <w:color w:val="000000" w:themeColor="text1"/>
        </w:rPr>
      </w:pPr>
      <w:r w:rsidRPr="006324BE">
        <w:rPr>
          <w:color w:val="000000" w:themeColor="text1"/>
        </w:rPr>
        <w:t>In 2017, 514 youth were released to parole or discharged from the institutions and community facilities</w:t>
      </w:r>
      <w:r w:rsidR="00466C30" w:rsidRPr="006324BE">
        <w:rPr>
          <w:color w:val="000000" w:themeColor="text1"/>
        </w:rPr>
        <w:t>.</w:t>
      </w:r>
      <w:r w:rsidR="00466C30" w:rsidRPr="006324BE">
        <w:rPr>
          <w:rStyle w:val="FootnoteReference"/>
          <w:color w:val="000000" w:themeColor="text1"/>
        </w:rPr>
        <w:footnoteReference w:id="42"/>
      </w:r>
      <w:r w:rsidRPr="006324BE" w:rsidDel="000D039B">
        <w:rPr>
          <w:color w:val="000000" w:themeColor="text1"/>
        </w:rPr>
        <w:t xml:space="preserve"> </w:t>
      </w:r>
      <w:r w:rsidR="00D12D39" w:rsidRPr="006324BE">
        <w:rPr>
          <w:color w:val="000000" w:themeColor="text1"/>
        </w:rPr>
        <w:t xml:space="preserve">Many have complex issues including educational, mental health, and substance abuse </w:t>
      </w:r>
      <w:r w:rsidR="00D12D39" w:rsidRPr="006324BE">
        <w:rPr>
          <w:color w:val="000000" w:themeColor="text1"/>
        </w:rPr>
        <w:lastRenderedPageBreak/>
        <w:t xml:space="preserve">challenges. Many return to impoverished communities with high crime rates and low performing schools. However, if </w:t>
      </w:r>
      <w:r w:rsidR="002D22B3" w:rsidRPr="006324BE">
        <w:rPr>
          <w:color w:val="000000" w:themeColor="text1"/>
        </w:rPr>
        <w:t xml:space="preserve">JR provides </w:t>
      </w:r>
      <w:r w:rsidR="00D12D39" w:rsidRPr="006324BE">
        <w:rPr>
          <w:color w:val="000000" w:themeColor="text1"/>
        </w:rPr>
        <w:t xml:space="preserve">adequate discharge planning </w:t>
      </w:r>
      <w:r w:rsidR="002D22B3" w:rsidRPr="006324BE">
        <w:rPr>
          <w:color w:val="000000" w:themeColor="text1"/>
        </w:rPr>
        <w:t xml:space="preserve">that includes services such as </w:t>
      </w:r>
      <w:r w:rsidR="00D12D39" w:rsidRPr="006324BE">
        <w:rPr>
          <w:color w:val="000000" w:themeColor="text1"/>
        </w:rPr>
        <w:t>educational and vocational programs, housing assistance</w:t>
      </w:r>
      <w:r w:rsidR="002D22B3" w:rsidRPr="006324BE">
        <w:rPr>
          <w:color w:val="000000" w:themeColor="text1"/>
        </w:rPr>
        <w:t>,</w:t>
      </w:r>
      <w:r w:rsidR="00D12D39" w:rsidRPr="006324BE">
        <w:rPr>
          <w:color w:val="000000" w:themeColor="text1"/>
        </w:rPr>
        <w:t xml:space="preserve"> substance abuse</w:t>
      </w:r>
      <w:r w:rsidR="002D22B3" w:rsidRPr="006324BE">
        <w:rPr>
          <w:color w:val="000000" w:themeColor="text1"/>
        </w:rPr>
        <w:t>,</w:t>
      </w:r>
      <w:r w:rsidR="00D12D39" w:rsidRPr="006324BE">
        <w:rPr>
          <w:color w:val="000000" w:themeColor="text1"/>
        </w:rPr>
        <w:t xml:space="preserve"> mental health treatment, and life skills</w:t>
      </w:r>
      <w:r w:rsidR="002D22B3" w:rsidRPr="006324BE">
        <w:rPr>
          <w:color w:val="000000" w:themeColor="text1"/>
        </w:rPr>
        <w:t>, then</w:t>
      </w:r>
      <w:r w:rsidR="00D12D39" w:rsidRPr="006324BE">
        <w:rPr>
          <w:color w:val="000000" w:themeColor="text1"/>
        </w:rPr>
        <w:t xml:space="preserve"> they are more likely to succeed when discharged.</w:t>
      </w:r>
      <w:r w:rsidR="00D12D39" w:rsidRPr="006324BE">
        <w:rPr>
          <w:rStyle w:val="FootnoteReference"/>
          <w:color w:val="000000" w:themeColor="text1"/>
        </w:rPr>
        <w:footnoteReference w:id="43"/>
      </w:r>
    </w:p>
    <w:p w14:paraId="38FD4530" w14:textId="77777777" w:rsidR="003D492B" w:rsidRPr="002D22B3" w:rsidRDefault="003D492B" w:rsidP="00E07FBD">
      <w:r w:rsidRPr="002D22B3">
        <w:t xml:space="preserve">Planning for reentry is a fundamental element of the </w:t>
      </w:r>
      <w:r w:rsidR="00AF70EE" w:rsidRPr="002D22B3">
        <w:t>Rehabilitation Model</w:t>
      </w:r>
      <w:r w:rsidR="004301A0" w:rsidRPr="002D22B3">
        <w:t xml:space="preserve"> and has been a </w:t>
      </w:r>
      <w:r w:rsidR="00D12D39" w:rsidRPr="002D22B3">
        <w:t>top administrative priority since 2010.</w:t>
      </w:r>
      <w:r w:rsidR="00D12D39" w:rsidRPr="002D22B3">
        <w:rPr>
          <w:rStyle w:val="FootnoteReference"/>
        </w:rPr>
        <w:footnoteReference w:id="44"/>
      </w:r>
      <w:r w:rsidRPr="002D22B3">
        <w:t xml:space="preserve"> </w:t>
      </w:r>
      <w:r w:rsidR="00D12D39" w:rsidRPr="002D22B3">
        <w:t>In</w:t>
      </w:r>
      <w:r w:rsidRPr="002D22B3">
        <w:t xml:space="preserve"> 2016, Governor Inslee signed an Executive Order requiring that JR “build a reentry-focused orientation program for every individual as she or he enters and exits a correctional facility.”</w:t>
      </w:r>
      <w:r w:rsidRPr="002D22B3">
        <w:rPr>
          <w:rStyle w:val="FootnoteReference"/>
        </w:rPr>
        <w:footnoteReference w:id="45"/>
      </w:r>
      <w:r w:rsidRPr="002D22B3">
        <w:t xml:space="preserve"> The Executive Order also required JR to ensure that all youth leaving JR have copies of all necessary documents, such as </w:t>
      </w:r>
      <w:r w:rsidR="00B36AFD">
        <w:t xml:space="preserve">identification, social security cards, </w:t>
      </w:r>
      <w:r w:rsidRPr="002D22B3">
        <w:t>certificates of completion and medical documents, to assist in transition to the community.</w:t>
      </w:r>
      <w:r w:rsidRPr="002D22B3">
        <w:rPr>
          <w:rStyle w:val="FootnoteReference"/>
        </w:rPr>
        <w:footnoteReference w:id="46"/>
      </w:r>
      <w:r w:rsidR="00F51077" w:rsidRPr="002D22B3">
        <w:t xml:space="preserve"> </w:t>
      </w:r>
    </w:p>
    <w:p w14:paraId="67540D5D" w14:textId="77777777" w:rsidR="003D492B" w:rsidRDefault="003D492B" w:rsidP="00E07FBD">
      <w:r>
        <w:t>In addition to evidence-and research-based rehabilitation services, reentry planning also must be conducted from the point of intake to increase the potential for youth to be successful and engaged community members. As part of RA’s Strategic Plan, JR facilities are to:</w:t>
      </w:r>
      <w:r>
        <w:rPr>
          <w:rStyle w:val="FootnoteReference"/>
        </w:rPr>
        <w:footnoteReference w:id="47"/>
      </w:r>
    </w:p>
    <w:p w14:paraId="1E919B34" w14:textId="77777777" w:rsidR="003D492B" w:rsidRDefault="003D492B" w:rsidP="003D492B">
      <w:pPr>
        <w:pStyle w:val="ListBullet"/>
      </w:pPr>
      <w:r w:rsidRPr="00DE7D24">
        <w:t xml:space="preserve">Collaborate </w:t>
      </w:r>
      <w:r>
        <w:t xml:space="preserve">with </w:t>
      </w:r>
      <w:r w:rsidRPr="00DE7D24">
        <w:t>local school districts, educational advocates, families</w:t>
      </w:r>
      <w:r>
        <w:t>,</w:t>
      </w:r>
      <w:r w:rsidRPr="00DE7D24">
        <w:t xml:space="preserve"> and communities to emphasize and secure school enrollment for youth upon release;</w:t>
      </w:r>
    </w:p>
    <w:p w14:paraId="52FBDB61" w14:textId="77777777" w:rsidR="003D492B" w:rsidRDefault="003D492B" w:rsidP="003D492B">
      <w:pPr>
        <w:pStyle w:val="ListBullet"/>
      </w:pPr>
      <w:r w:rsidRPr="00DE7D24">
        <w:t>Engage youth in job readiness and preparation, job skill acquisition, apprenticeships, and targeted employment opportunities;</w:t>
      </w:r>
    </w:p>
    <w:p w14:paraId="231BE8A3" w14:textId="77777777" w:rsidR="003D492B" w:rsidRDefault="003D492B" w:rsidP="003D492B">
      <w:pPr>
        <w:pStyle w:val="ListBullet"/>
      </w:pPr>
      <w:r w:rsidRPr="00DE7D24">
        <w:t xml:space="preserve">Establish direct linkages with businesses supportive of youth in reentry; </w:t>
      </w:r>
    </w:p>
    <w:p w14:paraId="00B88B3D" w14:textId="77777777" w:rsidR="003D492B" w:rsidRDefault="003D492B" w:rsidP="003D492B">
      <w:pPr>
        <w:pStyle w:val="ListBullet"/>
      </w:pPr>
      <w:r w:rsidRPr="00DE7D24">
        <w:t xml:space="preserve">Ensure all eligible youth enroll in Medicaid pre-release in accordance with new agreements with community health partners; </w:t>
      </w:r>
    </w:p>
    <w:p w14:paraId="42C2445B" w14:textId="77777777" w:rsidR="003D492B" w:rsidRDefault="003D492B" w:rsidP="003D492B">
      <w:pPr>
        <w:pStyle w:val="ListBullet"/>
      </w:pPr>
      <w:r w:rsidRPr="00DE7D24">
        <w:t xml:space="preserve">Enhance behavioral treatment available for youth in JR residential programs and strengthen linkages to community-based alternatives upon release; </w:t>
      </w:r>
      <w:r>
        <w:t>and</w:t>
      </w:r>
    </w:p>
    <w:p w14:paraId="31C51C72" w14:textId="77777777" w:rsidR="005071D2" w:rsidRDefault="005071D2" w:rsidP="003D492B">
      <w:pPr>
        <w:pStyle w:val="ListBullet"/>
        <w:contextualSpacing w:val="0"/>
      </w:pPr>
      <w:r>
        <w:t>Ensure that all youth who leave JR will have an individualized reentry plan that addresses the seven reentry domains including living arrangements, mental health, education, substance abuse</w:t>
      </w:r>
      <w:r w:rsidR="005456CD">
        <w:t>, employment, peers, and the use of free time; and</w:t>
      </w:r>
    </w:p>
    <w:p w14:paraId="71E107FE" w14:textId="77777777" w:rsidR="003D492B" w:rsidRDefault="003D492B" w:rsidP="003D492B">
      <w:pPr>
        <w:pStyle w:val="ListBullet"/>
        <w:contextualSpacing w:val="0"/>
      </w:pPr>
      <w:r>
        <w:t xml:space="preserve">Ensure that all </w:t>
      </w:r>
      <w:r w:rsidRPr="00DE7D24">
        <w:t xml:space="preserve">youth </w:t>
      </w:r>
      <w:r w:rsidR="005071D2">
        <w:t>exit JR residential programs with</w:t>
      </w:r>
      <w:r w:rsidRPr="00DE7D24">
        <w:t xml:space="preserve"> key documents such as transcripts, vocational certifications, resumes, and identification cards that are critical for successful reentry. </w:t>
      </w:r>
    </w:p>
    <w:p w14:paraId="60FC9F85" w14:textId="77777777" w:rsidR="00B436EA" w:rsidRPr="002D22B3" w:rsidRDefault="00F51077" w:rsidP="003B4C2F">
      <w:pPr>
        <w:rPr>
          <w:sz w:val="22"/>
        </w:rPr>
      </w:pPr>
      <w:r w:rsidRPr="002D22B3">
        <w:t>On March 21, 2018, Governor Inslee signed legislation into law requiring that the Department of Chil</w:t>
      </w:r>
      <w:r w:rsidR="00B436EA" w:rsidRPr="002D22B3">
        <w:t>dren</w:t>
      </w:r>
      <w:r w:rsidR="00B36AFD">
        <w:t>,</w:t>
      </w:r>
      <w:r w:rsidR="00B436EA" w:rsidRPr="002D22B3">
        <w:t xml:space="preserve"> Youth and Families (DCYF) – </w:t>
      </w:r>
      <w:r w:rsidRPr="002D22B3">
        <w:t>which JR will become a part of i</w:t>
      </w:r>
      <w:r w:rsidR="00B436EA" w:rsidRPr="002D22B3">
        <w:t xml:space="preserve">n 2019 – </w:t>
      </w:r>
      <w:r w:rsidRPr="002D22B3">
        <w:t>and the Office of Homeless Youth Prevention and Protection Programs develop a plan to ensure that, by December 31, 2020, no unaccompanied youth is discharged from a publicly funded system of care into homelessness.</w:t>
      </w:r>
      <w:r w:rsidRPr="002D22B3">
        <w:rPr>
          <w:rStyle w:val="FootnoteReference"/>
        </w:rPr>
        <w:footnoteReference w:id="48"/>
      </w:r>
      <w:r w:rsidRPr="002D22B3">
        <w:t xml:space="preserve"> As part of RA’s current </w:t>
      </w:r>
      <w:r w:rsidR="003D492B" w:rsidRPr="002D22B3">
        <w:t xml:space="preserve">Strategic Plan, JR is focusing on reducing the number of youth leaving the institutions and community facilities who have an episode of homelessness or are unstably housed within 6-months of release from 17% in 2015 to 10% by June 2019. The action plan for ensuring youth released from JR have stable housing includes planning for housing from the point of intake and addressing issues and risk factors that lead to </w:t>
      </w:r>
      <w:r w:rsidR="003D492B" w:rsidRPr="002D22B3">
        <w:lastRenderedPageBreak/>
        <w:t>housing instability; engaging youth and families in planning for housing pre-release and documenting resources in the service plan; and connecting youth and families with relevant community resources and supports for housing upon release.</w:t>
      </w:r>
      <w:r w:rsidR="003D492B" w:rsidRPr="002D22B3">
        <w:rPr>
          <w:rStyle w:val="FootnoteReference"/>
        </w:rPr>
        <w:footnoteReference w:id="49"/>
      </w:r>
      <w:r w:rsidR="003D492B" w:rsidRPr="002D22B3">
        <w:t xml:space="preserve"> </w:t>
      </w:r>
    </w:p>
    <w:p w14:paraId="5680A215" w14:textId="77777777" w:rsidR="00263338" w:rsidRDefault="00C933ED" w:rsidP="003B4C2F">
      <w:r w:rsidRPr="00C933ED">
        <w:t xml:space="preserve">JRRCs and JRCAs </w:t>
      </w:r>
      <w:r w:rsidR="001F2EAF">
        <w:t xml:space="preserve">also </w:t>
      </w:r>
      <w:r w:rsidR="001676DF">
        <w:t xml:space="preserve">have </w:t>
      </w:r>
      <w:r w:rsidR="004F409F">
        <w:t xml:space="preserve">numerous case management duties </w:t>
      </w:r>
      <w:r w:rsidR="00623798">
        <w:t>to facilitate and support core programs and services</w:t>
      </w:r>
      <w:r w:rsidR="00BF151B">
        <w:t>,</w:t>
      </w:r>
      <w:r w:rsidR="00623798">
        <w:t xml:space="preserve"> reentry planning</w:t>
      </w:r>
      <w:r w:rsidR="00BF151B">
        <w:t>,</w:t>
      </w:r>
      <w:r w:rsidR="00623798">
        <w:t xml:space="preserve"> and day-to-day living. Many of these case management functions must be documented in </w:t>
      </w:r>
      <w:r w:rsidR="00671839">
        <w:t xml:space="preserve">the </w:t>
      </w:r>
      <w:r w:rsidR="00BA6EB3">
        <w:t xml:space="preserve">Automated </w:t>
      </w:r>
      <w:r w:rsidR="00671839">
        <w:t>Client Tracking (ACT) system</w:t>
      </w:r>
      <w:r w:rsidR="004F409F">
        <w:t>.</w:t>
      </w:r>
      <w:r w:rsidRPr="00C933ED">
        <w:t xml:space="preserve"> These duties include</w:t>
      </w:r>
      <w:r w:rsidR="004F409F">
        <w:t>, but are not limited to:</w:t>
      </w:r>
    </w:p>
    <w:p w14:paraId="1FD6E7A2" w14:textId="77777777" w:rsidR="00263338" w:rsidRPr="004F409F" w:rsidRDefault="00263338" w:rsidP="004F409F">
      <w:pPr>
        <w:pStyle w:val="ListBullet"/>
      </w:pPr>
      <w:r w:rsidRPr="004F409F">
        <w:t>Conducting initial assessments</w:t>
      </w:r>
      <w:r w:rsidR="00661E73">
        <w:t>;</w:t>
      </w:r>
    </w:p>
    <w:p w14:paraId="1280E9D3" w14:textId="77777777" w:rsidR="00263338" w:rsidRPr="004F409F" w:rsidRDefault="00475874" w:rsidP="004F409F">
      <w:pPr>
        <w:pStyle w:val="ListBullet"/>
      </w:pPr>
      <w:r w:rsidRPr="004F409F">
        <w:t xml:space="preserve">Developing </w:t>
      </w:r>
      <w:r w:rsidR="00263338" w:rsidRPr="004F409F">
        <w:t xml:space="preserve">and </w:t>
      </w:r>
      <w:r w:rsidRPr="004F409F">
        <w:t>implementing</w:t>
      </w:r>
      <w:r w:rsidR="00263338" w:rsidRPr="004F409F">
        <w:t xml:space="preserve"> treatment plans</w:t>
      </w:r>
      <w:r w:rsidR="00661E73">
        <w:t>;</w:t>
      </w:r>
    </w:p>
    <w:p w14:paraId="7697116D" w14:textId="77777777" w:rsidR="00263338" w:rsidRPr="004F409F" w:rsidRDefault="00661E73" w:rsidP="004F409F">
      <w:pPr>
        <w:pStyle w:val="ListBullet"/>
      </w:pPr>
      <w:r>
        <w:t>Coordinating and/</w:t>
      </w:r>
      <w:r w:rsidR="00475874" w:rsidRPr="004F409F">
        <w:t>or providing</w:t>
      </w:r>
      <w:r w:rsidR="00263338" w:rsidRPr="004F409F">
        <w:t xml:space="preserve"> specialized treatment services base</w:t>
      </w:r>
      <w:r>
        <w:t>d on identified needs including</w:t>
      </w:r>
      <w:r w:rsidR="00263338" w:rsidRPr="004F409F">
        <w:t xml:space="preserve"> mental health treatment, substance abuse </w:t>
      </w:r>
      <w:r w:rsidR="00475874" w:rsidRPr="004F409F">
        <w:t>treatment, sexual behavior treatm</w:t>
      </w:r>
      <w:r w:rsidR="00263338" w:rsidRPr="004F409F">
        <w:t>e</w:t>
      </w:r>
      <w:r w:rsidR="00475874" w:rsidRPr="004F409F">
        <w:t>nt</w:t>
      </w:r>
      <w:r w:rsidR="00D504A6">
        <w:t>, Aggression</w:t>
      </w:r>
      <w:r w:rsidR="00263338" w:rsidRPr="004F409F">
        <w:t xml:space="preserve"> Replacement Training (ART)</w:t>
      </w:r>
      <w:r w:rsidR="00085E47">
        <w:t>;</w:t>
      </w:r>
    </w:p>
    <w:p w14:paraId="1C847145" w14:textId="77777777" w:rsidR="00546188" w:rsidRDefault="00546188" w:rsidP="00475874">
      <w:pPr>
        <w:pStyle w:val="ListBullet"/>
      </w:pPr>
      <w:r>
        <w:t xml:space="preserve">Conducting Client Behavioral Assessments </w:t>
      </w:r>
      <w:r w:rsidR="004001F2">
        <w:t xml:space="preserve">(CBAs) </w:t>
      </w:r>
      <w:r>
        <w:t>every 30 days;</w:t>
      </w:r>
    </w:p>
    <w:p w14:paraId="1FFA227C" w14:textId="77777777" w:rsidR="00085E47" w:rsidRDefault="00085E47" w:rsidP="00475874">
      <w:pPr>
        <w:pStyle w:val="ListBullet"/>
      </w:pPr>
      <w:r>
        <w:t>Supervi</w:t>
      </w:r>
      <w:r w:rsidR="00546188">
        <w:t xml:space="preserve">sing </w:t>
      </w:r>
      <w:r>
        <w:t xml:space="preserve">youth in the institutions </w:t>
      </w:r>
      <w:r w:rsidR="00BF151B">
        <w:t xml:space="preserve">during </w:t>
      </w:r>
      <w:r>
        <w:t>on-campus movement</w:t>
      </w:r>
      <w:r w:rsidR="00BF151B">
        <w:t>s,</w:t>
      </w:r>
      <w:r>
        <w:t xml:space="preserve"> including movement to and from school, cultural groups, and for medical treatment;</w:t>
      </w:r>
    </w:p>
    <w:p w14:paraId="5A09AE49" w14:textId="77777777" w:rsidR="00085E47" w:rsidRDefault="00546188" w:rsidP="00475874">
      <w:pPr>
        <w:pStyle w:val="ListBullet"/>
      </w:pPr>
      <w:r>
        <w:t>Transporting</w:t>
      </w:r>
      <w:r w:rsidR="00085E47">
        <w:t xml:space="preserve"> youth in the community facilities to and from health appointments, </w:t>
      </w:r>
      <w:r w:rsidR="00037AAF">
        <w:t xml:space="preserve">drug and alcohol treatment, mental health treatment, </w:t>
      </w:r>
      <w:r w:rsidR="00085E47">
        <w:t>job interviews, work, school and authorized leave;</w:t>
      </w:r>
    </w:p>
    <w:p w14:paraId="40700C0C" w14:textId="77777777" w:rsidR="00085E47" w:rsidRDefault="00546188" w:rsidP="00475874">
      <w:pPr>
        <w:pStyle w:val="ListBullet"/>
      </w:pPr>
      <w:r>
        <w:t xml:space="preserve">Conducting </w:t>
      </w:r>
      <w:r w:rsidR="00085E47">
        <w:t>safety monitoring</w:t>
      </w:r>
      <w:r w:rsidR="00037AAF">
        <w:t xml:space="preserve"> for youth who are working, attending school</w:t>
      </w:r>
      <w:r w:rsidR="00BF151B">
        <w:t>,</w:t>
      </w:r>
      <w:r w:rsidR="00037AAF">
        <w:t xml:space="preserve"> or </w:t>
      </w:r>
      <w:r w:rsidR="00BF151B">
        <w:t xml:space="preserve">participating in community </w:t>
      </w:r>
      <w:r w:rsidR="00037AAF">
        <w:t>activities;</w:t>
      </w:r>
    </w:p>
    <w:p w14:paraId="258B06EC" w14:textId="77777777" w:rsidR="00623798" w:rsidRDefault="00623798" w:rsidP="00475874">
      <w:pPr>
        <w:pStyle w:val="ListBullet"/>
      </w:pPr>
      <w:r>
        <w:t>In the community facilities, provide financial management of youth funds;</w:t>
      </w:r>
    </w:p>
    <w:p w14:paraId="6195480D" w14:textId="77777777" w:rsidR="00623798" w:rsidRPr="004F409F" w:rsidRDefault="00263338" w:rsidP="00475874">
      <w:pPr>
        <w:pStyle w:val="ListBullet"/>
        <w:rPr>
          <w:rStyle w:val="eop"/>
        </w:rPr>
      </w:pPr>
      <w:r w:rsidRPr="004F409F">
        <w:t>S</w:t>
      </w:r>
      <w:r w:rsidR="00C933ED" w:rsidRPr="004F409F">
        <w:rPr>
          <w:rStyle w:val="normaltextrun"/>
        </w:rPr>
        <w:t>upport</w:t>
      </w:r>
      <w:r w:rsidR="00475874" w:rsidRPr="004F409F">
        <w:rPr>
          <w:rStyle w:val="normaltextrun"/>
        </w:rPr>
        <w:t xml:space="preserve">ing and facilitating </w:t>
      </w:r>
      <w:r w:rsidR="00C933ED" w:rsidRPr="004F409F">
        <w:rPr>
          <w:rStyle w:val="normaltextrun"/>
        </w:rPr>
        <w:t>the engagement of families of youth to develop, strengthen, and maintain family and pro-social relationships that promote successful reentry</w:t>
      </w:r>
      <w:r w:rsidR="00661E73">
        <w:rPr>
          <w:rStyle w:val="normaltextrun"/>
        </w:rPr>
        <w:t>; and</w:t>
      </w:r>
    </w:p>
    <w:p w14:paraId="36F9FD08" w14:textId="77777777" w:rsidR="003D492B" w:rsidRDefault="00661E73" w:rsidP="00AF70EE">
      <w:pPr>
        <w:pStyle w:val="ListBullet"/>
        <w:contextualSpacing w:val="0"/>
      </w:pPr>
      <w:r>
        <w:t>Planning</w:t>
      </w:r>
      <w:r w:rsidR="004F409F" w:rsidRPr="004F409F">
        <w:t xml:space="preserve"> for reentry into the community</w:t>
      </w:r>
      <w:r w:rsidR="00043BCD">
        <w:t>,</w:t>
      </w:r>
      <w:r w:rsidR="00623798">
        <w:t xml:space="preserve"> including identifying </w:t>
      </w:r>
      <w:r w:rsidR="00043BCD">
        <w:t xml:space="preserve">community </w:t>
      </w:r>
      <w:r w:rsidR="00623798">
        <w:t>services and supports</w:t>
      </w:r>
      <w:r w:rsidR="00043BCD">
        <w:t>,</w:t>
      </w:r>
      <w:r w:rsidR="00623798">
        <w:t xml:space="preserve"> linking youth to these supports, </w:t>
      </w:r>
      <w:r w:rsidR="00043BCD">
        <w:t xml:space="preserve">preparing for and attending </w:t>
      </w:r>
      <w:r w:rsidR="00623798">
        <w:t xml:space="preserve">Reentry Team Meetings (RTMs), and </w:t>
      </w:r>
      <w:r w:rsidR="00043BCD">
        <w:t xml:space="preserve">providing </w:t>
      </w:r>
      <w:r w:rsidR="00623798">
        <w:t xml:space="preserve">life skills to prepare youth for long-term success. </w:t>
      </w:r>
    </w:p>
    <w:p w14:paraId="2F6CDB5F" w14:textId="77777777" w:rsidR="0003271B" w:rsidRPr="00C933ED" w:rsidRDefault="0003271B" w:rsidP="003B4C2F">
      <w:r w:rsidRPr="005D4B88">
        <w:t>Appendix B provide</w:t>
      </w:r>
      <w:r w:rsidR="001676DF" w:rsidRPr="005D4B88">
        <w:t>s</w:t>
      </w:r>
      <w:r w:rsidRPr="005D4B88">
        <w:t xml:space="preserve"> an overview of the Community Facility Standards and </w:t>
      </w:r>
      <w:r w:rsidR="00BB211E">
        <w:t xml:space="preserve">Appendix C provides and overview of </w:t>
      </w:r>
      <w:r w:rsidR="00514D55">
        <w:t>select</w:t>
      </w:r>
      <w:r w:rsidRPr="005D4B88">
        <w:t xml:space="preserve"> JR Policies.</w:t>
      </w:r>
      <w:r>
        <w:t xml:space="preserve"> </w:t>
      </w:r>
    </w:p>
    <w:p w14:paraId="7E289F94" w14:textId="77777777" w:rsidR="00224755" w:rsidRDefault="000716BD" w:rsidP="00F42D48">
      <w:pPr>
        <w:pStyle w:val="Heading2"/>
      </w:pPr>
      <w:bookmarkStart w:id="30" w:name="_Toc531597487"/>
      <w:r>
        <w:t>Population Served</w:t>
      </w:r>
      <w:bookmarkEnd w:id="30"/>
    </w:p>
    <w:p w14:paraId="777EE952" w14:textId="77777777" w:rsidR="004B0DE3" w:rsidRPr="009516E9" w:rsidRDefault="004B0DE3" w:rsidP="00F42D48">
      <w:pPr>
        <w:pStyle w:val="PullQuote"/>
        <w:framePr w:wrap="around" w:hAnchor="page" w:x="7235" w:y="74"/>
        <w:rPr>
          <w:i/>
        </w:rPr>
      </w:pPr>
      <w:r w:rsidRPr="009516E9">
        <w:rPr>
          <w:i/>
        </w:rPr>
        <w:t>“We are getting more difficult, more aggressive youth with many serious mental health issues</w:t>
      </w:r>
      <w:r>
        <w:rPr>
          <w:i/>
        </w:rPr>
        <w:t>.</w:t>
      </w:r>
      <w:r w:rsidRPr="009516E9">
        <w:rPr>
          <w:i/>
        </w:rPr>
        <w:t>”</w:t>
      </w:r>
    </w:p>
    <w:p w14:paraId="5AC9F908" w14:textId="77777777" w:rsidR="004B0DE3" w:rsidRDefault="004B0DE3" w:rsidP="00F42D48">
      <w:pPr>
        <w:pStyle w:val="PullQuote"/>
        <w:framePr w:wrap="around" w:hAnchor="page" w:x="7235" w:y="74"/>
        <w:jc w:val="right"/>
      </w:pPr>
      <w:r>
        <w:t>—Leadership</w:t>
      </w:r>
    </w:p>
    <w:p w14:paraId="116386B2" w14:textId="77777777" w:rsidR="00015571" w:rsidRPr="00015571" w:rsidRDefault="001676DF" w:rsidP="00015571">
      <w:r>
        <w:t xml:space="preserve">The types of </w:t>
      </w:r>
      <w:r w:rsidR="00015571">
        <w:t xml:space="preserve">youth </w:t>
      </w:r>
      <w:r>
        <w:t xml:space="preserve">receiving services and the services they need </w:t>
      </w:r>
      <w:r w:rsidR="00015571">
        <w:t xml:space="preserve">are </w:t>
      </w:r>
      <w:r>
        <w:t xml:space="preserve">key </w:t>
      </w:r>
      <w:r w:rsidR="00015571">
        <w:t xml:space="preserve">factors in determining </w:t>
      </w:r>
      <w:r>
        <w:t xml:space="preserve">an appropriate </w:t>
      </w:r>
      <w:r w:rsidR="005D560D">
        <w:t xml:space="preserve">residential </w:t>
      </w:r>
      <w:r>
        <w:t>staffing model for J</w:t>
      </w:r>
      <w:r w:rsidR="007E250F">
        <w:t>uvenile Rehabilitation (J</w:t>
      </w:r>
      <w:r>
        <w:t>R</w:t>
      </w:r>
      <w:r w:rsidR="007E250F">
        <w:t>)</w:t>
      </w:r>
      <w:r w:rsidR="00015571">
        <w:t>. This section provides an overview of the JR population.</w:t>
      </w:r>
    </w:p>
    <w:p w14:paraId="32330586" w14:textId="77777777" w:rsidR="00A43D69" w:rsidRDefault="00512FE0" w:rsidP="00C71D2B">
      <w:r>
        <w:t xml:space="preserve">Youth committed to </w:t>
      </w:r>
      <w:r w:rsidR="007E250F">
        <w:t xml:space="preserve">JR </w:t>
      </w:r>
      <w:r>
        <w:t xml:space="preserve">have </w:t>
      </w:r>
      <w:r w:rsidR="00327C90">
        <w:t xml:space="preserve">typically </w:t>
      </w:r>
      <w:r>
        <w:t xml:space="preserve">committed serious crimes </w:t>
      </w:r>
      <w:r w:rsidR="00C71D2B">
        <w:t>involving at</w:t>
      </w:r>
      <w:r w:rsidR="0037341F">
        <w:t xml:space="preserve"> least one violent offense</w:t>
      </w:r>
      <w:r w:rsidR="00327C90">
        <w:t>,</w:t>
      </w:r>
      <w:r w:rsidR="0037341F">
        <w:t xml:space="preserve"> </w:t>
      </w:r>
      <w:r>
        <w:t xml:space="preserve">or </w:t>
      </w:r>
      <w:r w:rsidR="00327C90">
        <w:t xml:space="preserve">have criminal histories comprising </w:t>
      </w:r>
      <w:r w:rsidR="0037341F">
        <w:t>a large number of felony offenses</w:t>
      </w:r>
      <w:r>
        <w:t>. Approximately 35</w:t>
      </w:r>
      <w:r w:rsidR="00FD69B6">
        <w:t>%</w:t>
      </w:r>
      <w:r>
        <w:t xml:space="preserve"> of youth are serving Manifest Injustice Up sentences, which are </w:t>
      </w:r>
      <w:r w:rsidR="00763FD5">
        <w:t xml:space="preserve">longer than </w:t>
      </w:r>
      <w:r>
        <w:t>Standard Range sentences due to the seriousness of the crime. Five perce</w:t>
      </w:r>
      <w:r w:rsidR="00763FD5">
        <w:t>nt</w:t>
      </w:r>
      <w:r w:rsidR="004962BA">
        <w:t xml:space="preserve"> (5%)</w:t>
      </w:r>
      <w:r w:rsidR="00763FD5">
        <w:t xml:space="preserve"> of youth have Manifest</w:t>
      </w:r>
      <w:r w:rsidR="00336B21">
        <w:t xml:space="preserve"> Injustice</w:t>
      </w:r>
      <w:r w:rsidR="00763FD5">
        <w:t xml:space="preserve"> Down </w:t>
      </w:r>
      <w:r w:rsidR="00336B21">
        <w:t>s</w:t>
      </w:r>
      <w:r>
        <w:t>entences</w:t>
      </w:r>
      <w:r w:rsidR="00336B21">
        <w:t>,</w:t>
      </w:r>
      <w:r>
        <w:t xml:space="preserve"> as the </w:t>
      </w:r>
      <w:r w:rsidR="001676DF">
        <w:t>s</w:t>
      </w:r>
      <w:r>
        <w:t xml:space="preserve">tandard </w:t>
      </w:r>
      <w:r w:rsidR="001676DF">
        <w:t>r</w:t>
      </w:r>
      <w:r>
        <w:t>ange is seen as too punitive for the</w:t>
      </w:r>
      <w:r w:rsidR="00336B21">
        <w:t>ir</w:t>
      </w:r>
      <w:r>
        <w:t xml:space="preserve"> offense</w:t>
      </w:r>
      <w:r w:rsidR="00336B21">
        <w:t>s</w:t>
      </w:r>
      <w:r>
        <w:t>.</w:t>
      </w:r>
      <w:r>
        <w:rPr>
          <w:rStyle w:val="FootnoteReference"/>
        </w:rPr>
        <w:footnoteReference w:id="50"/>
      </w:r>
      <w:r>
        <w:t xml:space="preserve"> </w:t>
      </w:r>
    </w:p>
    <w:p w14:paraId="6A67BB9F" w14:textId="77777777" w:rsidR="00C71D2B" w:rsidRDefault="00C71D2B" w:rsidP="00A43D69">
      <w:pPr>
        <w:keepNext/>
      </w:pPr>
      <w:r>
        <w:lastRenderedPageBreak/>
        <w:t xml:space="preserve">Of the </w:t>
      </w:r>
      <w:r w:rsidR="0099684F">
        <w:t>youth committed to JR</w:t>
      </w:r>
      <w:r w:rsidR="00A95E9F">
        <w:t xml:space="preserve"> in State Fiscal Year (SFY) 2018</w:t>
      </w:r>
      <w:r>
        <w:t>:</w:t>
      </w:r>
      <w:r>
        <w:rPr>
          <w:rStyle w:val="FootnoteReference"/>
        </w:rPr>
        <w:footnoteReference w:id="51"/>
      </w:r>
    </w:p>
    <w:p w14:paraId="2895A9B7" w14:textId="77777777" w:rsidR="00C71D2B" w:rsidRDefault="00C71D2B" w:rsidP="00A43D69">
      <w:pPr>
        <w:pStyle w:val="ListBullet"/>
        <w:keepNext/>
      </w:pPr>
      <w:r>
        <w:t>6</w:t>
      </w:r>
      <w:r w:rsidR="000A5BE9">
        <w:t>4.1</w:t>
      </w:r>
      <w:r>
        <w:t>% have a prior offense history</w:t>
      </w:r>
      <w:r w:rsidR="000A5BE9">
        <w:t xml:space="preserve"> with </w:t>
      </w:r>
      <w:r w:rsidR="005E124C">
        <w:t>40.0% having 3 or more prior offenses</w:t>
      </w:r>
      <w:r w:rsidR="001676DF">
        <w:t>;</w:t>
      </w:r>
      <w:r>
        <w:t xml:space="preserve"> </w:t>
      </w:r>
    </w:p>
    <w:p w14:paraId="109C9AFD" w14:textId="77777777" w:rsidR="00C71D2B" w:rsidRDefault="000A5BE9" w:rsidP="00A43D69">
      <w:pPr>
        <w:pStyle w:val="ListBullet"/>
        <w:keepNext/>
      </w:pPr>
      <w:r>
        <w:t>55.3</w:t>
      </w:r>
      <w:r w:rsidR="00C71D2B">
        <w:t>% have committed a violent offense</w:t>
      </w:r>
      <w:r w:rsidR="001676DF">
        <w:t>;</w:t>
      </w:r>
      <w:r w:rsidR="00C71D2B">
        <w:t xml:space="preserve"> </w:t>
      </w:r>
      <w:r w:rsidR="005E124C">
        <w:t>and</w:t>
      </w:r>
    </w:p>
    <w:p w14:paraId="62F296A7" w14:textId="77777777" w:rsidR="00C71D2B" w:rsidRDefault="000A5BE9" w:rsidP="00183592">
      <w:pPr>
        <w:pStyle w:val="ListBullet"/>
        <w:spacing w:after="120"/>
        <w:contextualSpacing w:val="0"/>
      </w:pPr>
      <w:r>
        <w:t>18.1</w:t>
      </w:r>
      <w:r w:rsidR="00C71D2B">
        <w:t>% have committed a sex offense</w:t>
      </w:r>
      <w:r w:rsidR="005E124C">
        <w:t>.</w:t>
      </w:r>
    </w:p>
    <w:p w14:paraId="0F8A6E18" w14:textId="77777777" w:rsidR="007B0A05" w:rsidRDefault="007B0A05" w:rsidP="003B4C2F">
      <w:r>
        <w:t xml:space="preserve">JR also serves youth </w:t>
      </w:r>
      <w:r w:rsidR="00E25A79">
        <w:t xml:space="preserve">committed </w:t>
      </w:r>
      <w:r>
        <w:t>under the age of 18 who have been tried, convicted and sentenced as adults through the Youthful Offender Program (YOP).</w:t>
      </w:r>
      <w:r>
        <w:rPr>
          <w:rStyle w:val="FootnoteReference"/>
        </w:rPr>
        <w:footnoteReference w:id="52"/>
      </w:r>
      <w:r>
        <w:t xml:space="preserve"> In </w:t>
      </w:r>
      <w:r w:rsidR="007E250F">
        <w:t>State Fiscal Year (SFY) 2017</w:t>
      </w:r>
      <w:r>
        <w:t>, there 14.3% of the youth served by JR were in YOP. A majority of these youth were served at Green Hill School (81%).</w:t>
      </w:r>
      <w:r>
        <w:rPr>
          <w:rStyle w:val="FootnoteReference"/>
        </w:rPr>
        <w:footnoteReference w:id="53"/>
      </w:r>
    </w:p>
    <w:p w14:paraId="4CAE5800" w14:textId="77777777" w:rsidR="007B0A05" w:rsidRPr="000A5BE9" w:rsidRDefault="007B0A05" w:rsidP="003B4C2F">
      <w:pPr>
        <w:rPr>
          <w:color w:val="212121"/>
        </w:rPr>
      </w:pPr>
      <w:r>
        <w:t>O</w:t>
      </w:r>
      <w:r w:rsidRPr="000A5BE9">
        <w:t>f all the youth served in JR</w:t>
      </w:r>
      <w:r>
        <w:t xml:space="preserve"> in SFY 2018,</w:t>
      </w:r>
      <w:r w:rsidRPr="000A5BE9">
        <w:t xml:space="preserve"> </w:t>
      </w:r>
      <w:r>
        <w:t xml:space="preserve">19.2% </w:t>
      </w:r>
      <w:r w:rsidRPr="000A5BE9">
        <w:t xml:space="preserve">claimed gang affiliation. However, </w:t>
      </w:r>
      <w:r>
        <w:t xml:space="preserve">since </w:t>
      </w:r>
      <w:r w:rsidRPr="000A5BE9">
        <w:t xml:space="preserve">youth with known gang affiliation typically commit more serious and violent offenses </w:t>
      </w:r>
      <w:r>
        <w:t xml:space="preserve">– </w:t>
      </w:r>
      <w:r w:rsidRPr="000A5BE9">
        <w:t xml:space="preserve">resulting in longer sentences </w:t>
      </w:r>
      <w:r>
        <w:t xml:space="preserve">– </w:t>
      </w:r>
      <w:r w:rsidR="00971C15">
        <w:t>the percentage of gang-</w:t>
      </w:r>
      <w:r w:rsidRPr="000A5BE9">
        <w:t>affiliated youth in residence on any given day in JR is approximately 45%.</w:t>
      </w:r>
      <w:r>
        <w:rPr>
          <w:rStyle w:val="FootnoteReference"/>
        </w:rPr>
        <w:footnoteReference w:id="54"/>
      </w:r>
    </w:p>
    <w:p w14:paraId="5772C433" w14:textId="77777777" w:rsidR="00ED51BB" w:rsidRPr="000A5BE9" w:rsidRDefault="00183592" w:rsidP="003B4C2F">
      <w:pPr>
        <w:rPr>
          <w:color w:val="212121"/>
        </w:rPr>
      </w:pPr>
      <w:r>
        <w:t>During SFY 2018</w:t>
      </w:r>
      <w:r w:rsidR="00971C15">
        <w:t>,</w:t>
      </w:r>
      <w:r>
        <w:t xml:space="preserve"> JR provided services </w:t>
      </w:r>
      <w:r w:rsidR="004E302C">
        <w:t>to</w:t>
      </w:r>
      <w:r w:rsidR="001C5462">
        <w:t xml:space="preserve"> </w:t>
      </w:r>
      <w:r w:rsidR="00A95E9F">
        <w:t>1,201</w:t>
      </w:r>
      <w:r w:rsidR="00237B36">
        <w:t xml:space="preserve"> </w:t>
      </w:r>
      <w:r w:rsidR="00C71D2B">
        <w:t>youth</w:t>
      </w:r>
      <w:r w:rsidR="00ED51BB">
        <w:t xml:space="preserve"> </w:t>
      </w:r>
      <w:r>
        <w:t xml:space="preserve">in its </w:t>
      </w:r>
      <w:r w:rsidR="00ED51BB">
        <w:t xml:space="preserve">three institutions and </w:t>
      </w:r>
      <w:r w:rsidR="00237B36">
        <w:t xml:space="preserve">eight community </w:t>
      </w:r>
      <w:r w:rsidR="004E302C">
        <w:t>facilities</w:t>
      </w:r>
      <w:r>
        <w:t xml:space="preserve">, with the institutions serving </w:t>
      </w:r>
      <w:r w:rsidR="00A95E9F">
        <w:t xml:space="preserve">911 youth </w:t>
      </w:r>
      <w:r>
        <w:t xml:space="preserve">and </w:t>
      </w:r>
      <w:r w:rsidR="00971C15">
        <w:t>the community facilities serving</w:t>
      </w:r>
      <w:r>
        <w:t xml:space="preserve"> </w:t>
      </w:r>
      <w:r w:rsidR="00A95E9F">
        <w:t>290 youth</w:t>
      </w:r>
      <w:r>
        <w:t xml:space="preserve">. Of these youth, </w:t>
      </w:r>
      <w:r w:rsidR="00A95E9F">
        <w:t>9</w:t>
      </w:r>
      <w:r>
        <w:t>2%</w:t>
      </w:r>
      <w:r w:rsidR="00A95E9F">
        <w:t xml:space="preserve"> of the youth in institutions </w:t>
      </w:r>
      <w:r>
        <w:t>and 90% of youth in the community facilities were male</w:t>
      </w:r>
      <w:r w:rsidR="00A95E9F">
        <w:t>.</w:t>
      </w:r>
      <w:r w:rsidR="008164B0">
        <w:t xml:space="preserve"> </w:t>
      </w:r>
      <w:r>
        <w:t xml:space="preserve">Sixty-four percent (64%) of the youth in institutions and 62% of the youth in the community facilities were youth of color. Ages of youth ranged </w:t>
      </w:r>
      <w:r w:rsidR="00C71D2B">
        <w:t xml:space="preserve">from </w:t>
      </w:r>
      <w:r>
        <w:t xml:space="preserve">12 </w:t>
      </w:r>
      <w:r w:rsidR="00C71D2B">
        <w:t xml:space="preserve">to </w:t>
      </w:r>
      <w:r w:rsidR="008164B0">
        <w:t>20</w:t>
      </w:r>
      <w:r w:rsidR="00C71D2B">
        <w:t xml:space="preserve"> years of age</w:t>
      </w:r>
      <w:r w:rsidR="00ED51BB">
        <w:t>,</w:t>
      </w:r>
      <w:r w:rsidR="008164B0">
        <w:t xml:space="preserve"> with </w:t>
      </w:r>
      <w:r w:rsidR="00A95E9F">
        <w:t>72% of the youth in the institutions 17 years of age or</w:t>
      </w:r>
      <w:r w:rsidR="008164B0">
        <w:t xml:space="preserve"> over </w:t>
      </w:r>
      <w:r w:rsidR="00A95E9F">
        <w:t>and 79% o</w:t>
      </w:r>
      <w:r>
        <w:t>f</w:t>
      </w:r>
      <w:r w:rsidR="00A95E9F">
        <w:t xml:space="preserve"> the youth in the community facilities 17 years of age or older</w:t>
      </w:r>
      <w:r w:rsidR="008164B0">
        <w:t>.</w:t>
      </w:r>
      <w:r w:rsidR="00237B36">
        <w:rPr>
          <w:rStyle w:val="FootnoteReference"/>
        </w:rPr>
        <w:footnoteReference w:id="55"/>
      </w:r>
      <w:r w:rsidR="008164B0">
        <w:t xml:space="preserve"> </w:t>
      </w:r>
      <w:r w:rsidR="003D4E6D">
        <w:t>Youth of color are the majority of youth in the institutions (64%) and the community facilities (62%).</w:t>
      </w:r>
      <w:r w:rsidR="003D4E6D">
        <w:rPr>
          <w:rStyle w:val="FootnoteReference"/>
        </w:rPr>
        <w:footnoteReference w:id="56"/>
      </w:r>
    </w:p>
    <w:p w14:paraId="68DDCE50" w14:textId="77777777" w:rsidR="0037341F" w:rsidRDefault="00ED51BB" w:rsidP="003B4C2F">
      <w:r>
        <w:t xml:space="preserve">Youth in </w:t>
      </w:r>
      <w:r w:rsidR="001676DF">
        <w:t>JR</w:t>
      </w:r>
      <w:r>
        <w:t xml:space="preserve"> facilities </w:t>
      </w:r>
      <w:r w:rsidR="0037341F">
        <w:t xml:space="preserve">have complex </w:t>
      </w:r>
      <w:r w:rsidR="004E302C">
        <w:t xml:space="preserve">behavioral health needs </w:t>
      </w:r>
      <w:r w:rsidR="0037341F">
        <w:t>that require dynamic treatment services</w:t>
      </w:r>
      <w:r w:rsidR="00C349E1">
        <w:t>.</w:t>
      </w:r>
      <w:r w:rsidR="00876279">
        <w:t xml:space="preserve"> </w:t>
      </w:r>
      <w:r w:rsidR="00622639">
        <w:t>In SFY 2018</w:t>
      </w:r>
      <w:r w:rsidR="00876279">
        <w:t>:</w:t>
      </w:r>
      <w:r w:rsidR="004E302C">
        <w:rPr>
          <w:rStyle w:val="FootnoteReference"/>
        </w:rPr>
        <w:footnoteReference w:id="57"/>
      </w:r>
    </w:p>
    <w:p w14:paraId="2040C196" w14:textId="77777777" w:rsidR="00622639" w:rsidRDefault="00622639" w:rsidP="00876279">
      <w:pPr>
        <w:pStyle w:val="ListBullet"/>
      </w:pPr>
      <w:r>
        <w:t xml:space="preserve">69% of youth in the institutions and 59% of youth in the community facilities </w:t>
      </w:r>
      <w:r w:rsidR="00971C15">
        <w:t xml:space="preserve">had </w:t>
      </w:r>
      <w:r>
        <w:t>a substance abuse dependency treatment need;</w:t>
      </w:r>
    </w:p>
    <w:p w14:paraId="6F4F47E5" w14:textId="77777777" w:rsidR="00876279" w:rsidRDefault="00622639" w:rsidP="00876279">
      <w:pPr>
        <w:pStyle w:val="ListBullet"/>
      </w:pPr>
      <w:r>
        <w:t>64</w:t>
      </w:r>
      <w:r w:rsidR="00C349E1">
        <w:t>%</w:t>
      </w:r>
      <w:r w:rsidR="004E302C">
        <w:t xml:space="preserve"> </w:t>
      </w:r>
      <w:r>
        <w:t xml:space="preserve">of youth in the institutions and 54% of the youth in the community facilities </w:t>
      </w:r>
      <w:r w:rsidR="00971C15">
        <w:t>had</w:t>
      </w:r>
      <w:r w:rsidR="004E302C">
        <w:t xml:space="preserve"> a mental health treatment need</w:t>
      </w:r>
      <w:r>
        <w:t xml:space="preserve">; </w:t>
      </w:r>
    </w:p>
    <w:p w14:paraId="4F860311" w14:textId="77777777" w:rsidR="00042DB8" w:rsidRDefault="00622639" w:rsidP="00042DB8">
      <w:pPr>
        <w:pStyle w:val="ListBullet"/>
        <w:contextualSpacing w:val="0"/>
      </w:pPr>
      <w:r>
        <w:t xml:space="preserve">36% of youth in the institutions and 37% of the youth in the community facilities </w:t>
      </w:r>
      <w:r w:rsidR="00971C15">
        <w:t>had</w:t>
      </w:r>
      <w:r w:rsidR="00C349E1">
        <w:t xml:space="preserve"> two co-occurring clinical treatment needs</w:t>
      </w:r>
      <w:r w:rsidR="001676DF">
        <w:t>.</w:t>
      </w:r>
    </w:p>
    <w:p w14:paraId="63308C26" w14:textId="77777777" w:rsidR="000A5BE9" w:rsidRDefault="000A5BE9" w:rsidP="00741BE1">
      <w:r>
        <w:t>In addition, 29% of the youth in the institutions and 26% of the youth in the community facilities had a measurable cognitive impairment.</w:t>
      </w:r>
      <w:r w:rsidR="00DF6175">
        <w:rPr>
          <w:rStyle w:val="FootnoteReference"/>
        </w:rPr>
        <w:footnoteReference w:id="58"/>
      </w:r>
    </w:p>
    <w:p w14:paraId="587D7A00" w14:textId="77777777" w:rsidR="00DF3B68" w:rsidRPr="004E1B82" w:rsidRDefault="00322D48" w:rsidP="002323A9">
      <w:pPr>
        <w:pStyle w:val="Heading1"/>
      </w:pPr>
      <w:bookmarkStart w:id="31" w:name="_Toc531597488"/>
      <w:r w:rsidRPr="004E1B82">
        <w:t xml:space="preserve">Key </w:t>
      </w:r>
      <w:r w:rsidR="00C60D66" w:rsidRPr="004E1B82">
        <w:t>F</w:t>
      </w:r>
      <w:r w:rsidRPr="004E1B82">
        <w:t>indings</w:t>
      </w:r>
      <w:bookmarkEnd w:id="31"/>
      <w:r w:rsidRPr="004E1B82">
        <w:t xml:space="preserve"> </w:t>
      </w:r>
    </w:p>
    <w:p w14:paraId="60BE36ED" w14:textId="77777777" w:rsidR="003B08CD" w:rsidRDefault="003B08CD" w:rsidP="003B08CD">
      <w:r>
        <w:t>In order to achieve its mission, J</w:t>
      </w:r>
      <w:r w:rsidR="00971C15">
        <w:t>uvenile Rehabilitation (JR)</w:t>
      </w:r>
      <w:r>
        <w:t xml:space="preserve"> must hire, select, train, and retain competent direct services employees. This section of the report provides key findings </w:t>
      </w:r>
      <w:r w:rsidR="005C0F81">
        <w:t xml:space="preserve">regarding current staffing challenges. </w:t>
      </w:r>
      <w:r w:rsidR="00FD6792">
        <w:t xml:space="preserve">These insights </w:t>
      </w:r>
      <w:r w:rsidR="005C0F81">
        <w:t xml:space="preserve">will inform the development of a new </w:t>
      </w:r>
      <w:r w:rsidR="005D560D">
        <w:t xml:space="preserve">residential </w:t>
      </w:r>
      <w:r w:rsidR="005C0F81">
        <w:lastRenderedPageBreak/>
        <w:t>staffing model</w:t>
      </w:r>
      <w:r w:rsidR="007A21F5">
        <w:t xml:space="preserve"> to support the implementation of </w:t>
      </w:r>
      <w:r w:rsidR="00FD6792">
        <w:t>the</w:t>
      </w:r>
      <w:r w:rsidR="007A21F5">
        <w:t xml:space="preserve"> </w:t>
      </w:r>
      <w:r w:rsidR="00AF70EE">
        <w:t>Rehabilitation Model</w:t>
      </w:r>
      <w:r w:rsidR="00971C15">
        <w:t xml:space="preserve"> </w:t>
      </w:r>
      <w:r w:rsidR="007A21F5">
        <w:t>and positive ou</w:t>
      </w:r>
      <w:r w:rsidR="003334F1">
        <w:t xml:space="preserve">tcomes for youth </w:t>
      </w:r>
      <w:r w:rsidR="00FD6792">
        <w:t>in the custody of</w:t>
      </w:r>
      <w:r w:rsidR="003334F1">
        <w:t xml:space="preserve"> JR. This</w:t>
      </w:r>
      <w:r w:rsidR="007A21F5">
        <w:t xml:space="preserve"> section includes an overview of findings regarding:</w:t>
      </w:r>
    </w:p>
    <w:p w14:paraId="7C4E15A2" w14:textId="43D0FA3E" w:rsidR="003B08CD" w:rsidRDefault="003B08CD" w:rsidP="001676DF">
      <w:pPr>
        <w:pStyle w:val="ListBullet"/>
        <w:keepNext/>
        <w:keepLines/>
      </w:pPr>
      <w:r>
        <w:t xml:space="preserve">Fidelity </w:t>
      </w:r>
      <w:r w:rsidR="007A21F5">
        <w:t xml:space="preserve">to the </w:t>
      </w:r>
      <w:r w:rsidR="000122E2">
        <w:t>Rehabilitation Model</w:t>
      </w:r>
      <w:r w:rsidR="00C16025">
        <w:t>;</w:t>
      </w:r>
    </w:p>
    <w:p w14:paraId="5AA0EB80" w14:textId="77777777" w:rsidR="0070714D" w:rsidRDefault="0070714D" w:rsidP="0070714D">
      <w:pPr>
        <w:pStyle w:val="ListBullet"/>
      </w:pPr>
      <w:r>
        <w:t>Staffing challenges</w:t>
      </w:r>
      <w:r w:rsidR="00C16025">
        <w:t>:</w:t>
      </w:r>
      <w:r>
        <w:t xml:space="preserve"> </w:t>
      </w:r>
    </w:p>
    <w:p w14:paraId="6A776CE2" w14:textId="77777777" w:rsidR="0070714D" w:rsidRDefault="0070714D" w:rsidP="0070714D">
      <w:pPr>
        <w:pStyle w:val="ListBullet2"/>
      </w:pPr>
      <w:r>
        <w:t>Adequacy of staffing levels</w:t>
      </w:r>
      <w:r w:rsidR="00732333">
        <w:t>,</w:t>
      </w:r>
    </w:p>
    <w:p w14:paraId="0298FCB6" w14:textId="77777777" w:rsidR="0070714D" w:rsidRDefault="0070714D" w:rsidP="0070714D">
      <w:pPr>
        <w:pStyle w:val="ListBullet2"/>
      </w:pPr>
      <w:r>
        <w:t>Time spent by staff</w:t>
      </w:r>
      <w:r w:rsidR="00732333">
        <w:t>,</w:t>
      </w:r>
    </w:p>
    <w:p w14:paraId="42238717" w14:textId="77777777" w:rsidR="0070714D" w:rsidRDefault="0070714D" w:rsidP="0070714D">
      <w:pPr>
        <w:pStyle w:val="ListBullet2"/>
      </w:pPr>
      <w:r>
        <w:t>Case management time</w:t>
      </w:r>
      <w:r w:rsidR="00732333">
        <w:t>,</w:t>
      </w:r>
    </w:p>
    <w:p w14:paraId="6802674E" w14:textId="77777777" w:rsidR="0070714D" w:rsidRDefault="0070714D" w:rsidP="0070714D">
      <w:pPr>
        <w:pStyle w:val="ListBullet2"/>
      </w:pPr>
      <w:r>
        <w:t>Leave and overtime</w:t>
      </w:r>
      <w:r w:rsidR="00732333">
        <w:t>,</w:t>
      </w:r>
    </w:p>
    <w:p w14:paraId="3F420609" w14:textId="77777777" w:rsidR="0070714D" w:rsidRDefault="0070714D" w:rsidP="0070714D">
      <w:pPr>
        <w:pStyle w:val="ListBullet2"/>
      </w:pPr>
      <w:r>
        <w:t>Caseloads</w:t>
      </w:r>
      <w:r w:rsidR="00732333">
        <w:t>,</w:t>
      </w:r>
    </w:p>
    <w:p w14:paraId="62EE53EB" w14:textId="77777777" w:rsidR="0070714D" w:rsidRDefault="0070714D" w:rsidP="0070714D">
      <w:pPr>
        <w:pStyle w:val="ListBullet2"/>
      </w:pPr>
      <w:r>
        <w:t>Supervision</w:t>
      </w:r>
      <w:r w:rsidR="00732333">
        <w:t>,</w:t>
      </w:r>
    </w:p>
    <w:p w14:paraId="6C16579A" w14:textId="77777777" w:rsidR="0070714D" w:rsidRDefault="0070714D" w:rsidP="0070714D">
      <w:pPr>
        <w:pStyle w:val="ListBullet2"/>
      </w:pPr>
      <w:r>
        <w:t>Training and professional development</w:t>
      </w:r>
      <w:r w:rsidR="00732333">
        <w:t>,</w:t>
      </w:r>
      <w:r w:rsidR="007E250F">
        <w:t xml:space="preserve"> and</w:t>
      </w:r>
    </w:p>
    <w:p w14:paraId="302BAB1A" w14:textId="77777777" w:rsidR="003B08CD" w:rsidRDefault="0070714D" w:rsidP="0070714D">
      <w:pPr>
        <w:pStyle w:val="ListBullet2"/>
      </w:pPr>
      <w:r>
        <w:t>Staff-to-youth ratios</w:t>
      </w:r>
      <w:r w:rsidR="00566444">
        <w:t>.</w:t>
      </w:r>
    </w:p>
    <w:p w14:paraId="164FDD8A" w14:textId="77777777" w:rsidR="00946562" w:rsidRDefault="00946562" w:rsidP="001676DF">
      <w:pPr>
        <w:pStyle w:val="ListBullet"/>
        <w:keepNext/>
        <w:keepLines/>
      </w:pPr>
      <w:r>
        <w:t xml:space="preserve">Staff </w:t>
      </w:r>
      <w:r w:rsidR="00FD6792">
        <w:t>d</w:t>
      </w:r>
      <w:r>
        <w:t>emographics</w:t>
      </w:r>
      <w:r w:rsidR="00732333">
        <w:t>;</w:t>
      </w:r>
    </w:p>
    <w:p w14:paraId="10F2A97D" w14:textId="77777777" w:rsidR="003B08CD" w:rsidRDefault="00FD6792" w:rsidP="003C6314">
      <w:pPr>
        <w:pStyle w:val="ListBullet"/>
      </w:pPr>
      <w:r>
        <w:t>Staff salaries</w:t>
      </w:r>
      <w:r w:rsidR="00732333">
        <w:t>;</w:t>
      </w:r>
    </w:p>
    <w:p w14:paraId="485CD649" w14:textId="77777777" w:rsidR="003B08CD" w:rsidRDefault="00FD6792" w:rsidP="003C6314">
      <w:pPr>
        <w:pStyle w:val="ListBullet"/>
      </w:pPr>
      <w:r>
        <w:t>Staff turnover</w:t>
      </w:r>
      <w:r w:rsidR="00732333">
        <w:t>;</w:t>
      </w:r>
    </w:p>
    <w:p w14:paraId="2C957900" w14:textId="77777777" w:rsidR="003B08CD" w:rsidRDefault="00B23525" w:rsidP="003C6314">
      <w:pPr>
        <w:pStyle w:val="ListBullet"/>
      </w:pPr>
      <w:r>
        <w:t xml:space="preserve">Factors </w:t>
      </w:r>
      <w:r w:rsidR="00FD6792">
        <w:t>l</w:t>
      </w:r>
      <w:r>
        <w:t xml:space="preserve">inked to </w:t>
      </w:r>
      <w:r w:rsidR="00FD6792">
        <w:t>r</w:t>
      </w:r>
      <w:r w:rsidR="003C6314">
        <w:t>etention</w:t>
      </w:r>
      <w:r w:rsidR="00FD6792">
        <w:t xml:space="preserve"> and turnover</w:t>
      </w:r>
      <w:r w:rsidR="00732333">
        <w:t>;</w:t>
      </w:r>
    </w:p>
    <w:p w14:paraId="7D4FBD9A" w14:textId="77777777" w:rsidR="0070714D" w:rsidRDefault="0070714D" w:rsidP="003C6314">
      <w:pPr>
        <w:pStyle w:val="ListBullet"/>
      </w:pPr>
      <w:r>
        <w:t>Safety</w:t>
      </w:r>
      <w:r w:rsidR="00732333">
        <w:t>;</w:t>
      </w:r>
    </w:p>
    <w:p w14:paraId="7729BD85" w14:textId="77777777" w:rsidR="003C6314" w:rsidRDefault="003C6314" w:rsidP="003C6314">
      <w:pPr>
        <w:pStyle w:val="ListBullet"/>
      </w:pPr>
      <w:r>
        <w:t xml:space="preserve">Culture, </w:t>
      </w:r>
      <w:r w:rsidR="00FD6792">
        <w:t>c</w:t>
      </w:r>
      <w:r>
        <w:t xml:space="preserve">limate </w:t>
      </w:r>
      <w:r w:rsidR="00FD6792">
        <w:t>and m</w:t>
      </w:r>
      <w:r>
        <w:t>orale</w:t>
      </w:r>
      <w:r w:rsidR="00732333">
        <w:t>; and</w:t>
      </w:r>
    </w:p>
    <w:p w14:paraId="17588BD5" w14:textId="77777777" w:rsidR="003C6314" w:rsidRDefault="003C6314" w:rsidP="003C6314">
      <w:pPr>
        <w:pStyle w:val="ListBullet"/>
        <w:contextualSpacing w:val="0"/>
      </w:pPr>
      <w:r>
        <w:t xml:space="preserve">Recruitment, </w:t>
      </w:r>
      <w:r w:rsidR="00FD6792">
        <w:t>s</w:t>
      </w:r>
      <w:r>
        <w:t xml:space="preserve">election </w:t>
      </w:r>
      <w:r w:rsidR="00FD6792">
        <w:t>and r</w:t>
      </w:r>
      <w:r>
        <w:t>etention</w:t>
      </w:r>
      <w:r w:rsidR="00732333">
        <w:t>.</w:t>
      </w:r>
    </w:p>
    <w:p w14:paraId="3AF92F3D" w14:textId="77777777" w:rsidR="003B08CD" w:rsidRDefault="001676DF" w:rsidP="001676DF">
      <w:r>
        <w:t xml:space="preserve">In the beginning of each </w:t>
      </w:r>
      <w:r w:rsidRPr="001676DF">
        <w:t xml:space="preserve">major </w:t>
      </w:r>
      <w:r>
        <w:t>sub-</w:t>
      </w:r>
      <w:r w:rsidRPr="001676DF">
        <w:t>section, we provide a summary of the most important finding(s) from that section in a grey highlighted box</w:t>
      </w:r>
      <w:r w:rsidR="00DF0C28">
        <w:t xml:space="preserve"> with bolded black text</w:t>
      </w:r>
      <w:r>
        <w:t xml:space="preserve">. </w:t>
      </w:r>
      <w:r w:rsidR="00261865">
        <w:t>The final section of the</w:t>
      </w:r>
      <w:r w:rsidR="003B08CD">
        <w:t xml:space="preserve"> report provides a summary of the implications of the key findings for a new JR </w:t>
      </w:r>
      <w:r w:rsidR="005D560D">
        <w:t xml:space="preserve">residential </w:t>
      </w:r>
      <w:r w:rsidR="003B08CD">
        <w:t>staffing model.</w:t>
      </w:r>
    </w:p>
    <w:p w14:paraId="04960E3B" w14:textId="77777777" w:rsidR="0049611B" w:rsidRDefault="00101E1C" w:rsidP="00F42D48">
      <w:pPr>
        <w:pStyle w:val="Heading2"/>
      </w:pPr>
      <w:bookmarkStart w:id="32" w:name="_Toc531597489"/>
      <w:r>
        <w:t xml:space="preserve">Fidelity to the </w:t>
      </w:r>
      <w:r w:rsidR="002D22B3">
        <w:t>Rehabilitation</w:t>
      </w:r>
      <w:r>
        <w:t xml:space="preserve"> Model</w:t>
      </w:r>
      <w:bookmarkEnd w:id="32"/>
      <w:r>
        <w:t xml:space="preserve"> </w:t>
      </w:r>
    </w:p>
    <w:p w14:paraId="0BACA376" w14:textId="77777777" w:rsidR="00122231" w:rsidRPr="00414074" w:rsidRDefault="00FA0681" w:rsidP="00A43D69">
      <w:pPr>
        <w:pStyle w:val="RFPtext"/>
        <w:spacing w:after="120"/>
        <w:rPr>
          <w:b/>
          <w:color w:val="auto"/>
          <w:sz w:val="24"/>
        </w:rPr>
      </w:pPr>
      <w:r w:rsidRPr="00E50D74">
        <w:rPr>
          <w:b/>
          <w:color w:val="auto"/>
          <w:sz w:val="24"/>
        </w:rPr>
        <w:t>T</w:t>
      </w:r>
      <w:r w:rsidR="00F510B6" w:rsidRPr="00E50D74">
        <w:rPr>
          <w:b/>
          <w:color w:val="auto"/>
          <w:sz w:val="24"/>
        </w:rPr>
        <w:t>he makeup of the current staff,</w:t>
      </w:r>
      <w:r w:rsidR="009157A9" w:rsidRPr="00E50D74">
        <w:rPr>
          <w:b/>
          <w:color w:val="auto"/>
          <w:sz w:val="24"/>
        </w:rPr>
        <w:t xml:space="preserve"> including both</w:t>
      </w:r>
      <w:r w:rsidR="00F510B6" w:rsidRPr="00E50D74">
        <w:rPr>
          <w:b/>
          <w:color w:val="auto"/>
          <w:sz w:val="24"/>
        </w:rPr>
        <w:t xml:space="preserve"> the</w:t>
      </w:r>
      <w:r w:rsidR="009157A9" w:rsidRPr="00E50D74">
        <w:rPr>
          <w:b/>
          <w:color w:val="auto"/>
          <w:sz w:val="24"/>
        </w:rPr>
        <w:t xml:space="preserve"> number of staff </w:t>
      </w:r>
      <w:r w:rsidR="00F510B6" w:rsidRPr="00E50D74">
        <w:rPr>
          <w:b/>
          <w:color w:val="auto"/>
          <w:sz w:val="24"/>
        </w:rPr>
        <w:t>and the composition of the work</w:t>
      </w:r>
      <w:r w:rsidR="009157A9" w:rsidRPr="00E50D74">
        <w:rPr>
          <w:b/>
          <w:color w:val="auto"/>
          <w:sz w:val="24"/>
        </w:rPr>
        <w:t>force</w:t>
      </w:r>
      <w:r w:rsidR="00F510B6" w:rsidRPr="00E50D74">
        <w:rPr>
          <w:b/>
          <w:color w:val="auto"/>
          <w:sz w:val="24"/>
        </w:rPr>
        <w:t>,</w:t>
      </w:r>
      <w:r w:rsidR="009157A9" w:rsidRPr="00E50D74">
        <w:rPr>
          <w:b/>
          <w:color w:val="auto"/>
          <w:sz w:val="24"/>
        </w:rPr>
        <w:t xml:space="preserve"> cannot suppor</w:t>
      </w:r>
      <w:r w:rsidR="00DC4F0E" w:rsidRPr="00E50D74">
        <w:rPr>
          <w:b/>
          <w:color w:val="auto"/>
          <w:sz w:val="24"/>
        </w:rPr>
        <w:t xml:space="preserve">t full implementation of all </w:t>
      </w:r>
      <w:r w:rsidR="00971C15">
        <w:rPr>
          <w:b/>
          <w:color w:val="auto"/>
          <w:sz w:val="24"/>
        </w:rPr>
        <w:t xml:space="preserve">components of the </w:t>
      </w:r>
      <w:r w:rsidR="00AF70EE">
        <w:rPr>
          <w:b/>
          <w:color w:val="auto"/>
          <w:sz w:val="24"/>
        </w:rPr>
        <w:t xml:space="preserve">Rehabilitation Model. </w:t>
      </w:r>
    </w:p>
    <w:p w14:paraId="790797EB" w14:textId="77777777" w:rsidR="002973A5" w:rsidRDefault="000F7244" w:rsidP="003B4C2F">
      <w:bookmarkStart w:id="33" w:name="_Toc521402076"/>
      <w:bookmarkStart w:id="34" w:name="_Toc521402368"/>
      <w:bookmarkStart w:id="35" w:name="_Toc521402433"/>
      <w:bookmarkStart w:id="36" w:name="_Toc521402499"/>
      <w:bookmarkStart w:id="37" w:name="_Toc521402565"/>
      <w:bookmarkStart w:id="38" w:name="_Toc521402629"/>
      <w:bookmarkStart w:id="39" w:name="_Toc521402693"/>
      <w:bookmarkStart w:id="40" w:name="_Toc521402756"/>
      <w:bookmarkStart w:id="41" w:name="_Toc521403171"/>
      <w:r>
        <w:t>Due to insufficient staffing levels, J</w:t>
      </w:r>
      <w:r w:rsidR="007E250F">
        <w:t xml:space="preserve">uvenile Rehabilitation Residential Counselors (JRRCs) Juvenile Rehabilitation Counselor Assistances (JRCAs) </w:t>
      </w:r>
      <w:r>
        <w:t xml:space="preserve">are not able to implement </w:t>
      </w:r>
      <w:r w:rsidR="002973A5">
        <w:t xml:space="preserve">all key components of the </w:t>
      </w:r>
      <w:bookmarkStart w:id="42" w:name="_Hlk520966497"/>
      <w:bookmarkEnd w:id="33"/>
      <w:bookmarkEnd w:id="34"/>
      <w:bookmarkEnd w:id="35"/>
      <w:bookmarkEnd w:id="36"/>
      <w:bookmarkEnd w:id="37"/>
      <w:bookmarkEnd w:id="38"/>
      <w:bookmarkEnd w:id="39"/>
      <w:bookmarkEnd w:id="40"/>
      <w:bookmarkEnd w:id="41"/>
      <w:r w:rsidR="00AF70EE">
        <w:t>Rehabilitation Model</w:t>
      </w:r>
      <w:r w:rsidR="00171687">
        <w:t xml:space="preserve">. </w:t>
      </w:r>
      <w:r w:rsidR="002973A5">
        <w:t>As discussed above, these include:</w:t>
      </w:r>
    </w:p>
    <w:p w14:paraId="335BF919" w14:textId="77777777" w:rsidR="002973A5" w:rsidRDefault="002973A5" w:rsidP="002973A5">
      <w:pPr>
        <w:pStyle w:val="ListBullet"/>
      </w:pPr>
      <w:r>
        <w:t xml:space="preserve">Primary Treatment, which includes Dialectical </w:t>
      </w:r>
      <w:r w:rsidR="00B050BA">
        <w:t xml:space="preserve">Behavior </w:t>
      </w:r>
      <w:r>
        <w:t xml:space="preserve">Therapy (DBT) and other specialized treatments (e.g., Aggression Replacement Treatment (ART), substance abuse treatment, mental health treatment); </w:t>
      </w:r>
    </w:p>
    <w:p w14:paraId="6A700F1E" w14:textId="77777777" w:rsidR="002973A5" w:rsidRDefault="002973A5" w:rsidP="002973A5">
      <w:pPr>
        <w:pStyle w:val="ListBullet"/>
      </w:pPr>
      <w:r>
        <w:t>Key Programs and Services, which include vocation and education, health and mentoring, and cultural and recreational activities; and</w:t>
      </w:r>
    </w:p>
    <w:p w14:paraId="6800E656" w14:textId="77777777" w:rsidR="002973A5" w:rsidRDefault="002973A5" w:rsidP="002973A5">
      <w:pPr>
        <w:pStyle w:val="ListBullet"/>
        <w:contextualSpacing w:val="0"/>
      </w:pPr>
      <w:r>
        <w:t>Reentry Pl</w:t>
      </w:r>
      <w:r w:rsidR="00971C15">
        <w:t>anning, which is client-focused</w:t>
      </w:r>
      <w:r>
        <w:t xml:space="preserve"> and provides c</w:t>
      </w:r>
      <w:r w:rsidR="00971C15">
        <w:t>onnection with natural supports</w:t>
      </w:r>
      <w:r>
        <w:t xml:space="preserve"> and community services and supports.</w:t>
      </w:r>
    </w:p>
    <w:p w14:paraId="0591556D" w14:textId="77777777" w:rsidR="002973A5" w:rsidRDefault="002973A5" w:rsidP="003B4C2F">
      <w:r>
        <w:t>This section discusses key is</w:t>
      </w:r>
      <w:r w:rsidR="00AF70EE">
        <w:t>sues regarding fidelity to the three</w:t>
      </w:r>
      <w:r>
        <w:t xml:space="preserve"> key components of the </w:t>
      </w:r>
      <w:r w:rsidR="00AF70EE">
        <w:t>Rehabilitation Model</w:t>
      </w:r>
      <w:r>
        <w:t>.</w:t>
      </w:r>
    </w:p>
    <w:p w14:paraId="3386E474" w14:textId="77777777" w:rsidR="002973A5" w:rsidRDefault="002973A5" w:rsidP="00FA2283">
      <w:pPr>
        <w:pStyle w:val="Heading3"/>
        <w:numPr>
          <w:ilvl w:val="2"/>
          <w:numId w:val="34"/>
        </w:numPr>
        <w:ind w:left="720"/>
      </w:pPr>
      <w:bookmarkStart w:id="43" w:name="_Toc531597490"/>
      <w:r>
        <w:t>Primary Treatment</w:t>
      </w:r>
      <w:bookmarkEnd w:id="43"/>
    </w:p>
    <w:p w14:paraId="58F71646" w14:textId="77777777" w:rsidR="005C3DC2" w:rsidRDefault="00171687" w:rsidP="003B4C2F">
      <w:r>
        <w:t xml:space="preserve">In interviews with </w:t>
      </w:r>
      <w:r w:rsidR="00971C15">
        <w:t>JRRCs and JRCAs (counselors)</w:t>
      </w:r>
      <w:r>
        <w:t xml:space="preserve"> most indicated they are not able to</w:t>
      </w:r>
      <w:r w:rsidR="005B1073">
        <w:t xml:space="preserve"> meet all </w:t>
      </w:r>
      <w:r w:rsidR="005C3DC2">
        <w:t xml:space="preserve">of the DBT </w:t>
      </w:r>
      <w:r w:rsidR="005B1073">
        <w:t>standards</w:t>
      </w:r>
      <w:r>
        <w:t xml:space="preserve">. </w:t>
      </w:r>
      <w:r w:rsidR="00A410FF">
        <w:t xml:space="preserve">Similar to what was noted in a previous report written in 2004, counselors are struggling to prepare for and provide one-on-one counseling with youth </w:t>
      </w:r>
      <w:r w:rsidR="00E87C17">
        <w:t>for t</w:t>
      </w:r>
      <w:r w:rsidR="00A410FF">
        <w:t xml:space="preserve">he minimum of </w:t>
      </w:r>
      <w:r w:rsidR="00E87C17">
        <w:lastRenderedPageBreak/>
        <w:t>one (1) hour per week while also</w:t>
      </w:r>
      <w:r w:rsidR="00A410FF">
        <w:t xml:space="preserve"> prepar</w:t>
      </w:r>
      <w:r w:rsidR="00E87C17">
        <w:t>ing</w:t>
      </w:r>
      <w:r w:rsidR="00A410FF">
        <w:t xml:space="preserve"> </w:t>
      </w:r>
      <w:r w:rsidR="005C3DC2">
        <w:t xml:space="preserve">for </w:t>
      </w:r>
      <w:r w:rsidR="00A410FF">
        <w:t>and conduct</w:t>
      </w:r>
      <w:r w:rsidR="00E87C17">
        <w:t>ing</w:t>
      </w:r>
      <w:r w:rsidR="00A410FF">
        <w:t xml:space="preserve"> skills acquisition</w:t>
      </w:r>
      <w:r w:rsidR="00783D25">
        <w:t xml:space="preserve"> and generalization</w:t>
      </w:r>
      <w:r w:rsidR="00A410FF">
        <w:t xml:space="preserve"> group</w:t>
      </w:r>
      <w:r w:rsidR="00E87C17">
        <w:t xml:space="preserve"> sessions</w:t>
      </w:r>
      <w:r w:rsidR="00A410FF">
        <w:t xml:space="preserve">. </w:t>
      </w:r>
      <w:r w:rsidR="00E87C17">
        <w:t>M</w:t>
      </w:r>
      <w:r w:rsidR="00A410FF">
        <w:t xml:space="preserve">any of their case management responsibilities </w:t>
      </w:r>
      <w:r w:rsidR="00937421">
        <w:t>therefore remain incomplete,</w:t>
      </w:r>
      <w:r w:rsidR="00A410FF">
        <w:t xml:space="preserve"> or </w:t>
      </w:r>
      <w:r w:rsidR="00937421">
        <w:t xml:space="preserve">do not meet preferred </w:t>
      </w:r>
      <w:r w:rsidR="005C3DC2">
        <w:t xml:space="preserve">quality </w:t>
      </w:r>
      <w:r w:rsidR="00937421">
        <w:t>standards</w:t>
      </w:r>
      <w:r w:rsidR="00A410FF">
        <w:t xml:space="preserve">. </w:t>
      </w:r>
      <w:r w:rsidR="00CE2F9F">
        <w:t>Counselors</w:t>
      </w:r>
      <w:r w:rsidR="00A410FF">
        <w:t xml:space="preserve"> indicated they need more time to </w:t>
      </w:r>
      <w:r w:rsidR="005C3DC2">
        <w:t xml:space="preserve">spend with </w:t>
      </w:r>
      <w:r w:rsidR="00A410FF">
        <w:t xml:space="preserve">youth on their </w:t>
      </w:r>
      <w:r w:rsidR="005C3DC2">
        <w:t>caseloads and</w:t>
      </w:r>
      <w:r w:rsidR="00A410FF">
        <w:t xml:space="preserve"> </w:t>
      </w:r>
      <w:r w:rsidR="005C3DC2">
        <w:t xml:space="preserve">more time </w:t>
      </w:r>
      <w:r w:rsidR="00CE2F9F">
        <w:t>to conduct one-on-</w:t>
      </w:r>
      <w:r w:rsidR="00A410FF">
        <w:t xml:space="preserve">one coaching and modeling </w:t>
      </w:r>
      <w:r w:rsidR="00CE2F9F">
        <w:t xml:space="preserve">of </w:t>
      </w:r>
      <w:r w:rsidR="00A410FF">
        <w:t xml:space="preserve">behaviors on the floor. </w:t>
      </w:r>
    </w:p>
    <w:p w14:paraId="1A1E56FF" w14:textId="77777777" w:rsidR="003334F1" w:rsidRDefault="001C6DA9" w:rsidP="003B4C2F">
      <w:r w:rsidRPr="005C3DC2">
        <w:t xml:space="preserve">Exhibit </w:t>
      </w:r>
      <w:r w:rsidR="00DD4F6B">
        <w:t>5</w:t>
      </w:r>
      <w:r w:rsidRPr="005C3DC2">
        <w:t>-1</w:t>
      </w:r>
      <w:r w:rsidR="00A410FF" w:rsidRPr="005C3DC2">
        <w:t xml:space="preserve"> provides a summary of the gaps and challenge</w:t>
      </w:r>
      <w:r w:rsidR="00AF563A" w:rsidRPr="005C3DC2">
        <w:t>s to</w:t>
      </w:r>
      <w:r w:rsidR="00A410FF" w:rsidRPr="005C3DC2">
        <w:t xml:space="preserve"> </w:t>
      </w:r>
      <w:r w:rsidR="00AF563A" w:rsidRPr="005C3DC2">
        <w:t>DBT implementation</w:t>
      </w:r>
      <w:r w:rsidR="00A410FF" w:rsidRPr="005C3DC2">
        <w:t xml:space="preserve"> </w:t>
      </w:r>
      <w:r w:rsidR="00AF563A" w:rsidRPr="005C3DC2">
        <w:t>counselors identified during interviews and focus groups</w:t>
      </w:r>
      <w:r w:rsidR="00DB7E31">
        <w:t xml:space="preserve"> at the institutions and community facilities.</w:t>
      </w:r>
    </w:p>
    <w:p w14:paraId="18FC26C4" w14:textId="77777777" w:rsidR="00716021" w:rsidRPr="001C6DA9" w:rsidRDefault="001C6DA9" w:rsidP="001C6DA9">
      <w:pPr>
        <w:pStyle w:val="Caption"/>
      </w:pPr>
      <w:r>
        <w:t xml:space="preserve">Exhibit </w:t>
      </w:r>
      <w:r w:rsidR="00EC62E5">
        <w:rPr>
          <w:noProof/>
        </w:rPr>
        <w:fldChar w:fldCharType="begin"/>
      </w:r>
      <w:r w:rsidR="00EC62E5">
        <w:rPr>
          <w:noProof/>
        </w:rPr>
        <w:instrText xml:space="preserve"> STYLEREF 1 \s </w:instrText>
      </w:r>
      <w:r w:rsidR="00EC62E5">
        <w:rPr>
          <w:noProof/>
        </w:rPr>
        <w:fldChar w:fldCharType="separate"/>
      </w:r>
      <w:r w:rsidR="00FD2536">
        <w:rPr>
          <w:noProof/>
        </w:rPr>
        <w:t>5</w:t>
      </w:r>
      <w:r w:rsidR="00EC62E5">
        <w:rPr>
          <w:noProof/>
        </w:rPr>
        <w:fldChar w:fldCharType="end"/>
      </w:r>
      <w:r>
        <w:noBreakHyphen/>
      </w:r>
      <w:r w:rsidR="00EC62E5">
        <w:rPr>
          <w:noProof/>
        </w:rPr>
        <w:fldChar w:fldCharType="begin"/>
      </w:r>
      <w:r w:rsidR="00EC62E5">
        <w:rPr>
          <w:noProof/>
        </w:rPr>
        <w:instrText xml:space="preserve"> SEQ Exhibit \* ARABIC \s 1 </w:instrText>
      </w:r>
      <w:r w:rsidR="00EC62E5">
        <w:rPr>
          <w:noProof/>
        </w:rPr>
        <w:fldChar w:fldCharType="separate"/>
      </w:r>
      <w:r w:rsidR="00FD2536">
        <w:rPr>
          <w:noProof/>
        </w:rPr>
        <w:t>1</w:t>
      </w:r>
      <w:r w:rsidR="00EC62E5">
        <w:rPr>
          <w:noProof/>
        </w:rPr>
        <w:fldChar w:fldCharType="end"/>
      </w:r>
      <w:r w:rsidR="00E251C1">
        <w:t>.</w:t>
      </w:r>
      <w:r w:rsidR="003C05D5">
        <w:t xml:space="preserve"> </w:t>
      </w:r>
      <w:r w:rsidR="00716021">
        <w:t xml:space="preserve">Gaps and Challenges to Implementing DBT Components  </w:t>
      </w:r>
    </w:p>
    <w:tbl>
      <w:tblPr>
        <w:tblStyle w:val="HyzerTable"/>
        <w:tblW w:w="4899" w:type="pct"/>
        <w:jc w:val="left"/>
        <w:tblLook w:val="0420" w:firstRow="1" w:lastRow="0" w:firstColumn="0" w:lastColumn="0" w:noHBand="0" w:noVBand="1"/>
      </w:tblPr>
      <w:tblGrid>
        <w:gridCol w:w="1274"/>
        <w:gridCol w:w="3546"/>
        <w:gridCol w:w="4351"/>
      </w:tblGrid>
      <w:tr w:rsidR="00716021" w14:paraId="4D2594BB" w14:textId="77777777" w:rsidTr="00AC63CD">
        <w:trPr>
          <w:cnfStyle w:val="100000000000" w:firstRow="1" w:lastRow="0" w:firstColumn="0" w:lastColumn="0" w:oddVBand="0" w:evenVBand="0" w:oddHBand="0" w:evenHBand="0" w:firstRowFirstColumn="0" w:firstRowLastColumn="0" w:lastRowFirstColumn="0" w:lastRowLastColumn="0"/>
          <w:trHeight w:val="567"/>
          <w:tblHeader/>
          <w:jc w:val="left"/>
        </w:trPr>
        <w:tc>
          <w:tcPr>
            <w:tcW w:w="679" w:type="pct"/>
          </w:tcPr>
          <w:p w14:paraId="1C67F48A" w14:textId="77777777" w:rsidR="00716021" w:rsidRPr="005C3DC2" w:rsidRDefault="00716021" w:rsidP="00716021">
            <w:pPr>
              <w:pStyle w:val="tableheaderwhite"/>
              <w:spacing w:before="0"/>
              <w:rPr>
                <w:sz w:val="22"/>
              </w:rPr>
            </w:pPr>
            <w:r w:rsidRPr="1FF1B213">
              <w:rPr>
                <w:sz w:val="22"/>
                <w:szCs w:val="22"/>
              </w:rPr>
              <w:t>DBT Policy Standard</w:t>
            </w:r>
          </w:p>
        </w:tc>
        <w:tc>
          <w:tcPr>
            <w:tcW w:w="1941" w:type="pct"/>
          </w:tcPr>
          <w:p w14:paraId="5B1D029C" w14:textId="77777777" w:rsidR="00716021" w:rsidRPr="005C3DC2" w:rsidRDefault="00716021" w:rsidP="00716021">
            <w:pPr>
              <w:pStyle w:val="tableheaderwhite"/>
              <w:rPr>
                <w:sz w:val="22"/>
              </w:rPr>
            </w:pPr>
            <w:r w:rsidRPr="1FF1B213">
              <w:rPr>
                <w:sz w:val="22"/>
                <w:szCs w:val="22"/>
              </w:rPr>
              <w:t>Key Requirements</w:t>
            </w:r>
          </w:p>
        </w:tc>
        <w:tc>
          <w:tcPr>
            <w:tcW w:w="2380" w:type="pct"/>
          </w:tcPr>
          <w:p w14:paraId="02FA0885" w14:textId="77777777" w:rsidR="00716021" w:rsidRPr="005C3DC2" w:rsidRDefault="00716021" w:rsidP="00716021">
            <w:pPr>
              <w:pStyle w:val="tableheaderwhite"/>
              <w:rPr>
                <w:sz w:val="22"/>
              </w:rPr>
            </w:pPr>
            <w:r w:rsidRPr="1FF1B213">
              <w:rPr>
                <w:sz w:val="22"/>
                <w:szCs w:val="22"/>
              </w:rPr>
              <w:t>Gaps and Challenges Identified from Interviews</w:t>
            </w:r>
          </w:p>
        </w:tc>
      </w:tr>
      <w:tr w:rsidR="00716021" w:rsidRPr="00B80F87" w14:paraId="4D9CFB1C" w14:textId="77777777" w:rsidTr="00AC63CD">
        <w:trPr>
          <w:cnfStyle w:val="000000100000" w:firstRow="0" w:lastRow="0" w:firstColumn="0" w:lastColumn="0" w:oddVBand="0" w:evenVBand="0" w:oddHBand="1" w:evenHBand="0" w:firstRowFirstColumn="0" w:firstRowLastColumn="0" w:lastRowFirstColumn="0" w:lastRowLastColumn="0"/>
          <w:trHeight w:val="350"/>
          <w:jc w:val="left"/>
        </w:trPr>
        <w:tc>
          <w:tcPr>
            <w:tcW w:w="679" w:type="pct"/>
            <w:vMerge w:val="restart"/>
            <w:vAlign w:val="center"/>
          </w:tcPr>
          <w:p w14:paraId="35C7AF8A" w14:textId="77777777" w:rsidR="00716021" w:rsidRPr="00BC5B02" w:rsidRDefault="00716021" w:rsidP="00BC5B02">
            <w:pPr>
              <w:pStyle w:val="TableText"/>
            </w:pPr>
            <w:r w:rsidRPr="00BC5B02">
              <w:t>#1</w:t>
            </w:r>
            <w:r w:rsidR="00353933">
              <w:t>:</w:t>
            </w:r>
            <w:r w:rsidRPr="00BC5B02">
              <w:t xml:space="preserve"> Individual Client Session</w:t>
            </w:r>
            <w:r w:rsidR="00353933">
              <w:t>s</w:t>
            </w:r>
          </w:p>
          <w:p w14:paraId="48A6174D" w14:textId="77777777" w:rsidR="00716021" w:rsidRPr="00BC5B02" w:rsidRDefault="00716021" w:rsidP="00BC5B02">
            <w:pPr>
              <w:pStyle w:val="TableText"/>
            </w:pPr>
          </w:p>
          <w:p w14:paraId="26D8BA78" w14:textId="77777777" w:rsidR="00716021" w:rsidRPr="00BC5B02" w:rsidRDefault="00716021" w:rsidP="00BC5B02">
            <w:pPr>
              <w:pStyle w:val="TableText"/>
            </w:pPr>
          </w:p>
        </w:tc>
        <w:tc>
          <w:tcPr>
            <w:tcW w:w="1941" w:type="pct"/>
            <w:vAlign w:val="center"/>
          </w:tcPr>
          <w:p w14:paraId="63764ABC" w14:textId="77777777" w:rsidR="00716021" w:rsidRPr="00BC5B02" w:rsidRDefault="00353933" w:rsidP="00353933">
            <w:pPr>
              <w:pStyle w:val="TableText"/>
            </w:pPr>
            <w:r>
              <w:t xml:space="preserve">One session at minimum will </w:t>
            </w:r>
            <w:r w:rsidR="00716021" w:rsidRPr="00BC5B02">
              <w:t>be held each week for one hour with each youth on their caseload, minimizing b</w:t>
            </w:r>
            <w:r>
              <w:t>ack-ups or changes in counselor in order</w:t>
            </w:r>
            <w:r w:rsidR="00716021" w:rsidRPr="00BC5B02">
              <w:t xml:space="preserve"> to </w:t>
            </w:r>
            <w:r>
              <w:t>build the</w:t>
            </w:r>
            <w:r w:rsidR="00716021" w:rsidRPr="00BC5B02">
              <w:t xml:space="preserve"> relationship. </w:t>
            </w:r>
          </w:p>
        </w:tc>
        <w:tc>
          <w:tcPr>
            <w:tcW w:w="2380" w:type="pct"/>
            <w:vAlign w:val="center"/>
          </w:tcPr>
          <w:p w14:paraId="4C1DF087" w14:textId="77777777" w:rsidR="00716021" w:rsidRPr="00BC5B02" w:rsidRDefault="00716021" w:rsidP="00971C15">
            <w:pPr>
              <w:pStyle w:val="TableBullet"/>
            </w:pPr>
            <w:r w:rsidRPr="00BC5B02">
              <w:t>The hourly one-on-one meeting per week minimum is generally being held</w:t>
            </w:r>
            <w:r w:rsidR="00353933">
              <w:t>,</w:t>
            </w:r>
            <w:r w:rsidRPr="00BC5B02">
              <w:t xml:space="preserve"> but most counselors face interruptions and find it challenging to have a full hour. </w:t>
            </w:r>
          </w:p>
          <w:p w14:paraId="33A149E7" w14:textId="77777777" w:rsidR="00716021" w:rsidRPr="00BC5B02" w:rsidRDefault="00716021" w:rsidP="00971C15">
            <w:pPr>
              <w:pStyle w:val="TableBullet"/>
            </w:pPr>
            <w:r w:rsidRPr="00BC5B02">
              <w:t xml:space="preserve">There are standards for protected time off the floor, but </w:t>
            </w:r>
            <w:r w:rsidR="00353933">
              <w:t xml:space="preserve">it is </w:t>
            </w:r>
            <w:r w:rsidRPr="00BC5B02">
              <w:t xml:space="preserve">not always possible to follow them without risking security </w:t>
            </w:r>
            <w:r w:rsidR="00353933">
              <w:t>or fulfillment of</w:t>
            </w:r>
            <w:r w:rsidRPr="00BC5B02">
              <w:t xml:space="preserve"> custodial duties. </w:t>
            </w:r>
          </w:p>
        </w:tc>
      </w:tr>
      <w:tr w:rsidR="00716021" w:rsidRPr="00B80F87" w14:paraId="5662ACAA" w14:textId="77777777" w:rsidTr="00AC63CD">
        <w:trPr>
          <w:trHeight w:val="832"/>
          <w:jc w:val="left"/>
        </w:trPr>
        <w:tc>
          <w:tcPr>
            <w:tcW w:w="679" w:type="pct"/>
            <w:vMerge/>
            <w:shd w:val="clear" w:color="auto" w:fill="E6E6E6"/>
            <w:vAlign w:val="center"/>
          </w:tcPr>
          <w:p w14:paraId="1A5A32FF" w14:textId="77777777" w:rsidR="00716021" w:rsidRPr="00BC5B02" w:rsidRDefault="00716021" w:rsidP="00BC5B02">
            <w:pPr>
              <w:pStyle w:val="TableText"/>
            </w:pPr>
          </w:p>
        </w:tc>
        <w:tc>
          <w:tcPr>
            <w:tcW w:w="1941" w:type="pct"/>
            <w:shd w:val="clear" w:color="auto" w:fill="E6E6E6"/>
            <w:vAlign w:val="center"/>
          </w:tcPr>
          <w:p w14:paraId="1163219A" w14:textId="77777777" w:rsidR="00716021" w:rsidRPr="00BC5B02" w:rsidRDefault="00716021" w:rsidP="00BC5B02">
            <w:pPr>
              <w:pStyle w:val="TableText"/>
            </w:pPr>
            <w:r w:rsidRPr="00BC5B02">
              <w:t xml:space="preserve">Each session will have an end summary with homework for the upcoming week and session notes entered in ACT. </w:t>
            </w:r>
          </w:p>
        </w:tc>
        <w:tc>
          <w:tcPr>
            <w:tcW w:w="2380" w:type="pct"/>
            <w:shd w:val="clear" w:color="auto" w:fill="E6E6E6"/>
            <w:vAlign w:val="center"/>
          </w:tcPr>
          <w:p w14:paraId="230CD6EE" w14:textId="77777777" w:rsidR="00716021" w:rsidRPr="00BC5B02" w:rsidRDefault="00353933" w:rsidP="00971C15">
            <w:pPr>
              <w:pStyle w:val="TableBullet"/>
            </w:pPr>
            <w:r>
              <w:t>Staff are entering incomplete notes into</w:t>
            </w:r>
            <w:r w:rsidR="00716021" w:rsidRPr="00BC5B02">
              <w:t xml:space="preserve"> ACT due to </w:t>
            </w:r>
            <w:r>
              <w:t>time limitations.</w:t>
            </w:r>
          </w:p>
          <w:p w14:paraId="3E9E34F7" w14:textId="77777777" w:rsidR="00716021" w:rsidRPr="00BC5B02" w:rsidRDefault="00716021" w:rsidP="00971C15">
            <w:pPr>
              <w:pStyle w:val="TableBullet"/>
            </w:pPr>
            <w:r w:rsidRPr="00BC5B02">
              <w:t>Many sessions are conducted “on the fly</w:t>
            </w:r>
            <w:r w:rsidR="00BB1D24">
              <w:t>,</w:t>
            </w:r>
            <w:r w:rsidRPr="00BC5B02">
              <w:t xml:space="preserve">” </w:t>
            </w:r>
            <w:r w:rsidR="00BB1D24">
              <w:t xml:space="preserve">are </w:t>
            </w:r>
            <w:r w:rsidRPr="00BC5B02">
              <w:t xml:space="preserve">cut short, </w:t>
            </w:r>
            <w:r w:rsidR="00F43973">
              <w:t>and are not</w:t>
            </w:r>
            <w:r w:rsidRPr="00BC5B02">
              <w:t xml:space="preserve"> always structured with closing summaries and homework.</w:t>
            </w:r>
          </w:p>
        </w:tc>
      </w:tr>
      <w:tr w:rsidR="00716021" w:rsidRPr="00B80F87" w14:paraId="1DFB246A" w14:textId="77777777" w:rsidTr="00AC63CD">
        <w:trPr>
          <w:cnfStyle w:val="000000100000" w:firstRow="0" w:lastRow="0" w:firstColumn="0" w:lastColumn="0" w:oddVBand="0" w:evenVBand="0" w:oddHBand="1" w:evenHBand="0" w:firstRowFirstColumn="0" w:firstRowLastColumn="0" w:lastRowFirstColumn="0" w:lastRowLastColumn="0"/>
          <w:trHeight w:val="511"/>
          <w:jc w:val="left"/>
        </w:trPr>
        <w:tc>
          <w:tcPr>
            <w:tcW w:w="679" w:type="pct"/>
            <w:vMerge w:val="restart"/>
            <w:shd w:val="clear" w:color="auto" w:fill="FFFFFF" w:themeFill="background1"/>
            <w:vAlign w:val="center"/>
          </w:tcPr>
          <w:p w14:paraId="2286D3CC" w14:textId="77777777" w:rsidR="00716021" w:rsidRPr="00BC5B02" w:rsidRDefault="00716021" w:rsidP="00BC5B02">
            <w:pPr>
              <w:pStyle w:val="TableText"/>
            </w:pPr>
            <w:r w:rsidRPr="00BC5B02">
              <w:t>#2 Consultation Teams</w:t>
            </w:r>
          </w:p>
          <w:p w14:paraId="2977EB03" w14:textId="77777777" w:rsidR="00716021" w:rsidRPr="00BC5B02" w:rsidRDefault="00716021" w:rsidP="00BC5B02">
            <w:pPr>
              <w:pStyle w:val="TableText"/>
            </w:pPr>
          </w:p>
        </w:tc>
        <w:tc>
          <w:tcPr>
            <w:tcW w:w="1941" w:type="pct"/>
            <w:shd w:val="clear" w:color="auto" w:fill="FFFFFF" w:themeFill="background1"/>
            <w:vAlign w:val="center"/>
          </w:tcPr>
          <w:p w14:paraId="787FAAE0" w14:textId="77777777" w:rsidR="00716021" w:rsidRPr="00BC5B02" w:rsidRDefault="00716021" w:rsidP="00BC5B02">
            <w:pPr>
              <w:pStyle w:val="TableText"/>
            </w:pPr>
            <w:r w:rsidRPr="00BC5B02">
              <w:t xml:space="preserve">Consultation Teams meet weekly for two hours and meetings include all members supporting their DBT treatment. </w:t>
            </w:r>
          </w:p>
        </w:tc>
        <w:tc>
          <w:tcPr>
            <w:tcW w:w="2380" w:type="pct"/>
            <w:shd w:val="clear" w:color="auto" w:fill="FFFFFF" w:themeFill="background1"/>
            <w:vAlign w:val="center"/>
          </w:tcPr>
          <w:p w14:paraId="54CB5CF1" w14:textId="77777777" w:rsidR="00716021" w:rsidRPr="00BC5B02" w:rsidRDefault="00BB1D24" w:rsidP="00971C15">
            <w:pPr>
              <w:pStyle w:val="TableBullet"/>
            </w:pPr>
            <w:r>
              <w:t xml:space="preserve">Staff strive to </w:t>
            </w:r>
            <w:r w:rsidR="00716021" w:rsidRPr="00BC5B02">
              <w:t xml:space="preserve">uphold this </w:t>
            </w:r>
            <w:r>
              <w:t xml:space="preserve">standard </w:t>
            </w:r>
            <w:r w:rsidR="00716021" w:rsidRPr="00BC5B02">
              <w:t xml:space="preserve">but often cut </w:t>
            </w:r>
            <w:r>
              <w:t xml:space="preserve">it </w:t>
            </w:r>
            <w:r w:rsidR="00716021" w:rsidRPr="00BC5B02">
              <w:t>to one hour</w:t>
            </w:r>
            <w:r>
              <w:t>;</w:t>
            </w:r>
            <w:r w:rsidR="00716021" w:rsidRPr="00BC5B02">
              <w:t xml:space="preserve"> </w:t>
            </w:r>
            <w:r>
              <w:t xml:space="preserve">often, </w:t>
            </w:r>
            <w:r w:rsidR="00716021" w:rsidRPr="00BC5B02">
              <w:t xml:space="preserve">at least one case-carrying staff </w:t>
            </w:r>
            <w:r>
              <w:t xml:space="preserve">cannot </w:t>
            </w:r>
            <w:r w:rsidR="00716021" w:rsidRPr="00BC5B02">
              <w:t xml:space="preserve">attend. </w:t>
            </w:r>
          </w:p>
          <w:p w14:paraId="18B97646" w14:textId="77777777" w:rsidR="001C6DA9" w:rsidRPr="00BC5B02" w:rsidRDefault="00716021" w:rsidP="00971C15">
            <w:pPr>
              <w:pStyle w:val="TableBullet"/>
            </w:pPr>
            <w:r w:rsidRPr="00BC5B02">
              <w:t xml:space="preserve">Some staff indicated JRSOs should be able to rotate presence at meetings as they interact regularly with youth and have insights, but the need </w:t>
            </w:r>
            <w:r w:rsidR="00BB1D24">
              <w:t xml:space="preserve">to provide unit </w:t>
            </w:r>
            <w:r w:rsidRPr="00BC5B02">
              <w:t xml:space="preserve">supervision precludes their attendance. </w:t>
            </w:r>
          </w:p>
        </w:tc>
      </w:tr>
      <w:tr w:rsidR="00716021" w:rsidRPr="00B80F87" w14:paraId="33B4C166" w14:textId="77777777" w:rsidTr="00DF461B">
        <w:trPr>
          <w:trHeight w:val="967"/>
          <w:jc w:val="left"/>
        </w:trPr>
        <w:tc>
          <w:tcPr>
            <w:tcW w:w="679" w:type="pct"/>
            <w:vMerge/>
            <w:tcBorders>
              <w:bottom w:val="single" w:sz="2" w:space="0" w:color="808080"/>
            </w:tcBorders>
            <w:shd w:val="clear" w:color="auto" w:fill="FFFFFF" w:themeFill="background1"/>
            <w:vAlign w:val="center"/>
          </w:tcPr>
          <w:p w14:paraId="46B0A6D6" w14:textId="77777777" w:rsidR="00716021" w:rsidRPr="00BC5B02" w:rsidRDefault="00716021" w:rsidP="00BC5B02">
            <w:pPr>
              <w:pStyle w:val="TableText"/>
            </w:pPr>
          </w:p>
        </w:tc>
        <w:tc>
          <w:tcPr>
            <w:tcW w:w="1941" w:type="pct"/>
            <w:tcBorders>
              <w:bottom w:val="single" w:sz="2" w:space="0" w:color="808080"/>
            </w:tcBorders>
            <w:shd w:val="clear" w:color="auto" w:fill="FFFFFF" w:themeFill="background1"/>
            <w:vAlign w:val="center"/>
          </w:tcPr>
          <w:p w14:paraId="01FD3FA8" w14:textId="77777777" w:rsidR="00716021" w:rsidRPr="00BC5B02" w:rsidRDefault="00716021" w:rsidP="00BC5B02">
            <w:pPr>
              <w:pStyle w:val="TableText"/>
            </w:pPr>
            <w:r w:rsidRPr="00BC5B02">
              <w:t xml:space="preserve">One hour devoted to case consultation and one hour is for DBT training, behavioral research, or other discussion which requires each member to have read and fully understand the </w:t>
            </w:r>
            <w:r w:rsidR="00F43973">
              <w:t xml:space="preserve">information on </w:t>
            </w:r>
            <w:r w:rsidRPr="00BC5B02">
              <w:t>DBT skills.</w:t>
            </w:r>
          </w:p>
        </w:tc>
        <w:tc>
          <w:tcPr>
            <w:tcW w:w="2380" w:type="pct"/>
            <w:tcBorders>
              <w:bottom w:val="single" w:sz="2" w:space="0" w:color="808080"/>
            </w:tcBorders>
            <w:shd w:val="clear" w:color="auto" w:fill="FFFFFF" w:themeFill="background1"/>
            <w:vAlign w:val="center"/>
          </w:tcPr>
          <w:p w14:paraId="6B7FB053" w14:textId="77777777" w:rsidR="00716021" w:rsidRPr="00BC5B02" w:rsidRDefault="00716021" w:rsidP="00971C15">
            <w:pPr>
              <w:pStyle w:val="TableBullet"/>
            </w:pPr>
            <w:r w:rsidRPr="00BC5B02">
              <w:t xml:space="preserve">Comprehensive case consultation is often cut short to tend to floor coverage and day-to-day needs. </w:t>
            </w:r>
          </w:p>
          <w:p w14:paraId="1C9C4503" w14:textId="77777777" w:rsidR="00AC63CD" w:rsidRDefault="001C6DA9" w:rsidP="00971C15">
            <w:pPr>
              <w:pStyle w:val="TableBullet"/>
            </w:pPr>
            <w:r>
              <w:t xml:space="preserve">There are only </w:t>
            </w:r>
            <w:r w:rsidR="00BB1D24">
              <w:t xml:space="preserve">three </w:t>
            </w:r>
            <w:r>
              <w:t xml:space="preserve">ITM </w:t>
            </w:r>
            <w:r w:rsidR="00716021" w:rsidRPr="00BC5B02">
              <w:t>Consultants</w:t>
            </w:r>
            <w:r>
              <w:t xml:space="preserve"> for all of the institutions and community facilities</w:t>
            </w:r>
            <w:r w:rsidR="00AC63CD">
              <w:t>. They try to support Consultation Team meetings, but they do not have the requisite time</w:t>
            </w:r>
            <w:r w:rsidR="004C75A6">
              <w:t xml:space="preserve">. </w:t>
            </w:r>
            <w:r w:rsidR="00BB1D24">
              <w:t>Many staff indicated they would like to have significant</w:t>
            </w:r>
            <w:r w:rsidR="00B65684">
              <w:t>ly</w:t>
            </w:r>
            <w:r w:rsidR="00BB1D24">
              <w:t xml:space="preserve"> more </w:t>
            </w:r>
            <w:r w:rsidR="00B65684">
              <w:t>c</w:t>
            </w:r>
            <w:r w:rsidR="00BB1D24">
              <w:t xml:space="preserve">onsultant support. </w:t>
            </w:r>
          </w:p>
          <w:p w14:paraId="32103B03" w14:textId="77777777" w:rsidR="00716021" w:rsidRPr="00BC5B02" w:rsidRDefault="00AC63CD" w:rsidP="00971C15">
            <w:pPr>
              <w:pStyle w:val="TableBullet"/>
            </w:pPr>
            <w:r>
              <w:t>R</w:t>
            </w:r>
            <w:r w:rsidR="00716021" w:rsidRPr="00BC5B02">
              <w:t xml:space="preserve">arely do staff have the base DBT pre-training to fully </w:t>
            </w:r>
            <w:r>
              <w:t xml:space="preserve">understand the skills required to build on them in Consultation Team meetings, </w:t>
            </w:r>
            <w:r w:rsidR="00716021" w:rsidRPr="00BC5B02">
              <w:t xml:space="preserve">especially </w:t>
            </w:r>
            <w:r w:rsidR="00F43973">
              <w:t>given frequent</w:t>
            </w:r>
            <w:r w:rsidR="00716021" w:rsidRPr="00BC5B02">
              <w:t xml:space="preserve"> staff turnover.</w:t>
            </w:r>
          </w:p>
        </w:tc>
      </w:tr>
      <w:tr w:rsidR="00716021" w:rsidRPr="00B63279" w14:paraId="449DCC83" w14:textId="77777777" w:rsidTr="00DF461B">
        <w:trPr>
          <w:cnfStyle w:val="000000100000" w:firstRow="0" w:lastRow="0" w:firstColumn="0" w:lastColumn="0" w:oddVBand="0" w:evenVBand="0" w:oddHBand="1" w:evenHBand="0" w:firstRowFirstColumn="0" w:firstRowLastColumn="0" w:lastRowFirstColumn="0" w:lastRowLastColumn="0"/>
          <w:trHeight w:val="640"/>
          <w:jc w:val="left"/>
        </w:trPr>
        <w:tc>
          <w:tcPr>
            <w:tcW w:w="679" w:type="pct"/>
            <w:vMerge w:val="restart"/>
            <w:tcBorders>
              <w:top w:val="single" w:sz="2" w:space="0" w:color="808080"/>
              <w:bottom w:val="single" w:sz="12" w:space="0" w:color="808080"/>
            </w:tcBorders>
            <w:vAlign w:val="center"/>
          </w:tcPr>
          <w:p w14:paraId="386C41B1" w14:textId="77777777" w:rsidR="00716021" w:rsidRPr="00BC5B02" w:rsidRDefault="00716021" w:rsidP="00BC5B02">
            <w:pPr>
              <w:pStyle w:val="TableText"/>
            </w:pPr>
            <w:r w:rsidRPr="00BC5B02">
              <w:t>#3 Milieu Management</w:t>
            </w:r>
          </w:p>
        </w:tc>
        <w:tc>
          <w:tcPr>
            <w:tcW w:w="1941" w:type="pct"/>
            <w:tcBorders>
              <w:top w:val="single" w:sz="2" w:space="0" w:color="808080"/>
              <w:bottom w:val="single" w:sz="12" w:space="0" w:color="808080"/>
            </w:tcBorders>
            <w:vAlign w:val="center"/>
          </w:tcPr>
          <w:p w14:paraId="2C2102C3" w14:textId="77777777" w:rsidR="00716021" w:rsidRPr="00BC5B02" w:rsidRDefault="00716021" w:rsidP="00F43973">
            <w:pPr>
              <w:pStyle w:val="TableText"/>
            </w:pPr>
            <w:r w:rsidRPr="00BC5B02">
              <w:t>Treatment occurring in the milieu will be youth-centered</w:t>
            </w:r>
            <w:r w:rsidR="00F43973">
              <w:t>,</w:t>
            </w:r>
            <w:r w:rsidRPr="00BC5B02">
              <w:t xml:space="preserve"> with their needs dictating services provided</w:t>
            </w:r>
            <w:r w:rsidR="00F43973">
              <w:t>. S</w:t>
            </w:r>
            <w:r w:rsidRPr="00BC5B02">
              <w:t xml:space="preserve">taff </w:t>
            </w:r>
            <w:r w:rsidR="00F43973">
              <w:t xml:space="preserve">will be </w:t>
            </w:r>
            <w:r w:rsidRPr="00BC5B02">
              <w:t xml:space="preserve">aware of different cultural values and employ inclusive techniques. </w:t>
            </w:r>
          </w:p>
        </w:tc>
        <w:tc>
          <w:tcPr>
            <w:tcW w:w="2380" w:type="pct"/>
            <w:tcBorders>
              <w:top w:val="single" w:sz="2" w:space="0" w:color="808080"/>
              <w:bottom w:val="single" w:sz="12" w:space="0" w:color="808080"/>
            </w:tcBorders>
            <w:vAlign w:val="center"/>
          </w:tcPr>
          <w:p w14:paraId="0973B60E" w14:textId="77777777" w:rsidR="00716021" w:rsidRPr="00BC5B02" w:rsidRDefault="00716021" w:rsidP="00971C15">
            <w:pPr>
              <w:pStyle w:val="TableBullet"/>
            </w:pPr>
            <w:r w:rsidRPr="00BC5B02">
              <w:t>Some youth expressed a lack of cultural diversity and competency amongst the staff</w:t>
            </w:r>
            <w:r w:rsidR="00F43973">
              <w:t>,</w:t>
            </w:r>
            <w:r w:rsidRPr="00BC5B02">
              <w:t xml:space="preserve"> making it difficult to form relationships. </w:t>
            </w:r>
          </w:p>
          <w:p w14:paraId="371BE7F1" w14:textId="77777777" w:rsidR="00716021" w:rsidRPr="00BC5B02" w:rsidRDefault="00716021" w:rsidP="00971C15">
            <w:pPr>
              <w:pStyle w:val="TableBullet"/>
            </w:pPr>
            <w:r w:rsidRPr="00BC5B02">
              <w:t xml:space="preserve">Counseling staff are spending a majority of their time in the </w:t>
            </w:r>
            <w:r w:rsidR="00FE66BD" w:rsidRPr="00BC5B02">
              <w:t>milieu</w:t>
            </w:r>
            <w:r w:rsidR="00FE66BD">
              <w:t xml:space="preserve"> but</w:t>
            </w:r>
            <w:r w:rsidRPr="00BC5B02">
              <w:t xml:space="preserve"> </w:t>
            </w:r>
            <w:r w:rsidR="00BB1D24">
              <w:t xml:space="preserve">find </w:t>
            </w:r>
            <w:r w:rsidRPr="00BC5B02">
              <w:t xml:space="preserve">it difficult to provide a mix of youth-centered activities </w:t>
            </w:r>
            <w:r w:rsidR="00BB1D24">
              <w:t xml:space="preserve">due to </w:t>
            </w:r>
            <w:r w:rsidRPr="00BC5B02">
              <w:t xml:space="preserve">constrained staffing and youth supervision ratios. </w:t>
            </w:r>
          </w:p>
        </w:tc>
      </w:tr>
      <w:tr w:rsidR="00716021" w:rsidRPr="00B63279" w14:paraId="736214CA" w14:textId="77777777" w:rsidTr="00DF461B">
        <w:trPr>
          <w:cantSplit/>
          <w:trHeight w:val="639"/>
          <w:jc w:val="left"/>
        </w:trPr>
        <w:tc>
          <w:tcPr>
            <w:tcW w:w="679" w:type="pct"/>
            <w:vMerge/>
            <w:tcBorders>
              <w:top w:val="single" w:sz="12" w:space="0" w:color="808080"/>
            </w:tcBorders>
            <w:vAlign w:val="center"/>
          </w:tcPr>
          <w:p w14:paraId="74BB8DC3" w14:textId="77777777" w:rsidR="00716021" w:rsidRPr="00BC5B02" w:rsidRDefault="00716021" w:rsidP="00BC5B02">
            <w:pPr>
              <w:pStyle w:val="TableText"/>
            </w:pPr>
          </w:p>
        </w:tc>
        <w:tc>
          <w:tcPr>
            <w:tcW w:w="1941" w:type="pct"/>
            <w:tcBorders>
              <w:top w:val="single" w:sz="12" w:space="0" w:color="808080"/>
              <w:bottom w:val="single" w:sz="2" w:space="0" w:color="808080" w:themeColor="text1" w:themeTint="7F"/>
            </w:tcBorders>
            <w:shd w:val="clear" w:color="auto" w:fill="E6E6E6"/>
            <w:vAlign w:val="center"/>
          </w:tcPr>
          <w:p w14:paraId="5A3A5951" w14:textId="77777777" w:rsidR="00716021" w:rsidRPr="00BC5B02" w:rsidRDefault="00716021" w:rsidP="00BC5B02">
            <w:pPr>
              <w:pStyle w:val="TableText"/>
            </w:pPr>
            <w:r w:rsidRPr="00BC5B02">
              <w:t xml:space="preserve">Staff in the milieu will stop and treat egregious behaviors, generalize skills in relevant settings, and foster effective communication between staff to support treatment goals. </w:t>
            </w:r>
          </w:p>
        </w:tc>
        <w:tc>
          <w:tcPr>
            <w:tcW w:w="2380" w:type="pct"/>
            <w:tcBorders>
              <w:top w:val="single" w:sz="12" w:space="0" w:color="808080"/>
              <w:bottom w:val="single" w:sz="2" w:space="0" w:color="808080" w:themeColor="text1" w:themeTint="7F"/>
            </w:tcBorders>
            <w:shd w:val="clear" w:color="auto" w:fill="E6E6E6"/>
            <w:vAlign w:val="center"/>
          </w:tcPr>
          <w:p w14:paraId="0B814C6D" w14:textId="77777777" w:rsidR="00716021" w:rsidRPr="00BC5B02" w:rsidRDefault="00716021" w:rsidP="00971C15">
            <w:pPr>
              <w:pStyle w:val="TableBullet"/>
            </w:pPr>
            <w:r w:rsidRPr="00BC5B02">
              <w:t>Security and on-call staff are often not trained until months after they start</w:t>
            </w:r>
            <w:r w:rsidR="00A46559">
              <w:t>,</w:t>
            </w:r>
            <w:r w:rsidRPr="00BC5B02">
              <w:t xml:space="preserve"> limiting ability to treat </w:t>
            </w:r>
            <w:r w:rsidR="00A46559">
              <w:t>target</w:t>
            </w:r>
            <w:r w:rsidRPr="00BC5B02">
              <w:t xml:space="preserve"> behaviors. </w:t>
            </w:r>
          </w:p>
          <w:p w14:paraId="7A5D9676" w14:textId="77777777" w:rsidR="00716021" w:rsidRPr="00BC5B02" w:rsidRDefault="00716021" w:rsidP="00971C15">
            <w:pPr>
              <w:pStyle w:val="TableBullet"/>
            </w:pPr>
            <w:r w:rsidRPr="00BC5B02">
              <w:t xml:space="preserve">Communication between staff is often strained due to shift schedules, turnover, and morale issues in some units and facilities. </w:t>
            </w:r>
          </w:p>
        </w:tc>
      </w:tr>
      <w:tr w:rsidR="00716021" w:rsidRPr="00B63279" w14:paraId="6515608D" w14:textId="77777777" w:rsidTr="00DF461B">
        <w:trPr>
          <w:cnfStyle w:val="000000100000" w:firstRow="0" w:lastRow="0" w:firstColumn="0" w:lastColumn="0" w:oddVBand="0" w:evenVBand="0" w:oddHBand="1" w:evenHBand="0" w:firstRowFirstColumn="0" w:firstRowLastColumn="0" w:lastRowFirstColumn="0" w:lastRowLastColumn="0"/>
          <w:trHeight w:val="337"/>
          <w:jc w:val="left"/>
        </w:trPr>
        <w:tc>
          <w:tcPr>
            <w:tcW w:w="679" w:type="pct"/>
            <w:vMerge w:val="restart"/>
            <w:tcBorders>
              <w:bottom w:val="single" w:sz="2" w:space="0" w:color="808080"/>
            </w:tcBorders>
            <w:shd w:val="clear" w:color="auto" w:fill="auto"/>
            <w:vAlign w:val="center"/>
          </w:tcPr>
          <w:p w14:paraId="14C48731" w14:textId="77777777" w:rsidR="00716021" w:rsidRPr="00BC5B02" w:rsidRDefault="00716021" w:rsidP="00BC5B02">
            <w:pPr>
              <w:pStyle w:val="TableText"/>
            </w:pPr>
            <w:r w:rsidRPr="00BC5B02">
              <w:t>#4 Skill Acquisition Groups</w:t>
            </w:r>
          </w:p>
          <w:p w14:paraId="52831560" w14:textId="77777777" w:rsidR="00716021" w:rsidRPr="00BC5B02" w:rsidRDefault="00716021" w:rsidP="00BC5B02">
            <w:pPr>
              <w:pStyle w:val="TableText"/>
            </w:pPr>
          </w:p>
        </w:tc>
        <w:tc>
          <w:tcPr>
            <w:tcW w:w="1941" w:type="pct"/>
            <w:tcBorders>
              <w:top w:val="single" w:sz="2" w:space="0" w:color="808080" w:themeColor="text1" w:themeTint="7F"/>
              <w:bottom w:val="single" w:sz="2" w:space="0" w:color="808080"/>
            </w:tcBorders>
            <w:shd w:val="clear" w:color="auto" w:fill="auto"/>
            <w:vAlign w:val="center"/>
          </w:tcPr>
          <w:p w14:paraId="09D7F505" w14:textId="77777777" w:rsidR="00716021" w:rsidRPr="00BC5B02" w:rsidRDefault="00716021" w:rsidP="00BC5B02">
            <w:pPr>
              <w:pStyle w:val="TableText"/>
            </w:pPr>
            <w:r w:rsidRPr="00BC5B02">
              <w:t>Counselors wil</w:t>
            </w:r>
            <w:r w:rsidR="00A46559">
              <w:t xml:space="preserve">l provide youth with two skills </w:t>
            </w:r>
            <w:r w:rsidRPr="00BC5B02">
              <w:t>groups each week; the first hour for mindfulness and homework review, the seco</w:t>
            </w:r>
            <w:r w:rsidR="00A46559">
              <w:t>nd hour for new skills teaching</w:t>
            </w:r>
            <w:r w:rsidRPr="00BC5B02">
              <w:t xml:space="preserve"> and homework. </w:t>
            </w:r>
          </w:p>
        </w:tc>
        <w:tc>
          <w:tcPr>
            <w:tcW w:w="2380" w:type="pct"/>
            <w:tcBorders>
              <w:top w:val="single" w:sz="2" w:space="0" w:color="808080" w:themeColor="text1" w:themeTint="7F"/>
              <w:bottom w:val="single" w:sz="2" w:space="0" w:color="808080"/>
            </w:tcBorders>
            <w:shd w:val="clear" w:color="auto" w:fill="auto"/>
            <w:vAlign w:val="center"/>
          </w:tcPr>
          <w:p w14:paraId="3CDF7EEF" w14:textId="77777777" w:rsidR="00716021" w:rsidRPr="00BC5B02" w:rsidRDefault="00716021" w:rsidP="00971C15">
            <w:pPr>
              <w:pStyle w:val="TableBullet"/>
            </w:pPr>
            <w:r w:rsidRPr="00BC5B02">
              <w:t xml:space="preserve">Many </w:t>
            </w:r>
            <w:r w:rsidR="00971C15">
              <w:t>staff in the units at the institutions and community f</w:t>
            </w:r>
            <w:r w:rsidRPr="00BC5B02">
              <w:t>acilities expressed how they strive for</w:t>
            </w:r>
            <w:r w:rsidR="00971C15">
              <w:t xml:space="preserve"> skills group for</w:t>
            </w:r>
            <w:r w:rsidRPr="00BC5B02">
              <w:t xml:space="preserve"> one hour per </w:t>
            </w:r>
            <w:r w:rsidR="00FE66BD" w:rsidRPr="00BC5B02">
              <w:t>week,</w:t>
            </w:r>
            <w:r w:rsidRPr="00BC5B02">
              <w:t xml:space="preserve"> </w:t>
            </w:r>
            <w:r w:rsidR="00B33813">
              <w:t xml:space="preserve">but stressed </w:t>
            </w:r>
            <w:r w:rsidRPr="00BC5B02">
              <w:t xml:space="preserve">staffing shortages often interfere with </w:t>
            </w:r>
            <w:r w:rsidR="007032C0">
              <w:t>the sessions.</w:t>
            </w:r>
            <w:r w:rsidRPr="00BC5B02">
              <w:t xml:space="preserve"> </w:t>
            </w:r>
          </w:p>
        </w:tc>
      </w:tr>
      <w:tr w:rsidR="00716021" w:rsidRPr="00B63279" w14:paraId="22C3D0AD" w14:textId="77777777" w:rsidTr="00DF461B">
        <w:trPr>
          <w:trHeight w:val="784"/>
          <w:jc w:val="left"/>
        </w:trPr>
        <w:tc>
          <w:tcPr>
            <w:tcW w:w="679" w:type="pct"/>
            <w:vMerge/>
            <w:tcBorders>
              <w:top w:val="single" w:sz="2" w:space="0" w:color="808080"/>
              <w:bottom w:val="single" w:sz="4" w:space="0" w:color="auto"/>
            </w:tcBorders>
            <w:vAlign w:val="center"/>
          </w:tcPr>
          <w:p w14:paraId="0025F73D" w14:textId="77777777" w:rsidR="00716021" w:rsidRPr="00BC5B02" w:rsidRDefault="00716021" w:rsidP="00BC5B02">
            <w:pPr>
              <w:pStyle w:val="TableText"/>
            </w:pPr>
          </w:p>
        </w:tc>
        <w:tc>
          <w:tcPr>
            <w:tcW w:w="1941" w:type="pct"/>
            <w:tcBorders>
              <w:top w:val="single" w:sz="2" w:space="0" w:color="808080"/>
              <w:bottom w:val="single" w:sz="4" w:space="0" w:color="auto"/>
            </w:tcBorders>
            <w:vAlign w:val="center"/>
          </w:tcPr>
          <w:p w14:paraId="4B8A95DC" w14:textId="77777777" w:rsidR="00716021" w:rsidRPr="00BC5B02" w:rsidRDefault="00716021" w:rsidP="00BC5B02">
            <w:pPr>
              <w:pStyle w:val="TableText"/>
            </w:pPr>
            <w:r w:rsidRPr="00BC5B02">
              <w:t>Each skills group addresses behavior in Linehan’s Target Hierarchy and will be run by one consistent leader and one co-facilitator with preparation, debrief, and notes entered in ACT.</w:t>
            </w:r>
          </w:p>
        </w:tc>
        <w:tc>
          <w:tcPr>
            <w:tcW w:w="2380" w:type="pct"/>
            <w:tcBorders>
              <w:top w:val="single" w:sz="2" w:space="0" w:color="808080"/>
              <w:bottom w:val="single" w:sz="4" w:space="0" w:color="auto"/>
            </w:tcBorders>
            <w:vAlign w:val="center"/>
          </w:tcPr>
          <w:p w14:paraId="1EA3E354" w14:textId="77777777" w:rsidR="00716021" w:rsidRPr="00BC5B02" w:rsidRDefault="00716021" w:rsidP="00971C15">
            <w:pPr>
              <w:pStyle w:val="TableBullet"/>
            </w:pPr>
            <w:r w:rsidRPr="00BC5B02">
              <w:t>Staff reported there is insufficient time to prepare for these groups</w:t>
            </w:r>
            <w:r w:rsidR="00BB1D24">
              <w:t>,</w:t>
            </w:r>
            <w:r w:rsidRPr="00BC5B02">
              <w:t xml:space="preserve"> the facilitator often changes</w:t>
            </w:r>
            <w:r w:rsidR="00BB1D24">
              <w:t xml:space="preserve">, and </w:t>
            </w:r>
            <w:r w:rsidR="00842A21">
              <w:t xml:space="preserve">  </w:t>
            </w:r>
            <w:r w:rsidR="00BB1D24">
              <w:t xml:space="preserve">there often is no </w:t>
            </w:r>
            <w:r w:rsidRPr="00BC5B02">
              <w:t xml:space="preserve">co-facilitation. </w:t>
            </w:r>
          </w:p>
          <w:p w14:paraId="1054DD8B" w14:textId="77777777" w:rsidR="00716021" w:rsidRPr="00BC5B02" w:rsidRDefault="00716021" w:rsidP="00971C15">
            <w:pPr>
              <w:pStyle w:val="TableBullet"/>
            </w:pPr>
            <w:r w:rsidRPr="00BC5B02">
              <w:t xml:space="preserve">Some staff in the institutions and </w:t>
            </w:r>
            <w:r w:rsidR="00971C15">
              <w:t xml:space="preserve">community facilities </w:t>
            </w:r>
            <w:r w:rsidRPr="00BC5B02">
              <w:t xml:space="preserve">reported they often feel “thrown into” group counseling sessions without sufficient training. </w:t>
            </w:r>
          </w:p>
        </w:tc>
      </w:tr>
      <w:tr w:rsidR="00716021" w:rsidRPr="00B80F87" w14:paraId="7AC03BE5" w14:textId="77777777" w:rsidTr="00DF461B">
        <w:trPr>
          <w:cnfStyle w:val="000000100000" w:firstRow="0" w:lastRow="0" w:firstColumn="0" w:lastColumn="0" w:oddVBand="0" w:evenVBand="0" w:oddHBand="1" w:evenHBand="0" w:firstRowFirstColumn="0" w:firstRowLastColumn="0" w:lastRowFirstColumn="0" w:lastRowLastColumn="0"/>
          <w:trHeight w:val="913"/>
          <w:jc w:val="left"/>
        </w:trPr>
        <w:tc>
          <w:tcPr>
            <w:tcW w:w="679" w:type="pct"/>
            <w:vMerge w:val="restart"/>
            <w:tcBorders>
              <w:top w:val="single" w:sz="4" w:space="0" w:color="auto"/>
            </w:tcBorders>
            <w:vAlign w:val="center"/>
          </w:tcPr>
          <w:p w14:paraId="4D2932A5" w14:textId="77777777" w:rsidR="00716021" w:rsidRPr="00BC5B02" w:rsidRDefault="00716021" w:rsidP="00BC5B02">
            <w:pPr>
              <w:pStyle w:val="TableText"/>
            </w:pPr>
            <w:r w:rsidRPr="00BC5B02">
              <w:t>#5 Skills Generalization Groups</w:t>
            </w:r>
          </w:p>
          <w:p w14:paraId="4088CDD1" w14:textId="77777777" w:rsidR="00716021" w:rsidRPr="00BC5B02" w:rsidRDefault="00716021" w:rsidP="00BC5B02">
            <w:pPr>
              <w:pStyle w:val="TableText"/>
            </w:pPr>
          </w:p>
        </w:tc>
        <w:tc>
          <w:tcPr>
            <w:tcW w:w="1941" w:type="pct"/>
            <w:tcBorders>
              <w:top w:val="single" w:sz="4" w:space="0" w:color="auto"/>
              <w:bottom w:val="single" w:sz="2" w:space="0" w:color="808080" w:themeColor="text1" w:themeTint="7F"/>
            </w:tcBorders>
            <w:vAlign w:val="center"/>
          </w:tcPr>
          <w:p w14:paraId="5B4C97A7" w14:textId="77777777" w:rsidR="00716021" w:rsidRPr="00BC5B02" w:rsidRDefault="00716021" w:rsidP="00BC5B02">
            <w:pPr>
              <w:pStyle w:val="TableText"/>
            </w:pPr>
            <w:r w:rsidRPr="00BC5B02">
              <w:t xml:space="preserve">Counselors will provide youth with a one-hour generalization group each week with consistent leadership and notes entered in ACT. </w:t>
            </w:r>
          </w:p>
        </w:tc>
        <w:tc>
          <w:tcPr>
            <w:tcW w:w="2380" w:type="pct"/>
            <w:tcBorders>
              <w:top w:val="single" w:sz="4" w:space="0" w:color="auto"/>
              <w:bottom w:val="single" w:sz="2" w:space="0" w:color="808080" w:themeColor="text1" w:themeTint="7F"/>
            </w:tcBorders>
            <w:vAlign w:val="center"/>
          </w:tcPr>
          <w:p w14:paraId="2462BB82" w14:textId="77777777" w:rsidR="00716021" w:rsidRPr="00BC5B02" w:rsidRDefault="00716021" w:rsidP="00BC5B02">
            <w:pPr>
              <w:pStyle w:val="TableBullet"/>
            </w:pPr>
            <w:r w:rsidRPr="00BC5B02">
              <w:t>Due to staff already having a challenging time finding opportunities to conduct acquisition groups, these generalization specific meetings are rarely being</w:t>
            </w:r>
            <w:r w:rsidR="00BB1D24">
              <w:t xml:space="preserve"> held</w:t>
            </w:r>
            <w:r w:rsidRPr="00BC5B02">
              <w:t xml:space="preserve">. </w:t>
            </w:r>
            <w:r w:rsidR="00BB1D24">
              <w:t xml:space="preserve">Instead, staff try </w:t>
            </w:r>
            <w:r w:rsidRPr="00BC5B02">
              <w:t>to use time in the milieu to generalize and reinforce skills</w:t>
            </w:r>
            <w:r w:rsidR="004C75A6">
              <w:t xml:space="preserve">. </w:t>
            </w:r>
          </w:p>
        </w:tc>
      </w:tr>
      <w:tr w:rsidR="00716021" w:rsidRPr="00B80F87" w14:paraId="77A74837" w14:textId="77777777" w:rsidTr="1FF1B213">
        <w:trPr>
          <w:trHeight w:val="211"/>
          <w:jc w:val="left"/>
        </w:trPr>
        <w:tc>
          <w:tcPr>
            <w:tcW w:w="679" w:type="pct"/>
            <w:vMerge/>
            <w:vAlign w:val="center"/>
          </w:tcPr>
          <w:p w14:paraId="3BC6BFF2" w14:textId="77777777" w:rsidR="00716021" w:rsidRDefault="00716021" w:rsidP="00716021">
            <w:pPr>
              <w:pStyle w:val="TableText"/>
              <w:jc w:val="center"/>
            </w:pPr>
          </w:p>
        </w:tc>
        <w:tc>
          <w:tcPr>
            <w:tcW w:w="1941" w:type="pct"/>
            <w:tcBorders>
              <w:top w:val="single" w:sz="2" w:space="0" w:color="808080" w:themeColor="text1" w:themeTint="7F"/>
              <w:bottom w:val="single" w:sz="12" w:space="0" w:color="0046AC"/>
            </w:tcBorders>
            <w:shd w:val="clear" w:color="auto" w:fill="E6E6E6"/>
            <w:vAlign w:val="center"/>
          </w:tcPr>
          <w:p w14:paraId="52BE7537" w14:textId="77777777" w:rsidR="00716021" w:rsidRPr="00BC5B02" w:rsidRDefault="00716021" w:rsidP="00BC5B02">
            <w:pPr>
              <w:pStyle w:val="TableText"/>
            </w:pPr>
            <w:r w:rsidRPr="00BC5B02">
              <w:t>Each session will address behavior in Linehan’s Target Hierarchy and engage greater participation from youth than acquisition groups.</w:t>
            </w:r>
          </w:p>
        </w:tc>
        <w:tc>
          <w:tcPr>
            <w:tcW w:w="2380" w:type="pct"/>
            <w:tcBorders>
              <w:top w:val="single" w:sz="2" w:space="0" w:color="808080" w:themeColor="text1" w:themeTint="7F"/>
              <w:bottom w:val="single" w:sz="12" w:space="0" w:color="0046AC"/>
            </w:tcBorders>
            <w:shd w:val="clear" w:color="auto" w:fill="E6E6E6"/>
            <w:vAlign w:val="center"/>
          </w:tcPr>
          <w:p w14:paraId="6FA391B3" w14:textId="77777777" w:rsidR="00BB1D24" w:rsidRDefault="00716021" w:rsidP="00BC5B02">
            <w:pPr>
              <w:pStyle w:val="TableBullet"/>
            </w:pPr>
            <w:r w:rsidRPr="00BC5B02">
              <w:t>Youth have inconsistent DBT base knowledge</w:t>
            </w:r>
            <w:r w:rsidR="00BB1D24">
              <w:t>, and</w:t>
            </w:r>
            <w:r w:rsidRPr="00BC5B02">
              <w:t xml:space="preserve"> </w:t>
            </w:r>
            <w:r w:rsidR="00BB1D24">
              <w:t>therefore</w:t>
            </w:r>
            <w:r w:rsidR="00971C15">
              <w:t>,</w:t>
            </w:r>
            <w:r w:rsidR="00BB1D24">
              <w:t xml:space="preserve"> have challenges generalizing skills. In addition, the </w:t>
            </w:r>
            <w:r w:rsidRPr="00BC5B02">
              <w:t xml:space="preserve">generalization-specific groups </w:t>
            </w:r>
            <w:r w:rsidR="00BB1D24">
              <w:t xml:space="preserve">rarely occur. </w:t>
            </w:r>
          </w:p>
          <w:p w14:paraId="71196E3F" w14:textId="77777777" w:rsidR="00716021" w:rsidRPr="00BC5B02" w:rsidRDefault="00716021" w:rsidP="00971C15">
            <w:pPr>
              <w:pStyle w:val="TableBullet"/>
            </w:pPr>
            <w:r w:rsidRPr="00BC5B02">
              <w:t xml:space="preserve">Youth DBT knowledge depends upon staffing and where they had been previously (whether it be a unit transfer or from a JR Institution to a </w:t>
            </w:r>
            <w:r w:rsidR="00971C15">
              <w:t>c</w:t>
            </w:r>
            <w:r w:rsidR="00D14F17">
              <w:t xml:space="preserve">ommunity </w:t>
            </w:r>
            <w:r w:rsidR="00971C15">
              <w:t>facility). E</w:t>
            </w:r>
            <w:r w:rsidRPr="00BC5B02">
              <w:t xml:space="preserve">ngaging youth </w:t>
            </w:r>
            <w:r w:rsidR="00971C15">
              <w:t>to participate can be</w:t>
            </w:r>
            <w:r w:rsidRPr="00BC5B02">
              <w:t xml:space="preserve"> challenging. </w:t>
            </w:r>
          </w:p>
        </w:tc>
      </w:tr>
    </w:tbl>
    <w:p w14:paraId="678A6462" w14:textId="77777777" w:rsidR="00F72509" w:rsidRDefault="003334F1" w:rsidP="003334F1">
      <w:r>
        <w:t xml:space="preserve">In </w:t>
      </w:r>
      <w:r w:rsidR="00946562">
        <w:t>the interviews and focus gr</w:t>
      </w:r>
      <w:r w:rsidR="001C09F4">
        <w:t xml:space="preserve">oups conducted </w:t>
      </w:r>
      <w:r w:rsidR="00F45022">
        <w:t xml:space="preserve">with staff </w:t>
      </w:r>
      <w:r w:rsidR="001C09F4">
        <w:t xml:space="preserve">across JR, counselors </w:t>
      </w:r>
      <w:r w:rsidR="00946562">
        <w:t xml:space="preserve">expressed how they were consumed </w:t>
      </w:r>
      <w:r w:rsidR="000F7244">
        <w:t xml:space="preserve">by the </w:t>
      </w:r>
      <w:r w:rsidR="00946562">
        <w:t>day-to-day responsibilities</w:t>
      </w:r>
      <w:r w:rsidR="000F7244">
        <w:t xml:space="preserve"> </w:t>
      </w:r>
      <w:r w:rsidR="00B354F6">
        <w:t xml:space="preserve">associated with </w:t>
      </w:r>
      <w:r w:rsidR="000F7244">
        <w:t>ensuring safety and security</w:t>
      </w:r>
      <w:r w:rsidR="00946562">
        <w:t xml:space="preserve"> </w:t>
      </w:r>
      <w:r w:rsidR="007032C0">
        <w:t>and</w:t>
      </w:r>
      <w:r w:rsidR="000F7244">
        <w:t xml:space="preserve"> </w:t>
      </w:r>
      <w:r w:rsidR="007032C0">
        <w:t>supervising</w:t>
      </w:r>
      <w:r w:rsidR="000F7244">
        <w:t xml:space="preserve"> daily living activities. </w:t>
      </w:r>
      <w:r w:rsidR="001C09F4">
        <w:t>Staff also indicated reentry planning</w:t>
      </w:r>
      <w:r w:rsidR="00783687">
        <w:t xml:space="preserve"> including education, employment, housing, and family connections </w:t>
      </w:r>
      <w:r w:rsidR="00783D25">
        <w:t>activities</w:t>
      </w:r>
      <w:r w:rsidR="001C09F4">
        <w:t xml:space="preserve"> and other program components are often sacrificed</w:t>
      </w:r>
      <w:r w:rsidR="00F45022">
        <w:t xml:space="preserve"> in service of facility safety and basic functions</w:t>
      </w:r>
      <w:r w:rsidR="001C09F4">
        <w:t xml:space="preserve">. </w:t>
      </w:r>
    </w:p>
    <w:p w14:paraId="1BB83D95" w14:textId="77777777" w:rsidR="009B6DDA" w:rsidRDefault="009B6DDA" w:rsidP="009B6DDA">
      <w:pPr>
        <w:pStyle w:val="PullQuote"/>
        <w:framePr w:wrap="around" w:hAnchor="page" w:x="7596" w:y="1481"/>
      </w:pPr>
      <w:r>
        <w:t>“JR has a great treatment model that’s really evolved to be more rehabilitative than punitive – we just can’t follow through with it realistically and it is not easy to understand for staff that haven’t been here for years”</w:t>
      </w:r>
    </w:p>
    <w:p w14:paraId="061F4E35" w14:textId="77777777" w:rsidR="009B6DDA" w:rsidRDefault="009B6DDA" w:rsidP="009B6DDA">
      <w:pPr>
        <w:pStyle w:val="PullQuote"/>
        <w:framePr w:wrap="around" w:hAnchor="page" w:x="7596" w:y="1481"/>
        <w:jc w:val="right"/>
      </w:pPr>
      <w:r>
        <w:t>— Counselor</w:t>
      </w:r>
    </w:p>
    <w:p w14:paraId="4339EDED" w14:textId="77777777" w:rsidR="00946562" w:rsidRDefault="00F72509" w:rsidP="003334F1">
      <w:r>
        <w:t xml:space="preserve">In spite of these significant difficulties, staff expressed a strong and consistent belief in the importance and effectiveness of implementing all DBT components. </w:t>
      </w:r>
      <w:r w:rsidR="00946562">
        <w:t xml:space="preserve">It is important not </w:t>
      </w:r>
      <w:r w:rsidR="00F45022">
        <w:t xml:space="preserve">to </w:t>
      </w:r>
      <w:r w:rsidR="00946562">
        <w:t xml:space="preserve">discount the </w:t>
      </w:r>
      <w:r w:rsidR="00F45022">
        <w:t xml:space="preserve">many </w:t>
      </w:r>
      <w:r w:rsidR="00946562">
        <w:t xml:space="preserve">success stories that were shared </w:t>
      </w:r>
      <w:r w:rsidR="00F45022">
        <w:t>about</w:t>
      </w:r>
      <w:r w:rsidR="00946562">
        <w:t xml:space="preserve"> </w:t>
      </w:r>
      <w:r w:rsidR="001C09F4">
        <w:t>youth</w:t>
      </w:r>
      <w:r w:rsidR="00946562">
        <w:t xml:space="preserve"> who have had successful treatment and </w:t>
      </w:r>
      <w:r w:rsidR="00783D25">
        <w:t>reentry</w:t>
      </w:r>
      <w:r w:rsidR="00F45022">
        <w:t xml:space="preserve"> experiences</w:t>
      </w:r>
      <w:r w:rsidR="00946562">
        <w:t xml:space="preserve">. The findings from staff interviews and surveys do, however, </w:t>
      </w:r>
      <w:r w:rsidR="00B05DBB">
        <w:t xml:space="preserve">indicate that fidelity to </w:t>
      </w:r>
      <w:r w:rsidR="00DB7E31">
        <w:t xml:space="preserve">all components of the </w:t>
      </w:r>
      <w:r w:rsidR="00AF70EE">
        <w:t>Rehabilitation Model</w:t>
      </w:r>
      <w:r w:rsidR="00DB7E31">
        <w:t>, particularly DBT and reentry planning and services</w:t>
      </w:r>
      <w:r w:rsidR="00B05DBB">
        <w:t xml:space="preserve"> cannot be achieved without more staff. </w:t>
      </w:r>
    </w:p>
    <w:p w14:paraId="0106C36C" w14:textId="77777777" w:rsidR="00946562" w:rsidRDefault="0091754C" w:rsidP="00946562">
      <w:r>
        <w:t xml:space="preserve">In interviews and focus groups, </w:t>
      </w:r>
      <w:r w:rsidR="00946562">
        <w:t>JR counselor</w:t>
      </w:r>
      <w:r w:rsidR="001C09F4">
        <w:t>s</w:t>
      </w:r>
      <w:r w:rsidR="00946562">
        <w:t xml:space="preserve"> were asked if </w:t>
      </w:r>
      <w:r w:rsidR="001C09F4">
        <w:t xml:space="preserve">they </w:t>
      </w:r>
      <w:r w:rsidR="00946562">
        <w:t>had the resources</w:t>
      </w:r>
      <w:r w:rsidR="00971C15">
        <w:t xml:space="preserve"> </w:t>
      </w:r>
      <w:r>
        <w:t>needed</w:t>
      </w:r>
      <w:r w:rsidR="00946562">
        <w:t xml:space="preserve"> to effectively implement all components of the </w:t>
      </w:r>
      <w:r w:rsidR="00AF70EE">
        <w:t>Rehabilitation Model</w:t>
      </w:r>
      <w:r w:rsidR="00B050BA">
        <w:t>.</w:t>
      </w:r>
      <w:r w:rsidR="00405D3F">
        <w:t xml:space="preserve"> </w:t>
      </w:r>
      <w:r>
        <w:t>Staff had different perceptions</w:t>
      </w:r>
      <w:r w:rsidR="003B2F45">
        <w:t xml:space="preserve"> </w:t>
      </w:r>
      <w:r>
        <w:t>of</w:t>
      </w:r>
      <w:r w:rsidR="003B2F45">
        <w:t xml:space="preserve"> </w:t>
      </w:r>
      <w:r w:rsidR="00946562">
        <w:t xml:space="preserve">what “all of the components of </w:t>
      </w:r>
      <w:r w:rsidR="00856240">
        <w:t xml:space="preserve">the </w:t>
      </w:r>
      <w:r w:rsidR="00AF70EE">
        <w:t>Rehabilitation Model</w:t>
      </w:r>
      <w:r w:rsidR="00946562">
        <w:t xml:space="preserve">” </w:t>
      </w:r>
      <w:r w:rsidR="003B2F45">
        <w:t>were. M</w:t>
      </w:r>
      <w:r w:rsidR="00946562">
        <w:t>any staff explain</w:t>
      </w:r>
      <w:r>
        <w:t>ed</w:t>
      </w:r>
      <w:r w:rsidR="00946562">
        <w:t xml:space="preserve"> how the </w:t>
      </w:r>
      <w:r w:rsidR="00AF70EE">
        <w:lastRenderedPageBreak/>
        <w:t>Rehabilitation Model</w:t>
      </w:r>
      <w:r w:rsidR="00946562">
        <w:t xml:space="preserve"> has grown to be more complex</w:t>
      </w:r>
      <w:r>
        <w:t>,</w:t>
      </w:r>
      <w:r w:rsidR="00946562">
        <w:t xml:space="preserve"> </w:t>
      </w:r>
      <w:r>
        <w:t>suggesting expectations of them were inconsistent</w:t>
      </w:r>
      <w:r w:rsidR="00946562">
        <w:t xml:space="preserve">. </w:t>
      </w:r>
      <w:r w:rsidR="00D14F17">
        <w:t>The</w:t>
      </w:r>
      <w:r w:rsidR="00946562">
        <w:t xml:space="preserve"> JRRC and JRCA staff interviewed</w:t>
      </w:r>
      <w:r w:rsidR="00D14F17">
        <w:t xml:space="preserve"> suggested </w:t>
      </w:r>
      <w:r w:rsidR="003D6171">
        <w:t>resources</w:t>
      </w:r>
      <w:r w:rsidR="00946562">
        <w:t xml:space="preserve"> </w:t>
      </w:r>
      <w:r w:rsidR="00D14F17">
        <w:t xml:space="preserve">they need </w:t>
      </w:r>
      <w:r w:rsidR="00946562">
        <w:t xml:space="preserve">to </w:t>
      </w:r>
      <w:r w:rsidR="00D14F17">
        <w:t xml:space="preserve">more </w:t>
      </w:r>
      <w:r w:rsidR="00946562">
        <w:t xml:space="preserve">effectively implement proper treatment. </w:t>
      </w:r>
      <w:r w:rsidR="003D6171">
        <w:t>These</w:t>
      </w:r>
      <w:r w:rsidR="00946562">
        <w:t xml:space="preserve"> included specialized treatment</w:t>
      </w:r>
      <w:r w:rsidR="003D6171">
        <w:t xml:space="preserve"> protocols</w:t>
      </w:r>
      <w:r w:rsidR="00946562">
        <w:t xml:space="preserve"> and psychological resources for specific acute behaviors</w:t>
      </w:r>
      <w:r w:rsidR="003D6171">
        <w:t>,</w:t>
      </w:r>
      <w:r w:rsidR="00946562">
        <w:t xml:space="preserve"> more supervisor case consultation for counselors, comprehensive DBT trainings, more community outreach programs, and vocational skills trainings for the youth. </w:t>
      </w:r>
    </w:p>
    <w:p w14:paraId="7B83A421" w14:textId="77777777" w:rsidR="002973A5" w:rsidRPr="00E50D74" w:rsidRDefault="002973A5" w:rsidP="002973A5">
      <w:pPr>
        <w:pStyle w:val="Heading4"/>
        <w:rPr>
          <w:color w:val="auto"/>
        </w:rPr>
      </w:pPr>
      <w:r w:rsidRPr="00E50D74">
        <w:rPr>
          <w:color w:val="auto"/>
        </w:rPr>
        <w:t>Environmental Adherence (EA) Scores</w:t>
      </w:r>
    </w:p>
    <w:p w14:paraId="043C720A" w14:textId="77777777" w:rsidR="002973A5" w:rsidRDefault="002973A5" w:rsidP="002973A5">
      <w:r>
        <w:t>JR conducts observations of all living units at each of the facilities to assess their adherence to the requirements of managing a DBT</w:t>
      </w:r>
      <w:r w:rsidR="008C48D1">
        <w:t xml:space="preserve"> </w:t>
      </w:r>
      <w:r>
        <w:t>milieu. The observations reflect scores from the 13 behavioral anchors, which focus on assessing</w:t>
      </w:r>
      <w:r w:rsidR="00971C15">
        <w:t>:</w:t>
      </w:r>
      <w:r>
        <w:t xml:space="preserve"> Engagement with Youth, Structuring the Environment, Skills Generalization</w:t>
      </w:r>
      <w:r w:rsidR="008C48D1">
        <w:t>,</w:t>
      </w:r>
      <w:r>
        <w:t xml:space="preserve"> and Fidelity to the Model. Units are rated on a 0 to 3 scale with the administration’s desire for each unit to achieve a rating of 2.5. An average score is provided to each </w:t>
      </w:r>
      <w:r w:rsidR="00971C15">
        <w:t>institution. The scores of the c</w:t>
      </w:r>
      <w:r>
        <w:t xml:space="preserve">ommunity facilities </w:t>
      </w:r>
      <w:r w:rsidR="00971C15">
        <w:t xml:space="preserve">are </w:t>
      </w:r>
      <w:r>
        <w:t>aggregated.</w:t>
      </w:r>
      <w:r>
        <w:rPr>
          <w:rStyle w:val="FootnoteReference"/>
        </w:rPr>
        <w:footnoteReference w:id="59"/>
      </w:r>
      <w:r>
        <w:t xml:space="preserve"> </w:t>
      </w:r>
      <w:r w:rsidR="001B6EE7">
        <w:t>a</w:t>
      </w:r>
    </w:p>
    <w:p w14:paraId="1DEFA5CD" w14:textId="431CFDC8" w:rsidR="002973A5" w:rsidRPr="00C12336" w:rsidRDefault="002973A5" w:rsidP="002973A5">
      <w:r w:rsidRPr="001B1128">
        <w:t xml:space="preserve">During interviews, direct services staff </w:t>
      </w:r>
      <w:r w:rsidR="008C48D1">
        <w:t xml:space="preserve">indicated </w:t>
      </w:r>
      <w:r w:rsidRPr="001B1128">
        <w:t xml:space="preserve">they struggle to implement the </w:t>
      </w:r>
      <w:r w:rsidR="006F7005">
        <w:t xml:space="preserve">DBT </w:t>
      </w:r>
      <w:r w:rsidR="00113655">
        <w:t xml:space="preserve">standards </w:t>
      </w:r>
      <w:r w:rsidRPr="001B1128">
        <w:t>of milieu management. Staff indicated much of their time is “putting out fires” or managing day-to-day living requirements. Echo Glen</w:t>
      </w:r>
      <w:r w:rsidR="00113655">
        <w:t xml:space="preserve"> is the only facility that has, on average from</w:t>
      </w:r>
      <w:r w:rsidRPr="001B1128">
        <w:t xml:space="preserve"> 2016-2018</w:t>
      </w:r>
      <w:r w:rsidR="00856240">
        <w:t>,</w:t>
      </w:r>
      <w:r w:rsidRPr="001B1128">
        <w:t xml:space="preserve"> achieved </w:t>
      </w:r>
      <w:r w:rsidR="00113655">
        <w:t>above the target</w:t>
      </w:r>
      <w:r w:rsidRPr="001B1128">
        <w:t xml:space="preserve"> rating of </w:t>
      </w:r>
      <w:r w:rsidR="00113655">
        <w:t xml:space="preserve">2.5 for </w:t>
      </w:r>
      <w:r w:rsidRPr="001B1128">
        <w:t>Environmental Adherence (EA) for milieu management. Green Hill</w:t>
      </w:r>
      <w:r>
        <w:t xml:space="preserve">, </w:t>
      </w:r>
      <w:r w:rsidRPr="001B1128">
        <w:t>Naselle</w:t>
      </w:r>
      <w:r>
        <w:t>, and the community facilities</w:t>
      </w:r>
      <w:r w:rsidRPr="001B1128">
        <w:t xml:space="preserve"> have struggle</w:t>
      </w:r>
      <w:r>
        <w:t>d</w:t>
      </w:r>
      <w:r w:rsidRPr="001B1128">
        <w:t xml:space="preserve"> to reach the target score</w:t>
      </w:r>
      <w:r w:rsidR="00113655">
        <w:t xml:space="preserve"> of 2.5</w:t>
      </w:r>
      <w:r w:rsidRPr="001B1128">
        <w:t xml:space="preserve"> (</w:t>
      </w:r>
      <w:r>
        <w:t>S</w:t>
      </w:r>
      <w:r w:rsidRPr="001B1128">
        <w:t xml:space="preserve">ee Exhibit </w:t>
      </w:r>
      <w:r w:rsidR="00DD4F6B">
        <w:t>5</w:t>
      </w:r>
      <w:r w:rsidRPr="001B1128">
        <w:t>-2).</w:t>
      </w:r>
    </w:p>
    <w:p w14:paraId="0DB87DD8" w14:textId="77777777" w:rsidR="002973A5" w:rsidRPr="00131649" w:rsidRDefault="002973A5" w:rsidP="002973A5">
      <w:pPr>
        <w:pStyle w:val="Caption"/>
      </w:pPr>
      <w:r>
        <w:t xml:space="preserve">Exhibit </w:t>
      </w:r>
      <w:r>
        <w:rPr>
          <w:noProof/>
        </w:rPr>
        <w:fldChar w:fldCharType="begin"/>
      </w:r>
      <w:r>
        <w:rPr>
          <w:noProof/>
        </w:rPr>
        <w:instrText xml:space="preserve"> STYLEREF 1 \s </w:instrText>
      </w:r>
      <w:r>
        <w:rPr>
          <w:noProof/>
        </w:rPr>
        <w:fldChar w:fldCharType="separate"/>
      </w:r>
      <w:r w:rsidR="00FD2536">
        <w:rPr>
          <w:noProof/>
        </w:rPr>
        <w:t>5</w:t>
      </w:r>
      <w:r>
        <w:rPr>
          <w:noProof/>
        </w:rPr>
        <w:fldChar w:fldCharType="end"/>
      </w:r>
      <w:r>
        <w:noBreakHyphen/>
      </w:r>
      <w:r>
        <w:rPr>
          <w:noProof/>
        </w:rPr>
        <w:fldChar w:fldCharType="begin"/>
      </w:r>
      <w:r>
        <w:rPr>
          <w:noProof/>
        </w:rPr>
        <w:instrText xml:space="preserve"> SEQ Exhibit \* ARABIC \s 1 </w:instrText>
      </w:r>
      <w:r>
        <w:rPr>
          <w:noProof/>
        </w:rPr>
        <w:fldChar w:fldCharType="separate"/>
      </w:r>
      <w:r w:rsidR="00FD2536">
        <w:rPr>
          <w:noProof/>
        </w:rPr>
        <w:t>2</w:t>
      </w:r>
      <w:r>
        <w:rPr>
          <w:noProof/>
        </w:rPr>
        <w:fldChar w:fldCharType="end"/>
      </w:r>
      <w:r>
        <w:t xml:space="preserve">. JR Environment Adherence Scores </w:t>
      </w:r>
    </w:p>
    <w:tbl>
      <w:tblPr>
        <w:tblStyle w:val="HyzerTable"/>
        <w:tblW w:w="8368" w:type="dxa"/>
        <w:tblLayout w:type="fixed"/>
        <w:tblLook w:val="0420" w:firstRow="1" w:lastRow="0" w:firstColumn="0" w:lastColumn="0" w:noHBand="0" w:noVBand="1"/>
      </w:tblPr>
      <w:tblGrid>
        <w:gridCol w:w="1799"/>
        <w:gridCol w:w="1040"/>
        <w:gridCol w:w="1170"/>
        <w:gridCol w:w="1080"/>
        <w:gridCol w:w="1483"/>
        <w:gridCol w:w="1796"/>
      </w:tblGrid>
      <w:tr w:rsidR="00113655" w:rsidRPr="00CD1826" w14:paraId="28D709BD" w14:textId="77777777" w:rsidTr="00113655">
        <w:trPr>
          <w:cnfStyle w:val="100000000000" w:firstRow="1" w:lastRow="0" w:firstColumn="0" w:lastColumn="0" w:oddVBand="0" w:evenVBand="0" w:oddHBand="0" w:evenHBand="0" w:firstRowFirstColumn="0" w:firstRowLastColumn="0" w:lastRowFirstColumn="0" w:lastRowLastColumn="0"/>
        </w:trPr>
        <w:tc>
          <w:tcPr>
            <w:tcW w:w="1799" w:type="dxa"/>
          </w:tcPr>
          <w:p w14:paraId="79C08F2C" w14:textId="77777777" w:rsidR="00113655" w:rsidRDefault="00113655" w:rsidP="002973A5">
            <w:pPr>
              <w:pStyle w:val="tableheaderwhite"/>
            </w:pPr>
            <w:r>
              <w:t>Facility</w:t>
            </w:r>
          </w:p>
        </w:tc>
        <w:tc>
          <w:tcPr>
            <w:tcW w:w="1040" w:type="dxa"/>
          </w:tcPr>
          <w:p w14:paraId="6B4184AA" w14:textId="77777777" w:rsidR="00113655" w:rsidRDefault="00113655" w:rsidP="002973A5">
            <w:pPr>
              <w:pStyle w:val="tableheaderwhite"/>
            </w:pPr>
            <w:r>
              <w:t>2016</w:t>
            </w:r>
          </w:p>
        </w:tc>
        <w:tc>
          <w:tcPr>
            <w:tcW w:w="1170" w:type="dxa"/>
          </w:tcPr>
          <w:p w14:paraId="4B8B6D5C" w14:textId="77777777" w:rsidR="00113655" w:rsidRPr="00CD1826" w:rsidRDefault="00113655" w:rsidP="002973A5">
            <w:pPr>
              <w:pStyle w:val="tableheaderwhite"/>
            </w:pPr>
            <w:r>
              <w:t>2016/2017</w:t>
            </w:r>
          </w:p>
        </w:tc>
        <w:tc>
          <w:tcPr>
            <w:tcW w:w="1080" w:type="dxa"/>
          </w:tcPr>
          <w:p w14:paraId="3EEF4926" w14:textId="77777777" w:rsidR="00113655" w:rsidRPr="00CD1826" w:rsidRDefault="00113655" w:rsidP="002973A5">
            <w:pPr>
              <w:pStyle w:val="tableheaderwhite"/>
            </w:pPr>
            <w:r>
              <w:t>2017</w:t>
            </w:r>
          </w:p>
        </w:tc>
        <w:tc>
          <w:tcPr>
            <w:tcW w:w="1483" w:type="dxa"/>
          </w:tcPr>
          <w:p w14:paraId="7CD611C4" w14:textId="77777777" w:rsidR="00113655" w:rsidRPr="00CD1826" w:rsidRDefault="00113655" w:rsidP="002973A5">
            <w:pPr>
              <w:pStyle w:val="tableheaderwhite"/>
            </w:pPr>
            <w:r>
              <w:t>Most Current</w:t>
            </w:r>
          </w:p>
        </w:tc>
        <w:tc>
          <w:tcPr>
            <w:tcW w:w="1796" w:type="dxa"/>
          </w:tcPr>
          <w:p w14:paraId="3B7479AD" w14:textId="77777777" w:rsidR="00113655" w:rsidRDefault="00113655" w:rsidP="002973A5">
            <w:pPr>
              <w:pStyle w:val="tableheaderwhite"/>
            </w:pPr>
            <w:r>
              <w:t>Average Score</w:t>
            </w:r>
          </w:p>
          <w:p w14:paraId="7E6CA3DB" w14:textId="77777777" w:rsidR="00113655" w:rsidRDefault="00113655" w:rsidP="002973A5">
            <w:pPr>
              <w:pStyle w:val="tableheaderwhite"/>
            </w:pPr>
            <w:r>
              <w:t>2016-Most Current</w:t>
            </w:r>
          </w:p>
        </w:tc>
      </w:tr>
      <w:tr w:rsidR="00113655" w:rsidRPr="00CD1826" w14:paraId="7B93DA66" w14:textId="77777777" w:rsidTr="00113655">
        <w:trPr>
          <w:cnfStyle w:val="000000100000" w:firstRow="0" w:lastRow="0" w:firstColumn="0" w:lastColumn="0" w:oddVBand="0" w:evenVBand="0" w:oddHBand="1" w:evenHBand="0" w:firstRowFirstColumn="0" w:firstRowLastColumn="0" w:lastRowFirstColumn="0" w:lastRowLastColumn="0"/>
        </w:trPr>
        <w:tc>
          <w:tcPr>
            <w:tcW w:w="1799" w:type="dxa"/>
          </w:tcPr>
          <w:p w14:paraId="5C9D50D4" w14:textId="77777777" w:rsidR="00113655" w:rsidRDefault="00113655" w:rsidP="002973A5">
            <w:pPr>
              <w:pStyle w:val="TableText"/>
            </w:pPr>
            <w:r>
              <w:t>Echo Glen</w:t>
            </w:r>
          </w:p>
        </w:tc>
        <w:tc>
          <w:tcPr>
            <w:tcW w:w="1040" w:type="dxa"/>
            <w:vAlign w:val="center"/>
          </w:tcPr>
          <w:p w14:paraId="1A32C590" w14:textId="77777777" w:rsidR="00113655" w:rsidRPr="0014678C" w:rsidRDefault="00113655" w:rsidP="002973A5">
            <w:pPr>
              <w:pStyle w:val="TableText"/>
              <w:jc w:val="center"/>
            </w:pPr>
            <w:r>
              <w:t>2.81</w:t>
            </w:r>
          </w:p>
        </w:tc>
        <w:tc>
          <w:tcPr>
            <w:tcW w:w="1170" w:type="dxa"/>
            <w:vAlign w:val="center"/>
          </w:tcPr>
          <w:p w14:paraId="28D1D20C" w14:textId="77777777" w:rsidR="00113655" w:rsidRPr="0014678C" w:rsidRDefault="00113655" w:rsidP="002973A5">
            <w:pPr>
              <w:pStyle w:val="TableText"/>
              <w:jc w:val="center"/>
            </w:pPr>
            <w:r>
              <w:t>2.78</w:t>
            </w:r>
          </w:p>
        </w:tc>
        <w:tc>
          <w:tcPr>
            <w:tcW w:w="1080" w:type="dxa"/>
            <w:vAlign w:val="center"/>
          </w:tcPr>
          <w:p w14:paraId="1473DAB2" w14:textId="77777777" w:rsidR="00113655" w:rsidRPr="0014678C" w:rsidRDefault="00113655" w:rsidP="002973A5">
            <w:pPr>
              <w:pStyle w:val="TableText"/>
              <w:jc w:val="center"/>
              <w:rPr>
                <w:rStyle w:val="TableTextBold"/>
                <w:b w:val="0"/>
              </w:rPr>
            </w:pPr>
            <w:r>
              <w:rPr>
                <w:rStyle w:val="TableTextBold"/>
                <w:b w:val="0"/>
              </w:rPr>
              <w:t>2.85</w:t>
            </w:r>
          </w:p>
        </w:tc>
        <w:tc>
          <w:tcPr>
            <w:tcW w:w="1483" w:type="dxa"/>
            <w:vAlign w:val="center"/>
          </w:tcPr>
          <w:p w14:paraId="3B99AB51" w14:textId="77777777" w:rsidR="00113655" w:rsidRPr="0014678C" w:rsidRDefault="00113655" w:rsidP="002973A5">
            <w:pPr>
              <w:pStyle w:val="TableTextRight"/>
              <w:jc w:val="center"/>
            </w:pPr>
            <w:r>
              <w:t>2.78</w:t>
            </w:r>
          </w:p>
        </w:tc>
        <w:tc>
          <w:tcPr>
            <w:tcW w:w="1796" w:type="dxa"/>
          </w:tcPr>
          <w:p w14:paraId="114E154D" w14:textId="77777777" w:rsidR="00113655" w:rsidRDefault="00113655" w:rsidP="002973A5">
            <w:pPr>
              <w:pStyle w:val="TableTextRight"/>
              <w:jc w:val="center"/>
            </w:pPr>
            <w:r>
              <w:t>2.80</w:t>
            </w:r>
          </w:p>
        </w:tc>
      </w:tr>
      <w:tr w:rsidR="00113655" w:rsidRPr="00CD1826" w14:paraId="77DB574D" w14:textId="77777777" w:rsidTr="00113655">
        <w:tc>
          <w:tcPr>
            <w:tcW w:w="1799" w:type="dxa"/>
          </w:tcPr>
          <w:p w14:paraId="722E7A6E" w14:textId="77777777" w:rsidR="00113655" w:rsidRDefault="00113655" w:rsidP="002973A5">
            <w:pPr>
              <w:pStyle w:val="TableBullet"/>
              <w:keepNext w:val="0"/>
              <w:numPr>
                <w:ilvl w:val="0"/>
                <w:numId w:val="0"/>
              </w:numPr>
              <w:ind w:left="130" w:hanging="130"/>
              <w:jc w:val="both"/>
            </w:pPr>
            <w:r>
              <w:t>Green Hill</w:t>
            </w:r>
          </w:p>
        </w:tc>
        <w:tc>
          <w:tcPr>
            <w:tcW w:w="1040" w:type="dxa"/>
            <w:vAlign w:val="center"/>
          </w:tcPr>
          <w:p w14:paraId="7C1BC611" w14:textId="77777777" w:rsidR="00113655" w:rsidRPr="0014678C" w:rsidRDefault="00113655" w:rsidP="002973A5">
            <w:pPr>
              <w:pStyle w:val="TableBullet"/>
              <w:keepNext w:val="0"/>
              <w:numPr>
                <w:ilvl w:val="0"/>
                <w:numId w:val="0"/>
              </w:numPr>
              <w:jc w:val="center"/>
            </w:pPr>
            <w:r>
              <w:t>1.66</w:t>
            </w:r>
          </w:p>
        </w:tc>
        <w:tc>
          <w:tcPr>
            <w:tcW w:w="1170" w:type="dxa"/>
            <w:vAlign w:val="center"/>
          </w:tcPr>
          <w:p w14:paraId="508A80F9" w14:textId="77777777" w:rsidR="00113655" w:rsidRPr="0014678C" w:rsidRDefault="00113655" w:rsidP="002973A5">
            <w:pPr>
              <w:pStyle w:val="TableBullet"/>
              <w:keepNext w:val="0"/>
              <w:numPr>
                <w:ilvl w:val="0"/>
                <w:numId w:val="0"/>
              </w:numPr>
              <w:jc w:val="center"/>
            </w:pPr>
            <w:r>
              <w:t>1.61</w:t>
            </w:r>
          </w:p>
        </w:tc>
        <w:tc>
          <w:tcPr>
            <w:tcW w:w="1080" w:type="dxa"/>
            <w:vAlign w:val="center"/>
          </w:tcPr>
          <w:p w14:paraId="6C82A19A" w14:textId="77777777" w:rsidR="00113655" w:rsidRPr="0014678C" w:rsidRDefault="00113655" w:rsidP="002973A5">
            <w:pPr>
              <w:pStyle w:val="tabletextcenter"/>
            </w:pPr>
            <w:r>
              <w:t>1.84</w:t>
            </w:r>
          </w:p>
        </w:tc>
        <w:tc>
          <w:tcPr>
            <w:tcW w:w="1483" w:type="dxa"/>
            <w:vAlign w:val="center"/>
          </w:tcPr>
          <w:p w14:paraId="6A7E8648" w14:textId="77777777" w:rsidR="00113655" w:rsidRPr="0014678C" w:rsidRDefault="00113655" w:rsidP="002973A5">
            <w:pPr>
              <w:pStyle w:val="TableTextBoldRight"/>
              <w:jc w:val="center"/>
              <w:rPr>
                <w:b w:val="0"/>
              </w:rPr>
            </w:pPr>
            <w:r>
              <w:rPr>
                <w:b w:val="0"/>
              </w:rPr>
              <w:t>1.75</w:t>
            </w:r>
          </w:p>
        </w:tc>
        <w:tc>
          <w:tcPr>
            <w:tcW w:w="1796" w:type="dxa"/>
          </w:tcPr>
          <w:p w14:paraId="12F26362" w14:textId="77777777" w:rsidR="00113655" w:rsidRDefault="00113655" w:rsidP="002973A5">
            <w:pPr>
              <w:pStyle w:val="TableTextBoldRight"/>
              <w:jc w:val="center"/>
              <w:rPr>
                <w:b w:val="0"/>
              </w:rPr>
            </w:pPr>
            <w:r>
              <w:rPr>
                <w:b w:val="0"/>
              </w:rPr>
              <w:t>1.71</w:t>
            </w:r>
          </w:p>
        </w:tc>
      </w:tr>
      <w:tr w:rsidR="00113655" w:rsidRPr="00CD1826" w14:paraId="0CDD01CD" w14:textId="77777777" w:rsidTr="00113655">
        <w:trPr>
          <w:cnfStyle w:val="000000100000" w:firstRow="0" w:lastRow="0" w:firstColumn="0" w:lastColumn="0" w:oddVBand="0" w:evenVBand="0" w:oddHBand="1" w:evenHBand="0" w:firstRowFirstColumn="0" w:firstRowLastColumn="0" w:lastRowFirstColumn="0" w:lastRowLastColumn="0"/>
        </w:trPr>
        <w:tc>
          <w:tcPr>
            <w:tcW w:w="1799" w:type="dxa"/>
          </w:tcPr>
          <w:p w14:paraId="34B127B9" w14:textId="77777777" w:rsidR="00113655" w:rsidRDefault="00113655" w:rsidP="002973A5">
            <w:pPr>
              <w:pStyle w:val="TableText"/>
            </w:pPr>
            <w:r>
              <w:t>Naselle</w:t>
            </w:r>
          </w:p>
        </w:tc>
        <w:tc>
          <w:tcPr>
            <w:tcW w:w="1040" w:type="dxa"/>
            <w:vAlign w:val="center"/>
          </w:tcPr>
          <w:p w14:paraId="0B4DBCB3" w14:textId="77777777" w:rsidR="00113655" w:rsidRPr="0014678C" w:rsidRDefault="00113655" w:rsidP="002973A5">
            <w:pPr>
              <w:pStyle w:val="TableText"/>
              <w:jc w:val="center"/>
            </w:pPr>
            <w:r>
              <w:t>2.38</w:t>
            </w:r>
          </w:p>
        </w:tc>
        <w:tc>
          <w:tcPr>
            <w:tcW w:w="1170" w:type="dxa"/>
            <w:vAlign w:val="center"/>
          </w:tcPr>
          <w:p w14:paraId="404CE65C" w14:textId="77777777" w:rsidR="00113655" w:rsidRPr="0014678C" w:rsidRDefault="00113655" w:rsidP="002973A5">
            <w:pPr>
              <w:pStyle w:val="TableText"/>
              <w:jc w:val="center"/>
            </w:pPr>
            <w:r>
              <w:t>2.16</w:t>
            </w:r>
          </w:p>
        </w:tc>
        <w:tc>
          <w:tcPr>
            <w:tcW w:w="1080" w:type="dxa"/>
            <w:vAlign w:val="center"/>
          </w:tcPr>
          <w:p w14:paraId="612E2E43" w14:textId="77777777" w:rsidR="00113655" w:rsidRPr="0014678C" w:rsidRDefault="00113655" w:rsidP="002973A5">
            <w:pPr>
              <w:pStyle w:val="TableTextBoldCentered"/>
              <w:rPr>
                <w:b w:val="0"/>
              </w:rPr>
            </w:pPr>
            <w:r>
              <w:rPr>
                <w:b w:val="0"/>
              </w:rPr>
              <w:t>2.26</w:t>
            </w:r>
          </w:p>
        </w:tc>
        <w:tc>
          <w:tcPr>
            <w:tcW w:w="1483" w:type="dxa"/>
            <w:vAlign w:val="center"/>
          </w:tcPr>
          <w:p w14:paraId="43B1AE2F" w14:textId="77777777" w:rsidR="00113655" w:rsidRPr="0014678C" w:rsidRDefault="00113655" w:rsidP="002973A5">
            <w:pPr>
              <w:pStyle w:val="TableText"/>
              <w:jc w:val="center"/>
            </w:pPr>
            <w:r>
              <w:t>2.32</w:t>
            </w:r>
          </w:p>
        </w:tc>
        <w:tc>
          <w:tcPr>
            <w:tcW w:w="1796" w:type="dxa"/>
          </w:tcPr>
          <w:p w14:paraId="127425DB" w14:textId="77777777" w:rsidR="00113655" w:rsidRDefault="00113655" w:rsidP="002973A5">
            <w:pPr>
              <w:pStyle w:val="TableText"/>
              <w:jc w:val="center"/>
            </w:pPr>
            <w:r>
              <w:t>2.28</w:t>
            </w:r>
          </w:p>
        </w:tc>
      </w:tr>
      <w:tr w:rsidR="00113655" w:rsidRPr="00CD1826" w14:paraId="07ACEA2B" w14:textId="77777777" w:rsidTr="00113655">
        <w:tc>
          <w:tcPr>
            <w:tcW w:w="1799" w:type="dxa"/>
          </w:tcPr>
          <w:p w14:paraId="159AD4A4" w14:textId="77777777" w:rsidR="00113655" w:rsidRPr="00CD1826" w:rsidRDefault="00113655" w:rsidP="002973A5">
            <w:pPr>
              <w:pStyle w:val="TableText"/>
            </w:pPr>
            <w:r>
              <w:t>Community Facilities</w:t>
            </w:r>
          </w:p>
        </w:tc>
        <w:tc>
          <w:tcPr>
            <w:tcW w:w="1040" w:type="dxa"/>
            <w:vAlign w:val="center"/>
          </w:tcPr>
          <w:p w14:paraId="6FDC4FC6" w14:textId="77777777" w:rsidR="00113655" w:rsidRPr="0014678C" w:rsidRDefault="00113655" w:rsidP="002973A5">
            <w:pPr>
              <w:pStyle w:val="TableText"/>
              <w:jc w:val="center"/>
            </w:pPr>
            <w:r>
              <w:t>2.06</w:t>
            </w:r>
          </w:p>
        </w:tc>
        <w:tc>
          <w:tcPr>
            <w:tcW w:w="1170" w:type="dxa"/>
            <w:vAlign w:val="center"/>
          </w:tcPr>
          <w:p w14:paraId="71ED419C" w14:textId="77777777" w:rsidR="00113655" w:rsidRPr="0014678C" w:rsidRDefault="00113655" w:rsidP="002973A5">
            <w:pPr>
              <w:pStyle w:val="TableText"/>
              <w:jc w:val="center"/>
            </w:pPr>
            <w:r>
              <w:t>2.26</w:t>
            </w:r>
          </w:p>
        </w:tc>
        <w:tc>
          <w:tcPr>
            <w:tcW w:w="1080" w:type="dxa"/>
            <w:vAlign w:val="center"/>
          </w:tcPr>
          <w:p w14:paraId="35FAE00E" w14:textId="77777777" w:rsidR="00113655" w:rsidRPr="0014678C" w:rsidRDefault="00113655" w:rsidP="002973A5">
            <w:pPr>
              <w:pStyle w:val="TableTextBoldCentered"/>
              <w:rPr>
                <w:b w:val="0"/>
              </w:rPr>
            </w:pPr>
            <w:r>
              <w:rPr>
                <w:b w:val="0"/>
              </w:rPr>
              <w:t>2.16</w:t>
            </w:r>
          </w:p>
        </w:tc>
        <w:tc>
          <w:tcPr>
            <w:tcW w:w="1483" w:type="dxa"/>
            <w:vAlign w:val="center"/>
          </w:tcPr>
          <w:p w14:paraId="74723F97" w14:textId="77777777" w:rsidR="00113655" w:rsidRPr="0014678C" w:rsidRDefault="00113655" w:rsidP="002973A5">
            <w:pPr>
              <w:pStyle w:val="TableText"/>
              <w:jc w:val="center"/>
            </w:pPr>
            <w:r>
              <w:t>2.30</w:t>
            </w:r>
          </w:p>
        </w:tc>
        <w:tc>
          <w:tcPr>
            <w:tcW w:w="1796" w:type="dxa"/>
          </w:tcPr>
          <w:p w14:paraId="5DFE8122" w14:textId="77777777" w:rsidR="00113655" w:rsidRDefault="00113655" w:rsidP="002973A5">
            <w:pPr>
              <w:pStyle w:val="TableText"/>
              <w:jc w:val="center"/>
            </w:pPr>
            <w:r>
              <w:t>2.19</w:t>
            </w:r>
          </w:p>
        </w:tc>
      </w:tr>
    </w:tbl>
    <w:p w14:paraId="0FA02DEB" w14:textId="77777777" w:rsidR="002973A5" w:rsidRDefault="002973A5" w:rsidP="002973A5">
      <w:r>
        <w:t xml:space="preserve">In interviews with staff, we heard that in addition to staff not having time to receive training, the </w:t>
      </w:r>
      <w:r w:rsidR="00856240">
        <w:t>Integrated Treatment Model (</w:t>
      </w:r>
      <w:r>
        <w:t>ITM</w:t>
      </w:r>
      <w:r w:rsidR="00856240">
        <w:t>)</w:t>
      </w:r>
      <w:r>
        <w:t xml:space="preserve"> Consultants and Trainers are “spread too thin” and do not have the time to meet the needs of all the facilities for training and consultation to improve fidelity to the DBT model. There are currently only three ITM Consultants and Train</w:t>
      </w:r>
      <w:r w:rsidR="006F7005">
        <w:t>ers</w:t>
      </w:r>
      <w:r>
        <w:t xml:space="preserve"> for all of the institutions and community facilities. Many staff indicated they would like to have significantly more consultation support. In an interview with the JR Clinical Director, we learned when DBT was first being implemented at the institutions and some of the community facilities, intensive up-front training was provide</w:t>
      </w:r>
      <w:r w:rsidR="008C48D1">
        <w:t>d</w:t>
      </w:r>
      <w:r>
        <w:t xml:space="preserve">. There was also an embedded consultant and months of on-going training. After the initial implementation, there was less significant training and as budgets were strained, the training was reduced and was insufficient to meet the need, in turn, making it more difficult to provide quality DBT as training and consultation to improve </w:t>
      </w:r>
      <w:r>
        <w:lastRenderedPageBreak/>
        <w:t>counselors’ skills is a key component of DBT.</w:t>
      </w:r>
      <w:r w:rsidR="00113655">
        <w:rPr>
          <w:rStyle w:val="FootnoteReference"/>
        </w:rPr>
        <w:footnoteReference w:id="60"/>
      </w:r>
      <w:r>
        <w:t xml:space="preserve"> Further, when DBT is delivered with high program fidelity, reductions in recidivism have been observed.</w:t>
      </w:r>
      <w:r>
        <w:rPr>
          <w:rStyle w:val="FootnoteReference"/>
        </w:rPr>
        <w:footnoteReference w:id="61"/>
      </w:r>
    </w:p>
    <w:p w14:paraId="0F0E4FFD" w14:textId="77777777" w:rsidR="002973A5" w:rsidRDefault="00746C4B" w:rsidP="00746C4B">
      <w:pPr>
        <w:pStyle w:val="Heading3"/>
      </w:pPr>
      <w:bookmarkStart w:id="44" w:name="_Toc531597491"/>
      <w:r>
        <w:t>Key Programs and Services</w:t>
      </w:r>
      <w:bookmarkEnd w:id="44"/>
    </w:p>
    <w:p w14:paraId="331F588E" w14:textId="77777777" w:rsidR="002973A5" w:rsidRDefault="002973A5" w:rsidP="002973A5">
      <w:r>
        <w:t>In interviews with both staff and youth, we also heard some of the core programs and services are regularly cancelled or not provided – usually cultural</w:t>
      </w:r>
      <w:r w:rsidR="00673447">
        <w:t xml:space="preserve"> </w:t>
      </w:r>
      <w:r>
        <w:t>and recreational activities. Youth indicated the facilities are often short-</w:t>
      </w:r>
      <w:r w:rsidR="002F0963">
        <w:t>staffed;</w:t>
      </w:r>
      <w:r>
        <w:t xml:space="preserve"> </w:t>
      </w:r>
      <w:r w:rsidR="00FE66BD">
        <w:t>so,</w:t>
      </w:r>
      <w:r>
        <w:t xml:space="preserve"> one staff member cannot leave the unit in order to take other youth to these activities. Counselors and security officers indicated cancellation of these activities leaves the youth with too much idle time on the units, which often leads to interpersonal conflict involving both youth and staff members.</w:t>
      </w:r>
    </w:p>
    <w:p w14:paraId="5495098A" w14:textId="77777777" w:rsidR="003E7405" w:rsidRDefault="003E7405" w:rsidP="003E7405">
      <w:pPr>
        <w:pStyle w:val="Heading3"/>
      </w:pPr>
      <w:bookmarkStart w:id="45" w:name="_Toc531597492"/>
      <w:r>
        <w:t>Reentry Planning and Services</w:t>
      </w:r>
      <w:bookmarkEnd w:id="45"/>
    </w:p>
    <w:p w14:paraId="749BD7AF" w14:textId="77777777" w:rsidR="009F4976" w:rsidRPr="002973A5" w:rsidRDefault="00470D83" w:rsidP="003B4C2F">
      <w:pPr>
        <w:rPr>
          <w:color w:val="211C1E"/>
        </w:rPr>
      </w:pPr>
      <w:r>
        <w:t>J</w:t>
      </w:r>
      <w:r w:rsidR="00A11DF6">
        <w:t>uvenile Rehabilitation Residential Counselors (J</w:t>
      </w:r>
      <w:r>
        <w:t>RRCs</w:t>
      </w:r>
      <w:r w:rsidR="00A11DF6">
        <w:t>) and Juvenile Rehabilitation Counselor Assistants (</w:t>
      </w:r>
      <w:r>
        <w:t>JRCAs</w:t>
      </w:r>
      <w:r w:rsidR="00A11DF6">
        <w:t>) (counselors)</w:t>
      </w:r>
      <w:r w:rsidR="00F41C07">
        <w:t xml:space="preserve"> are required to actively engage youth and their families, natural supports, community providers and relevant JR </w:t>
      </w:r>
      <w:r w:rsidR="00827FFD">
        <w:t xml:space="preserve">staff </w:t>
      </w:r>
      <w:r w:rsidR="00F41C07">
        <w:t>in the reentry planning process.</w:t>
      </w:r>
      <w:r w:rsidR="00F41C07">
        <w:rPr>
          <w:rStyle w:val="FootnoteReference"/>
        </w:rPr>
        <w:footnoteReference w:id="62"/>
      </w:r>
      <w:r w:rsidR="00F41C07">
        <w:t xml:space="preserve"> Counselors</w:t>
      </w:r>
      <w:r w:rsidR="00A410FF">
        <w:t xml:space="preserve"> are supposed to work with </w:t>
      </w:r>
      <w:r w:rsidR="006A3F20">
        <w:t>youth to</w:t>
      </w:r>
      <w:r w:rsidR="00A410FF">
        <w:t xml:space="preserve"> develop action plans for </w:t>
      </w:r>
      <w:r w:rsidR="006A3F20">
        <w:t>their time in</w:t>
      </w:r>
      <w:r w:rsidR="00A410FF">
        <w:t xml:space="preserve"> JR</w:t>
      </w:r>
      <w:r w:rsidR="0023346E">
        <w:t>, during which they</w:t>
      </w:r>
      <w:r w:rsidR="00A410FF">
        <w:t xml:space="preserve"> </w:t>
      </w:r>
      <w:r w:rsidR="0023346E">
        <w:t>are supposed to</w:t>
      </w:r>
      <w:r w:rsidR="00A410FF">
        <w:t xml:space="preserve"> </w:t>
      </w:r>
      <w:r w:rsidR="0023346E">
        <w:t xml:space="preserve">actively </w:t>
      </w:r>
      <w:r w:rsidR="00A410FF">
        <w:t>p</w:t>
      </w:r>
      <w:r w:rsidR="006A3F20">
        <w:t>repare</w:t>
      </w:r>
      <w:r w:rsidR="00A410FF">
        <w:t xml:space="preserve"> for release. They </w:t>
      </w:r>
      <w:r w:rsidR="00D14F17">
        <w:t xml:space="preserve">also </w:t>
      </w:r>
      <w:r w:rsidR="00A410FF">
        <w:t xml:space="preserve">are </w:t>
      </w:r>
      <w:r w:rsidR="0023346E">
        <w:t xml:space="preserve">required to </w:t>
      </w:r>
      <w:r w:rsidR="00A410FF">
        <w:t xml:space="preserve">work </w:t>
      </w:r>
      <w:r w:rsidR="0023346E">
        <w:t xml:space="preserve">with </w:t>
      </w:r>
      <w:r w:rsidR="00A410FF">
        <w:t>youth and their positive support systems (</w:t>
      </w:r>
      <w:r w:rsidR="00D14F17">
        <w:t xml:space="preserve">e.g., </w:t>
      </w:r>
      <w:r w:rsidR="00A410FF">
        <w:t>family members, friends, mentors</w:t>
      </w:r>
      <w:r w:rsidR="00D14F17">
        <w:t>, etc.</w:t>
      </w:r>
      <w:r w:rsidR="00A410FF">
        <w:t xml:space="preserve">) to </w:t>
      </w:r>
      <w:r w:rsidR="0023346E">
        <w:t xml:space="preserve">ensure adequate support for youth </w:t>
      </w:r>
      <w:r w:rsidR="004803C1">
        <w:t>exiting JR custody</w:t>
      </w:r>
      <w:r w:rsidR="00A410FF">
        <w:t xml:space="preserve">. </w:t>
      </w:r>
    </w:p>
    <w:p w14:paraId="19AE4BA3" w14:textId="77777777" w:rsidR="00A410FF" w:rsidRDefault="00A410FF" w:rsidP="003B4C2F">
      <w:r>
        <w:t xml:space="preserve">In interviews with counselors and youth, we heard that while Reentry Team Meetings (RTMs) are held, there is often little to no time to do the necessary outreach </w:t>
      </w:r>
      <w:r w:rsidR="00E96220">
        <w:t xml:space="preserve">needed </w:t>
      </w:r>
      <w:r>
        <w:t xml:space="preserve">to </w:t>
      </w:r>
      <w:r w:rsidR="00E96220">
        <w:t>connect exiting youth to</w:t>
      </w:r>
      <w:r>
        <w:t xml:space="preserve"> community resources and supports</w:t>
      </w:r>
      <w:r w:rsidR="00E96220">
        <w:t xml:space="preserve">. Without these, it is difficult to ensure </w:t>
      </w:r>
      <w:r w:rsidR="006C1DB4">
        <w:t xml:space="preserve">youth </w:t>
      </w:r>
      <w:r w:rsidR="00E96220">
        <w:t xml:space="preserve">will be able to build on the progress they have </w:t>
      </w:r>
      <w:r w:rsidR="006C1DB4">
        <w:t>achieve</w:t>
      </w:r>
      <w:r w:rsidR="00E96220">
        <w:t>d</w:t>
      </w:r>
      <w:r w:rsidR="006C1DB4">
        <w:t xml:space="preserve"> </w:t>
      </w:r>
      <w:r w:rsidR="00D14F17">
        <w:t xml:space="preserve">while in custody </w:t>
      </w:r>
      <w:r w:rsidR="00E96220">
        <w:t>and avoid re-offending after release. Counselors</w:t>
      </w:r>
      <w:r w:rsidR="006C1DB4">
        <w:t xml:space="preserve"> also indicated they do not have the time needed to</w:t>
      </w:r>
      <w:r>
        <w:t xml:space="preserve"> work with the youth and their famil</w:t>
      </w:r>
      <w:r w:rsidR="00E96220">
        <w:t>ies</w:t>
      </w:r>
      <w:r>
        <w:t xml:space="preserve"> to fully prepare for reentry. </w:t>
      </w:r>
      <w:r w:rsidR="00A11DF6">
        <w:t>Some of the y</w:t>
      </w:r>
      <w:r>
        <w:t>outh at the</w:t>
      </w:r>
      <w:r w:rsidR="004F5DC5">
        <w:t xml:space="preserve"> three</w:t>
      </w:r>
      <w:r>
        <w:t xml:space="preserve"> institutions indicated reentry was difficult </w:t>
      </w:r>
      <w:r w:rsidR="00E96220">
        <w:t>without the</w:t>
      </w:r>
      <w:r>
        <w:t xml:space="preserve"> opportunity to </w:t>
      </w:r>
      <w:r w:rsidR="00E96220">
        <w:t xml:space="preserve">first </w:t>
      </w:r>
      <w:r w:rsidR="00BE02F5">
        <w:t>transition to</w:t>
      </w:r>
      <w:r w:rsidR="003C1DB9">
        <w:t xml:space="preserve"> one of the</w:t>
      </w:r>
      <w:r>
        <w:t xml:space="preserve"> community facilities</w:t>
      </w:r>
      <w:r w:rsidR="006D15FD">
        <w:t>, where they</w:t>
      </w:r>
      <w:r>
        <w:t xml:space="preserve"> </w:t>
      </w:r>
      <w:r w:rsidR="006D15FD">
        <w:t>can</w:t>
      </w:r>
      <w:r>
        <w:t xml:space="preserve"> adjust to community living with </w:t>
      </w:r>
      <w:r w:rsidR="00BE02F5">
        <w:t xml:space="preserve">staff </w:t>
      </w:r>
      <w:r>
        <w:t>support.</w:t>
      </w:r>
    </w:p>
    <w:p w14:paraId="4E9877D1" w14:textId="77777777" w:rsidR="00800135" w:rsidRPr="00A410FF" w:rsidRDefault="00800135" w:rsidP="00F42D48">
      <w:pPr>
        <w:pStyle w:val="Heading2"/>
      </w:pPr>
      <w:bookmarkStart w:id="46" w:name="_Toc531597493"/>
      <w:bookmarkEnd w:id="42"/>
      <w:r w:rsidRPr="00A410FF">
        <w:t>Staffing</w:t>
      </w:r>
      <w:r w:rsidR="00FD69B6" w:rsidRPr="00A410FF">
        <w:t xml:space="preserve"> </w:t>
      </w:r>
      <w:r w:rsidR="004E1C9A" w:rsidRPr="00A410FF">
        <w:t>Challenges</w:t>
      </w:r>
      <w:bookmarkEnd w:id="46"/>
    </w:p>
    <w:p w14:paraId="4A397154" w14:textId="77777777" w:rsidR="00742975" w:rsidRDefault="00742975" w:rsidP="003B4C2F">
      <w:r>
        <w:t>The data and informat</w:t>
      </w:r>
      <w:r w:rsidR="00A902B0">
        <w:t>ion from</w:t>
      </w:r>
      <w:r>
        <w:t xml:space="preserve"> </w:t>
      </w:r>
      <w:r w:rsidR="00A902B0">
        <w:t xml:space="preserve">the staff surveys and interviews </w:t>
      </w:r>
      <w:r>
        <w:t xml:space="preserve">provided a solid basis for assessing </w:t>
      </w:r>
      <w:r w:rsidR="00A902B0">
        <w:t xml:space="preserve">current </w:t>
      </w:r>
      <w:r>
        <w:t>staffing challenges</w:t>
      </w:r>
      <w:r w:rsidR="00E765BF">
        <w:t xml:space="preserve"> that are </w:t>
      </w:r>
      <w:r w:rsidR="006F73BC">
        <w:t>preventing</w:t>
      </w:r>
      <w:r w:rsidR="00E765BF">
        <w:t xml:space="preserve"> full implementation of the </w:t>
      </w:r>
      <w:r w:rsidR="00AA003C">
        <w:t xml:space="preserve">three core components of the </w:t>
      </w:r>
      <w:r w:rsidR="00AF70EE">
        <w:t>Rehabilitation Model</w:t>
      </w:r>
      <w:r w:rsidR="001E3958">
        <w:t>:</w:t>
      </w:r>
      <w:r w:rsidR="001E3958" w:rsidRPr="001E3958">
        <w:t xml:space="preserve"> </w:t>
      </w:r>
      <w:r w:rsidR="001E3958">
        <w:t>Primary Treatment; Key Programs and Services; and Reentry Planning supported by case management</w:t>
      </w:r>
      <w:r w:rsidR="007A51B3">
        <w:t>.</w:t>
      </w:r>
      <w:r w:rsidR="00A902B0">
        <w:t xml:space="preserve"> This section </w:t>
      </w:r>
      <w:r w:rsidR="006F73BC">
        <w:t>provides an analysis of the following</w:t>
      </w:r>
      <w:r w:rsidR="004F1906">
        <w:t>:</w:t>
      </w:r>
    </w:p>
    <w:p w14:paraId="18BD8CA5" w14:textId="77777777" w:rsidR="00742975" w:rsidRDefault="004F1906" w:rsidP="00A902B0">
      <w:pPr>
        <w:pStyle w:val="ListBullet"/>
      </w:pPr>
      <w:r>
        <w:t xml:space="preserve">Adequacy of </w:t>
      </w:r>
      <w:r w:rsidR="000636BA">
        <w:t>s</w:t>
      </w:r>
      <w:r w:rsidR="00A902B0">
        <w:t xml:space="preserve">taffing </w:t>
      </w:r>
      <w:r w:rsidR="000636BA">
        <w:t>l</w:t>
      </w:r>
      <w:r w:rsidR="00A902B0">
        <w:t>evels</w:t>
      </w:r>
      <w:r w:rsidR="00732333">
        <w:t>;</w:t>
      </w:r>
    </w:p>
    <w:p w14:paraId="3AC94359" w14:textId="77777777" w:rsidR="00742975" w:rsidRDefault="00F56ADA" w:rsidP="00A902B0">
      <w:pPr>
        <w:pStyle w:val="ListBullet"/>
      </w:pPr>
      <w:r>
        <w:t xml:space="preserve">Time </w:t>
      </w:r>
      <w:r w:rsidR="000636BA">
        <w:t>s</w:t>
      </w:r>
      <w:r>
        <w:t>pent</w:t>
      </w:r>
      <w:r w:rsidR="004F1906">
        <w:t xml:space="preserve"> by </w:t>
      </w:r>
      <w:r w:rsidR="000636BA">
        <w:t>s</w:t>
      </w:r>
      <w:r w:rsidR="004F1906">
        <w:t>taff</w:t>
      </w:r>
      <w:r w:rsidR="00732333">
        <w:t>;</w:t>
      </w:r>
    </w:p>
    <w:p w14:paraId="56298A04" w14:textId="77777777" w:rsidR="00742975" w:rsidRDefault="00742975" w:rsidP="00A902B0">
      <w:pPr>
        <w:pStyle w:val="ListBullet"/>
      </w:pPr>
      <w:r>
        <w:t xml:space="preserve">Case </w:t>
      </w:r>
      <w:r w:rsidR="000636BA">
        <w:t>m</w:t>
      </w:r>
      <w:r w:rsidR="00A902B0">
        <w:t>anagement</w:t>
      </w:r>
      <w:r>
        <w:t xml:space="preserve"> </w:t>
      </w:r>
      <w:r w:rsidR="000636BA">
        <w:t>t</w:t>
      </w:r>
      <w:r w:rsidR="004F1906">
        <w:t>ime</w:t>
      </w:r>
      <w:r w:rsidR="00732333">
        <w:t>;</w:t>
      </w:r>
    </w:p>
    <w:p w14:paraId="12A0AFBF" w14:textId="77777777" w:rsidR="00742975" w:rsidRDefault="00742975" w:rsidP="00A902B0">
      <w:pPr>
        <w:pStyle w:val="ListBullet"/>
      </w:pPr>
      <w:r>
        <w:t xml:space="preserve">Leave and </w:t>
      </w:r>
      <w:r w:rsidR="000636BA">
        <w:t>o</w:t>
      </w:r>
      <w:r w:rsidR="00A902B0">
        <w:t>vertime</w:t>
      </w:r>
      <w:r w:rsidR="00732333">
        <w:t>;</w:t>
      </w:r>
    </w:p>
    <w:p w14:paraId="3982E244" w14:textId="77777777" w:rsidR="00742975" w:rsidRDefault="00742975" w:rsidP="00A902B0">
      <w:pPr>
        <w:pStyle w:val="ListBullet"/>
      </w:pPr>
      <w:r>
        <w:t>Caseloads</w:t>
      </w:r>
      <w:r w:rsidR="00732333">
        <w:t>;</w:t>
      </w:r>
    </w:p>
    <w:p w14:paraId="6D2F272A" w14:textId="77777777" w:rsidR="006D33ED" w:rsidRDefault="00F56ADA" w:rsidP="006D33ED">
      <w:pPr>
        <w:pStyle w:val="ListBullet"/>
      </w:pPr>
      <w:r>
        <w:t>Supervision</w:t>
      </w:r>
      <w:r w:rsidR="00732333">
        <w:t>;</w:t>
      </w:r>
    </w:p>
    <w:p w14:paraId="44FE55A4" w14:textId="77777777" w:rsidR="00946562" w:rsidRDefault="00F56ADA" w:rsidP="00946562">
      <w:pPr>
        <w:pStyle w:val="ListBullet"/>
      </w:pPr>
      <w:r>
        <w:t xml:space="preserve">Training and </w:t>
      </w:r>
      <w:r w:rsidR="000636BA">
        <w:t>p</w:t>
      </w:r>
      <w:r>
        <w:t xml:space="preserve">rofessional </w:t>
      </w:r>
      <w:r w:rsidR="000636BA">
        <w:t>d</w:t>
      </w:r>
      <w:r>
        <w:t>evelopment</w:t>
      </w:r>
      <w:r w:rsidR="00732333">
        <w:t>;</w:t>
      </w:r>
    </w:p>
    <w:p w14:paraId="6C285742" w14:textId="77777777" w:rsidR="006D33ED" w:rsidRDefault="000636BA" w:rsidP="00946562">
      <w:pPr>
        <w:pStyle w:val="ListBullet"/>
      </w:pPr>
      <w:r>
        <w:t>Staff-to-y</w:t>
      </w:r>
      <w:r w:rsidR="006D33ED">
        <w:t xml:space="preserve">outh </w:t>
      </w:r>
      <w:r>
        <w:t>r</w:t>
      </w:r>
      <w:r w:rsidR="006D33ED">
        <w:t>atios</w:t>
      </w:r>
      <w:r w:rsidR="00732333">
        <w:t>;</w:t>
      </w:r>
    </w:p>
    <w:p w14:paraId="62A86148" w14:textId="77777777" w:rsidR="00514D55" w:rsidRDefault="00514D55" w:rsidP="009B6DDA">
      <w:pPr>
        <w:pStyle w:val="ListBullet"/>
        <w:keepNext/>
        <w:keepLines/>
      </w:pPr>
      <w:r>
        <w:lastRenderedPageBreak/>
        <w:t>Scheduling challenges</w:t>
      </w:r>
      <w:r w:rsidR="00732333">
        <w:t>; and</w:t>
      </w:r>
      <w:r>
        <w:t xml:space="preserve"> </w:t>
      </w:r>
    </w:p>
    <w:p w14:paraId="70A8ECFB" w14:textId="77777777" w:rsidR="00514D55" w:rsidRPr="004F1906" w:rsidRDefault="00514D55" w:rsidP="009B6DDA">
      <w:pPr>
        <w:pStyle w:val="ListBullet"/>
        <w:keepNext/>
        <w:keepLines/>
        <w:spacing w:after="180"/>
      </w:pPr>
      <w:r>
        <w:t>Intakes and discharges</w:t>
      </w:r>
      <w:r w:rsidR="00732333">
        <w:t>.</w:t>
      </w:r>
      <w:r>
        <w:t xml:space="preserve"> </w:t>
      </w:r>
    </w:p>
    <w:p w14:paraId="1B98539E" w14:textId="77777777" w:rsidR="00806551" w:rsidRDefault="004F1906" w:rsidP="00407046">
      <w:pPr>
        <w:pStyle w:val="Heading3"/>
        <w:numPr>
          <w:ilvl w:val="2"/>
          <w:numId w:val="35"/>
        </w:numPr>
        <w:ind w:left="720"/>
      </w:pPr>
      <w:bookmarkStart w:id="47" w:name="_Toc531597494"/>
      <w:r>
        <w:t xml:space="preserve">Adequacy of </w:t>
      </w:r>
      <w:r w:rsidR="00044C35" w:rsidRPr="004F1906">
        <w:t>Staffing Levels</w:t>
      </w:r>
      <w:bookmarkEnd w:id="47"/>
      <w:r w:rsidR="00044C35" w:rsidRPr="004F1906">
        <w:t xml:space="preserve"> </w:t>
      </w:r>
    </w:p>
    <w:p w14:paraId="3DCCA6BF" w14:textId="77777777" w:rsidR="000503CB" w:rsidRPr="00E50D74" w:rsidRDefault="00FA0681" w:rsidP="006B6F97">
      <w:pPr>
        <w:pStyle w:val="RFPtext"/>
        <w:rPr>
          <w:b/>
          <w:color w:val="auto"/>
          <w:sz w:val="24"/>
        </w:rPr>
      </w:pPr>
      <w:r w:rsidRPr="00E50D74">
        <w:rPr>
          <w:b/>
          <w:color w:val="auto"/>
          <w:sz w:val="24"/>
        </w:rPr>
        <w:t>T</w:t>
      </w:r>
      <w:r w:rsidR="002F7736" w:rsidRPr="00E50D74">
        <w:rPr>
          <w:b/>
          <w:color w:val="auto"/>
          <w:sz w:val="24"/>
        </w:rPr>
        <w:t>here is clear agreement among all staff</w:t>
      </w:r>
      <w:r w:rsidR="006E3BBD" w:rsidRPr="00E50D74">
        <w:rPr>
          <w:b/>
          <w:color w:val="auto"/>
          <w:sz w:val="24"/>
        </w:rPr>
        <w:t xml:space="preserve"> in all positions</w:t>
      </w:r>
      <w:r w:rsidR="008450B4">
        <w:rPr>
          <w:b/>
          <w:color w:val="auto"/>
          <w:sz w:val="24"/>
        </w:rPr>
        <w:t xml:space="preserve"> in the institutions and community </w:t>
      </w:r>
      <w:r w:rsidR="00FD2536">
        <w:rPr>
          <w:b/>
          <w:color w:val="auto"/>
          <w:sz w:val="24"/>
        </w:rPr>
        <w:t>facilities</w:t>
      </w:r>
      <w:r w:rsidR="002F7736" w:rsidRPr="00E50D74">
        <w:rPr>
          <w:b/>
          <w:color w:val="auto"/>
          <w:sz w:val="24"/>
        </w:rPr>
        <w:t xml:space="preserve"> that the current staff levels are not adequate. First, current staff levels are not even at the funded level due to vacancies, high turnover rates, and the extensive time </w:t>
      </w:r>
      <w:r w:rsidR="006E3BBD" w:rsidRPr="00E50D74">
        <w:rPr>
          <w:b/>
          <w:color w:val="auto"/>
          <w:sz w:val="24"/>
        </w:rPr>
        <w:t>it</w:t>
      </w:r>
      <w:r w:rsidR="002F7736" w:rsidRPr="00E50D74">
        <w:rPr>
          <w:b/>
          <w:color w:val="auto"/>
          <w:sz w:val="24"/>
        </w:rPr>
        <w:t xml:space="preserve"> takes to get a new staff </w:t>
      </w:r>
      <w:r w:rsidR="006E3BBD" w:rsidRPr="00E50D74">
        <w:rPr>
          <w:b/>
          <w:color w:val="auto"/>
          <w:sz w:val="24"/>
        </w:rPr>
        <w:t xml:space="preserve">member </w:t>
      </w:r>
      <w:r w:rsidR="002F7736" w:rsidRPr="00E50D74">
        <w:rPr>
          <w:b/>
          <w:color w:val="auto"/>
          <w:sz w:val="24"/>
        </w:rPr>
        <w:t xml:space="preserve">on </w:t>
      </w:r>
      <w:r w:rsidR="006E3BBD" w:rsidRPr="00E50D74">
        <w:rPr>
          <w:b/>
          <w:color w:val="auto"/>
          <w:sz w:val="24"/>
        </w:rPr>
        <w:t xml:space="preserve">board. Second, additional personnel </w:t>
      </w:r>
      <w:r w:rsidR="002F7736" w:rsidRPr="00E50D74">
        <w:rPr>
          <w:b/>
          <w:color w:val="auto"/>
          <w:sz w:val="24"/>
        </w:rPr>
        <w:t>are required to meet</w:t>
      </w:r>
      <w:r w:rsidR="00D30BAD" w:rsidRPr="00E50D74">
        <w:rPr>
          <w:b/>
          <w:color w:val="auto"/>
          <w:sz w:val="24"/>
        </w:rPr>
        <w:t xml:space="preserve"> the complex needs of the youth and fully implement </w:t>
      </w:r>
      <w:r w:rsidR="00AF70EE">
        <w:rPr>
          <w:b/>
          <w:color w:val="auto"/>
          <w:sz w:val="24"/>
        </w:rPr>
        <w:t>the Rehabilitation Model.</w:t>
      </w:r>
    </w:p>
    <w:p w14:paraId="6F25B8C3" w14:textId="77777777" w:rsidR="00230A3E" w:rsidRDefault="00230A3E" w:rsidP="00230A3E">
      <w:pPr>
        <w:pStyle w:val="PullQuote"/>
        <w:framePr w:wrap="around" w:hAnchor="page" w:x="7585" w:y="787"/>
      </w:pPr>
      <w:r>
        <w:t>“</w:t>
      </w:r>
      <w:r w:rsidRPr="005966D7">
        <w:rPr>
          <w:i/>
        </w:rPr>
        <w:t>We just need more staff!”</w:t>
      </w:r>
    </w:p>
    <w:p w14:paraId="152E06B4" w14:textId="77777777" w:rsidR="00230A3E" w:rsidRDefault="00230A3E" w:rsidP="00230A3E">
      <w:pPr>
        <w:pStyle w:val="PullQuote"/>
        <w:framePr w:wrap="around" w:hAnchor="page" w:x="7585" w:y="787"/>
        <w:jc w:val="right"/>
      </w:pPr>
      <w:r>
        <w:t>—Supervisor</w:t>
      </w:r>
    </w:p>
    <w:p w14:paraId="21C3F698" w14:textId="77777777" w:rsidR="00044C35" w:rsidRDefault="0058113E" w:rsidP="0058113E">
      <w:r>
        <w:t>Juvenile Rehabilitation</w:t>
      </w:r>
      <w:r w:rsidR="006E3BBD">
        <w:t xml:space="preserve"> (JR)</w:t>
      </w:r>
      <w:r>
        <w:t xml:space="preserve"> strives to adhere to the </w:t>
      </w:r>
      <w:r w:rsidRPr="0058113E">
        <w:t>Standards for Juvenile Correctional Facilities</w:t>
      </w:r>
      <w:r>
        <w:t>. In terms of staffing levels, the standards require that:</w:t>
      </w:r>
      <w:r>
        <w:rPr>
          <w:rStyle w:val="FootnoteReference"/>
        </w:rPr>
        <w:footnoteReference w:id="63"/>
      </w:r>
    </w:p>
    <w:p w14:paraId="75D7D877" w14:textId="77777777" w:rsidR="0058113E" w:rsidRDefault="0058113E" w:rsidP="00042DB8">
      <w:pPr>
        <w:pStyle w:val="ListBullet"/>
      </w:pPr>
      <w:r>
        <w:t>Staff requirements for all categories of personnel are determined to ensure that juveniles have access t</w:t>
      </w:r>
      <w:r w:rsidR="006E3BBD">
        <w:t>o staff, programs, and services;</w:t>
      </w:r>
    </w:p>
    <w:p w14:paraId="749856B9" w14:textId="77777777" w:rsidR="00042DB8" w:rsidRDefault="0058113E" w:rsidP="00042DB8">
      <w:pPr>
        <w:pStyle w:val="ListBullet"/>
      </w:pPr>
      <w:r>
        <w:t>The facility uses a system to determine the number of staff needed for essential positions</w:t>
      </w:r>
      <w:r w:rsidR="006E3BBD">
        <w:t>, considering (at minimum)</w:t>
      </w:r>
      <w:r>
        <w:t xml:space="preserve"> holidays, regular days off, annual leave, and average sick leave; and</w:t>
      </w:r>
    </w:p>
    <w:p w14:paraId="1343DD0A" w14:textId="77777777" w:rsidR="00DB7D44" w:rsidRDefault="0058113E" w:rsidP="00042DB8">
      <w:pPr>
        <w:pStyle w:val="ListBullet"/>
        <w:contextualSpacing w:val="0"/>
      </w:pPr>
      <w:r>
        <w:t>The facility administrator can document overall vacancy rate among staff positions authorized to work directly with juveniles does not exceed 10</w:t>
      </w:r>
      <w:r w:rsidR="004962BA">
        <w:t xml:space="preserve">% </w:t>
      </w:r>
      <w:r>
        <w:t>for any 18-month period.</w:t>
      </w:r>
    </w:p>
    <w:p w14:paraId="2D83766A" w14:textId="77777777" w:rsidR="00A11DF6" w:rsidRDefault="00A11DF6" w:rsidP="003B4C2F">
      <w:r>
        <w:t>JR also works to ensure that both the institutions and community facilities meet the staff to youth ratios required by the Prison Rape Elimination Act (PREA).</w:t>
      </w:r>
      <w:r>
        <w:rPr>
          <w:rStyle w:val="FootnoteReference"/>
        </w:rPr>
        <w:footnoteReference w:id="64"/>
      </w:r>
      <w:r w:rsidRPr="00A11DF6">
        <w:t xml:space="preserve"> </w:t>
      </w:r>
      <w:r>
        <w:t xml:space="preserve">Implementation regulations require each “secure juvenile facility shall maintain staff ratios of a minimum of 1:8 during resident waking hours, and 1:16 during resident sleeping hours, except during limited and discrete exigent circumstances, which shall be fully documented. </w:t>
      </w:r>
      <w:r w:rsidRPr="00425624">
        <w:rPr>
          <w:i/>
        </w:rPr>
        <w:t>Only</w:t>
      </w:r>
      <w:r>
        <w:rPr>
          <w:i/>
        </w:rPr>
        <w:t xml:space="preserve"> </w:t>
      </w:r>
      <w:r w:rsidRPr="00425624">
        <w:t>security staff shall be included in these ratios</w:t>
      </w:r>
      <w:r>
        <w:t>.”</w:t>
      </w:r>
      <w:r>
        <w:rPr>
          <w:rStyle w:val="FootnoteReference"/>
        </w:rPr>
        <w:footnoteReference w:id="65"/>
      </w:r>
    </w:p>
    <w:p w14:paraId="276299AD" w14:textId="77777777" w:rsidR="005966D7" w:rsidRDefault="00042DB8" w:rsidP="003B4C2F">
      <w:r>
        <w:t>I</w:t>
      </w:r>
      <w:r w:rsidR="00DB7D44">
        <w:t xml:space="preserve">n interviews with leadership </w:t>
      </w:r>
      <w:r w:rsidR="00FD45B8">
        <w:t xml:space="preserve">(superintendents and administrators), </w:t>
      </w:r>
      <w:r w:rsidR="008553D9">
        <w:t xml:space="preserve">supervisors, </w:t>
      </w:r>
      <w:r w:rsidR="00FD45B8">
        <w:t>direct services staff and youth</w:t>
      </w:r>
      <w:r w:rsidR="00283E07">
        <w:t xml:space="preserve"> at the institutions and the community facilities</w:t>
      </w:r>
      <w:r w:rsidR="00DB7D44">
        <w:t xml:space="preserve">, there was clear agreement </w:t>
      </w:r>
      <w:r w:rsidR="00283E07">
        <w:t>there are not enough sta</w:t>
      </w:r>
      <w:r w:rsidR="00DB7D44">
        <w:t xml:space="preserve">ff to </w:t>
      </w:r>
      <w:r w:rsidR="005966D7">
        <w:t xml:space="preserve">keep </w:t>
      </w:r>
      <w:r w:rsidR="0038627D">
        <w:t>everyone safe</w:t>
      </w:r>
      <w:r w:rsidR="005966D7">
        <w:t xml:space="preserve">, support youth activities, and </w:t>
      </w:r>
      <w:r w:rsidR="00DB7D44">
        <w:t xml:space="preserve">implement the </w:t>
      </w:r>
      <w:r w:rsidR="00AF70EE">
        <w:t>Rehabilitation Model</w:t>
      </w:r>
      <w:r w:rsidR="00DB7D44">
        <w:t>. Counselors and supervisors indica</w:t>
      </w:r>
      <w:r w:rsidR="00C061A6">
        <w:t xml:space="preserve">ted they </w:t>
      </w:r>
      <w:r w:rsidR="001C7BC5">
        <w:t xml:space="preserve">spend </w:t>
      </w:r>
      <w:r w:rsidR="001B1128">
        <w:t xml:space="preserve">most </w:t>
      </w:r>
      <w:r w:rsidR="00C061A6">
        <w:t>of their</w:t>
      </w:r>
      <w:r w:rsidR="00DB7D44">
        <w:t xml:space="preserve"> time </w:t>
      </w:r>
      <w:r w:rsidR="006D33ED">
        <w:t>“on the floor</w:t>
      </w:r>
      <w:r w:rsidR="00C061A6">
        <w:t>,</w:t>
      </w:r>
      <w:r w:rsidR="006D33ED">
        <w:t>”</w:t>
      </w:r>
      <w:r w:rsidR="00C061A6">
        <w:t xml:space="preserve"> and</w:t>
      </w:r>
      <w:r w:rsidR="00DB7D44">
        <w:t xml:space="preserve"> </w:t>
      </w:r>
      <w:r w:rsidR="006D33ED">
        <w:t xml:space="preserve">there </w:t>
      </w:r>
      <w:r w:rsidR="00C061A6">
        <w:t>is</w:t>
      </w:r>
      <w:r w:rsidR="006D33ED">
        <w:t xml:space="preserve"> not enough staff to allow them to</w:t>
      </w:r>
      <w:r w:rsidR="00DB7D44">
        <w:t xml:space="preserve"> </w:t>
      </w:r>
      <w:r w:rsidR="006D33ED">
        <w:t>apply DBT strategies in the milieu</w:t>
      </w:r>
      <w:r w:rsidR="00C061A6">
        <w:t>.</w:t>
      </w:r>
      <w:r w:rsidR="006D33ED">
        <w:t xml:space="preserve"> </w:t>
      </w:r>
      <w:r w:rsidR="00C061A6">
        <w:t xml:space="preserve">This forces them to forgo DBT components </w:t>
      </w:r>
      <w:r w:rsidR="006D33ED">
        <w:t xml:space="preserve">including engagement, coaching, validation, and one-on-one </w:t>
      </w:r>
      <w:r w:rsidR="00A56EDC">
        <w:t xml:space="preserve">counseling </w:t>
      </w:r>
      <w:r w:rsidR="00DB7D44">
        <w:t>with youth</w:t>
      </w:r>
      <w:r w:rsidR="004C75A6">
        <w:t xml:space="preserve">. </w:t>
      </w:r>
    </w:p>
    <w:p w14:paraId="0CAE3B2C" w14:textId="77777777" w:rsidR="00B25B93" w:rsidRDefault="00B25B93" w:rsidP="00B25B93">
      <w:pPr>
        <w:pStyle w:val="PullQuote"/>
        <w:framePr w:wrap="around" w:hAnchor="page" w:x="7481" w:y="827"/>
      </w:pPr>
      <w:r>
        <w:t>“Generally, staff are overworked and overwhelmed.</w:t>
      </w:r>
      <w:r w:rsidR="00672F3E">
        <w:t>”</w:t>
      </w:r>
    </w:p>
    <w:p w14:paraId="1320B8BD" w14:textId="77777777" w:rsidR="00B25B93" w:rsidRDefault="00B25B93" w:rsidP="00B25B93">
      <w:pPr>
        <w:pStyle w:val="PullQuote"/>
        <w:framePr w:wrap="around" w:hAnchor="page" w:x="7481" w:y="827"/>
        <w:jc w:val="right"/>
      </w:pPr>
      <w:r>
        <w:t>—Supervisor</w:t>
      </w:r>
    </w:p>
    <w:p w14:paraId="695BF583" w14:textId="77777777" w:rsidR="00827B94" w:rsidRPr="00C12336" w:rsidRDefault="003700C9" w:rsidP="003B4C2F">
      <w:r w:rsidRPr="001B1128">
        <w:t xml:space="preserve">As seen in </w:t>
      </w:r>
      <w:r w:rsidR="00AC63CD" w:rsidRPr="001B1128">
        <w:t xml:space="preserve">Exhibit </w:t>
      </w:r>
      <w:r w:rsidR="00DD4F6B">
        <w:t>5</w:t>
      </w:r>
      <w:r w:rsidR="00AC63CD" w:rsidRPr="001B1128">
        <w:t>-</w:t>
      </w:r>
      <w:r w:rsidR="00AE63DD" w:rsidRPr="001B1128">
        <w:t>3</w:t>
      </w:r>
      <w:r w:rsidRPr="001B1128">
        <w:t>,</w:t>
      </w:r>
      <w:r w:rsidR="00085D38" w:rsidRPr="001B1128">
        <w:t xml:space="preserve"> </w:t>
      </w:r>
      <w:r w:rsidR="00F02753" w:rsidRPr="001B1128">
        <w:t>more than three-quarters (84.1</w:t>
      </w:r>
      <w:r w:rsidR="001B1128" w:rsidRPr="001B1128">
        <w:t>%</w:t>
      </w:r>
      <w:r w:rsidR="00F02753" w:rsidRPr="001B1128">
        <w:t xml:space="preserve">) of </w:t>
      </w:r>
      <w:r w:rsidR="00A11DF6">
        <w:t xml:space="preserve">Juvenile </w:t>
      </w:r>
      <w:r w:rsidR="002F0963">
        <w:t>Rehabilitation</w:t>
      </w:r>
      <w:r w:rsidR="00A11DF6">
        <w:t xml:space="preserve"> </w:t>
      </w:r>
      <w:r w:rsidR="002F0963">
        <w:t>Residential</w:t>
      </w:r>
      <w:r w:rsidR="00A11DF6">
        <w:t xml:space="preserve"> Counselors (JRRCs), Juvenile Rehabilitation Counselor Assistants (JRCAs) and Juvenile Rehabilitation Security Officer 1s (JRSO 1s) (</w:t>
      </w:r>
      <w:r w:rsidR="00085D38" w:rsidRPr="001B1128">
        <w:t>direct service</w:t>
      </w:r>
      <w:r w:rsidR="00A11DF6">
        <w:t>s</w:t>
      </w:r>
      <w:r w:rsidR="00085D38" w:rsidRPr="001B1128">
        <w:t xml:space="preserve"> staff</w:t>
      </w:r>
      <w:r w:rsidR="00A11DF6">
        <w:t>)</w:t>
      </w:r>
      <w:r w:rsidR="00085D38" w:rsidRPr="001B1128">
        <w:t xml:space="preserve"> </w:t>
      </w:r>
      <w:r w:rsidR="003B49B0" w:rsidRPr="001B1128">
        <w:t>across</w:t>
      </w:r>
      <w:r w:rsidR="008E41A0" w:rsidRPr="001B1128">
        <w:t xml:space="preserve"> facilities</w:t>
      </w:r>
      <w:r w:rsidR="00085D38" w:rsidRPr="001B1128">
        <w:t xml:space="preserve"> strongly disagree or disagree </w:t>
      </w:r>
      <w:r w:rsidR="003B49B0" w:rsidRPr="001B1128">
        <w:t xml:space="preserve">with the statement, “the </w:t>
      </w:r>
      <w:r w:rsidR="00085D38" w:rsidRPr="001B1128">
        <w:t>facility is staffed to a level t</w:t>
      </w:r>
      <w:r w:rsidR="00F02753" w:rsidRPr="001B1128">
        <w:t>hat enables us to be successful.</w:t>
      </w:r>
      <w:r w:rsidR="00085D38" w:rsidRPr="001B1128">
        <w:t>”</w:t>
      </w:r>
      <w:r w:rsidR="00F02753" w:rsidRPr="001B1128">
        <w:t xml:space="preserve"> </w:t>
      </w:r>
      <w:r w:rsidR="001B1128" w:rsidRPr="001B1128">
        <w:t>Ninety-seven percent (</w:t>
      </w:r>
      <w:r w:rsidR="003B49B0" w:rsidRPr="001B1128">
        <w:t>97</w:t>
      </w:r>
      <w:r w:rsidR="001B1128" w:rsidRPr="001B1128">
        <w:t>%)</w:t>
      </w:r>
      <w:r w:rsidR="00F02753" w:rsidRPr="001B1128">
        <w:t xml:space="preserve"> of staff at Echo Glen, 89.3</w:t>
      </w:r>
      <w:r w:rsidR="001B1128" w:rsidRPr="001B1128">
        <w:t xml:space="preserve">% </w:t>
      </w:r>
      <w:r w:rsidR="00F02753" w:rsidRPr="001B1128">
        <w:t>o</w:t>
      </w:r>
      <w:r w:rsidR="003B49B0" w:rsidRPr="001B1128">
        <w:t>f staff at Green Hill, and 80.6</w:t>
      </w:r>
      <w:r w:rsidR="001B1128" w:rsidRPr="001B1128">
        <w:t xml:space="preserve">% </w:t>
      </w:r>
      <w:r w:rsidR="00F02753" w:rsidRPr="001B1128">
        <w:t xml:space="preserve">of staff at Naselle indicated they do not believe there is sufficient staff. </w:t>
      </w:r>
      <w:r w:rsidR="008553D9" w:rsidRPr="001B1128">
        <w:t>A lower percentage of staff</w:t>
      </w:r>
      <w:r w:rsidR="003B49B0" w:rsidRPr="001B1128">
        <w:t xml:space="preserve"> members at the community facilities (6</w:t>
      </w:r>
      <w:r w:rsidR="00AA003C">
        <w:t>5</w:t>
      </w:r>
      <w:r w:rsidR="001B1128" w:rsidRPr="001B1128">
        <w:t>%</w:t>
      </w:r>
      <w:r w:rsidR="008553D9" w:rsidRPr="001B1128">
        <w:t xml:space="preserve">) strongly disagree or disagree </w:t>
      </w:r>
      <w:r w:rsidR="003B49B0" w:rsidRPr="001B1128">
        <w:t xml:space="preserve">with the same </w:t>
      </w:r>
      <w:r w:rsidR="003B49B0" w:rsidRPr="001B1128">
        <w:lastRenderedPageBreak/>
        <w:t xml:space="preserve">statement. </w:t>
      </w:r>
      <w:r w:rsidR="002F0963">
        <w:t>However</w:t>
      </w:r>
      <w:r w:rsidR="00861F6A" w:rsidRPr="001B1128">
        <w:t xml:space="preserve">, a solid majority of staff across JR feel </w:t>
      </w:r>
      <w:r w:rsidR="00672F3E" w:rsidRPr="001B1128">
        <w:t xml:space="preserve">current </w:t>
      </w:r>
      <w:r w:rsidR="00861F6A" w:rsidRPr="001B1128">
        <w:t xml:space="preserve">personnel </w:t>
      </w:r>
      <w:r w:rsidR="00A11DF6">
        <w:t>levels are</w:t>
      </w:r>
      <w:r w:rsidR="00861F6A" w:rsidRPr="001B1128">
        <w:t xml:space="preserve"> insufficient.</w:t>
      </w:r>
    </w:p>
    <w:p w14:paraId="07E68E0A" w14:textId="77777777" w:rsidR="00727C76" w:rsidRDefault="00AE63DD" w:rsidP="005966D7">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3</w:t>
      </w:r>
      <w:r w:rsidR="00710F1C">
        <w:rPr>
          <w:noProof/>
        </w:rPr>
        <w:fldChar w:fldCharType="end"/>
      </w:r>
      <w:r w:rsidR="00E251C1">
        <w:t>.</w:t>
      </w:r>
      <w:r w:rsidR="003C05D5">
        <w:t xml:space="preserve"> </w:t>
      </w:r>
      <w:r w:rsidR="008B095D">
        <w:t xml:space="preserve">Sufficiency of Staffing Levels, by Facility </w:t>
      </w:r>
    </w:p>
    <w:tbl>
      <w:tblPr>
        <w:tblStyle w:val="HyzerTable"/>
        <w:tblW w:w="5000" w:type="pct"/>
        <w:tblLook w:val="0420" w:firstRow="1" w:lastRow="0" w:firstColumn="0" w:lastColumn="0" w:noHBand="0" w:noVBand="1"/>
      </w:tblPr>
      <w:tblGrid>
        <w:gridCol w:w="2464"/>
        <w:gridCol w:w="1380"/>
        <w:gridCol w:w="1299"/>
        <w:gridCol w:w="1477"/>
        <w:gridCol w:w="1385"/>
        <w:gridCol w:w="1355"/>
      </w:tblGrid>
      <w:tr w:rsidR="00727C76" w:rsidRPr="00CD1826" w14:paraId="79F5DA37" w14:textId="77777777" w:rsidTr="006B38E0">
        <w:trPr>
          <w:cnfStyle w:val="100000000000" w:firstRow="1" w:lastRow="0" w:firstColumn="0" w:lastColumn="0" w:oddVBand="0" w:evenVBand="0" w:oddHBand="0" w:evenHBand="0" w:firstRowFirstColumn="0" w:firstRowLastColumn="0" w:lastRowFirstColumn="0" w:lastRowLastColumn="0"/>
          <w:tblHeader/>
        </w:trPr>
        <w:tc>
          <w:tcPr>
            <w:tcW w:w="1316" w:type="pct"/>
            <w:vMerge w:val="restart"/>
          </w:tcPr>
          <w:p w14:paraId="32E3DB3E" w14:textId="77777777" w:rsidR="00727C76" w:rsidRPr="00FD6415" w:rsidRDefault="00727C76" w:rsidP="005966D7">
            <w:pPr>
              <w:pStyle w:val="tableheaderwhite"/>
              <w:keepNext/>
              <w:rPr>
                <w:sz w:val="22"/>
              </w:rPr>
            </w:pPr>
            <w:r w:rsidRPr="1FF1B213">
              <w:rPr>
                <w:sz w:val="22"/>
                <w:szCs w:val="22"/>
              </w:rPr>
              <w:t>Facility</w:t>
            </w:r>
          </w:p>
        </w:tc>
        <w:tc>
          <w:tcPr>
            <w:tcW w:w="3684" w:type="pct"/>
            <w:gridSpan w:val="5"/>
          </w:tcPr>
          <w:p w14:paraId="6A5EA98B" w14:textId="77777777" w:rsidR="00727C76" w:rsidRPr="00FD6415" w:rsidRDefault="00727C76" w:rsidP="005966D7">
            <w:pPr>
              <w:pStyle w:val="tableheaderwhite"/>
              <w:keepNext/>
              <w:rPr>
                <w:sz w:val="22"/>
              </w:rPr>
            </w:pPr>
            <w:r w:rsidRPr="1FF1B213">
              <w:rPr>
                <w:sz w:val="22"/>
                <w:szCs w:val="22"/>
              </w:rPr>
              <w:t xml:space="preserve">“Facility is </w:t>
            </w:r>
            <w:r w:rsidR="008B1800" w:rsidRPr="1FF1B213">
              <w:rPr>
                <w:sz w:val="22"/>
                <w:szCs w:val="22"/>
              </w:rPr>
              <w:t>s</w:t>
            </w:r>
            <w:r w:rsidRPr="1FF1B213">
              <w:rPr>
                <w:sz w:val="22"/>
                <w:szCs w:val="22"/>
              </w:rPr>
              <w:t xml:space="preserve">taffed to </w:t>
            </w:r>
            <w:r w:rsidR="008B1800" w:rsidRPr="1FF1B213">
              <w:rPr>
                <w:sz w:val="22"/>
                <w:szCs w:val="22"/>
              </w:rPr>
              <w:t>a</w:t>
            </w:r>
            <w:r w:rsidRPr="1FF1B213">
              <w:rPr>
                <w:sz w:val="22"/>
                <w:szCs w:val="22"/>
              </w:rPr>
              <w:t xml:space="preserve"> </w:t>
            </w:r>
            <w:r w:rsidR="008B1800" w:rsidRPr="1FF1B213">
              <w:rPr>
                <w:sz w:val="22"/>
                <w:szCs w:val="22"/>
              </w:rPr>
              <w:t>l</w:t>
            </w:r>
            <w:r w:rsidRPr="1FF1B213">
              <w:rPr>
                <w:sz w:val="22"/>
                <w:szCs w:val="22"/>
              </w:rPr>
              <w:t xml:space="preserve">evel that </w:t>
            </w:r>
            <w:r w:rsidR="008B1800" w:rsidRPr="1FF1B213">
              <w:rPr>
                <w:sz w:val="22"/>
                <w:szCs w:val="22"/>
              </w:rPr>
              <w:t>e</w:t>
            </w:r>
            <w:r w:rsidRPr="1FF1B213">
              <w:rPr>
                <w:sz w:val="22"/>
                <w:szCs w:val="22"/>
              </w:rPr>
              <w:t xml:space="preserve">nables us to </w:t>
            </w:r>
            <w:r w:rsidR="008B1800" w:rsidRPr="1FF1B213">
              <w:rPr>
                <w:sz w:val="22"/>
                <w:szCs w:val="22"/>
              </w:rPr>
              <w:t>b</w:t>
            </w:r>
            <w:r w:rsidRPr="1FF1B213">
              <w:rPr>
                <w:sz w:val="22"/>
                <w:szCs w:val="22"/>
              </w:rPr>
              <w:t xml:space="preserve">e </w:t>
            </w:r>
            <w:r w:rsidR="008B1800" w:rsidRPr="1FF1B213">
              <w:rPr>
                <w:sz w:val="22"/>
                <w:szCs w:val="22"/>
              </w:rPr>
              <w:t>s</w:t>
            </w:r>
            <w:r w:rsidRPr="1FF1B213">
              <w:rPr>
                <w:sz w:val="22"/>
                <w:szCs w:val="22"/>
              </w:rPr>
              <w:t>uccessful”</w:t>
            </w:r>
          </w:p>
          <w:p w14:paraId="4C9B3966" w14:textId="77777777" w:rsidR="00727C76" w:rsidRPr="00FD6415" w:rsidRDefault="00727C76" w:rsidP="005966D7">
            <w:pPr>
              <w:pStyle w:val="tableheaderwhite"/>
              <w:keepNext/>
              <w:rPr>
                <w:sz w:val="22"/>
              </w:rPr>
            </w:pPr>
          </w:p>
        </w:tc>
      </w:tr>
      <w:tr w:rsidR="00727C76" w:rsidRPr="00CD1826" w14:paraId="3786C1CA" w14:textId="77777777" w:rsidTr="006B38E0">
        <w:trPr>
          <w:cnfStyle w:val="100000000000" w:firstRow="1" w:lastRow="0" w:firstColumn="0" w:lastColumn="0" w:oddVBand="0" w:evenVBand="0" w:oddHBand="0" w:evenHBand="0" w:firstRowFirstColumn="0" w:firstRowLastColumn="0" w:lastRowFirstColumn="0" w:lastRowLastColumn="0"/>
          <w:trHeight w:val="481"/>
          <w:tblHeader/>
        </w:trPr>
        <w:tc>
          <w:tcPr>
            <w:tcW w:w="1316" w:type="pct"/>
            <w:vMerge/>
          </w:tcPr>
          <w:p w14:paraId="67C159DA" w14:textId="77777777" w:rsidR="00727C76" w:rsidRDefault="00727C76" w:rsidP="005966D7">
            <w:pPr>
              <w:pStyle w:val="TableText"/>
              <w:keepNext/>
            </w:pPr>
          </w:p>
        </w:tc>
        <w:tc>
          <w:tcPr>
            <w:tcW w:w="737" w:type="pct"/>
            <w:shd w:val="clear" w:color="auto" w:fill="B8CCE4" w:themeFill="accent1" w:themeFillTint="66"/>
          </w:tcPr>
          <w:p w14:paraId="7FA0F35B" w14:textId="77777777" w:rsidR="00727C76" w:rsidRPr="00FD6415" w:rsidRDefault="00727C76" w:rsidP="00FD6415">
            <w:pPr>
              <w:pStyle w:val="boldcentered"/>
              <w:spacing w:beforeLines="20" w:before="48" w:afterLines="20" w:after="48"/>
              <w:rPr>
                <w:rStyle w:val="TableTextBold"/>
                <w:rFonts w:ascii="Arial Narrow" w:hAnsi="Arial Narrow"/>
                <w:b/>
                <w:sz w:val="22"/>
              </w:rPr>
            </w:pPr>
            <w:r w:rsidRPr="00FD6415">
              <w:rPr>
                <w:rStyle w:val="TableTextBold"/>
                <w:rFonts w:ascii="Arial Narrow" w:hAnsi="Arial Narrow"/>
                <w:b/>
                <w:sz w:val="22"/>
              </w:rPr>
              <w:t>Strongly Disagree</w:t>
            </w:r>
          </w:p>
        </w:tc>
        <w:tc>
          <w:tcPr>
            <w:tcW w:w="694" w:type="pct"/>
            <w:shd w:val="clear" w:color="auto" w:fill="B8CCE4" w:themeFill="accent1" w:themeFillTint="66"/>
          </w:tcPr>
          <w:p w14:paraId="5CA4F13A" w14:textId="77777777" w:rsidR="00727C76" w:rsidRPr="00FD6415" w:rsidRDefault="00727C76" w:rsidP="00FD6415">
            <w:pPr>
              <w:pStyle w:val="boldcentered"/>
              <w:spacing w:beforeLines="20" w:before="48" w:afterLines="20" w:after="48"/>
              <w:rPr>
                <w:rStyle w:val="TableTextBold"/>
                <w:rFonts w:ascii="Arial Narrow" w:hAnsi="Arial Narrow"/>
                <w:b/>
                <w:sz w:val="22"/>
              </w:rPr>
            </w:pPr>
            <w:r w:rsidRPr="00FD6415">
              <w:rPr>
                <w:rStyle w:val="TableTextBold"/>
                <w:rFonts w:ascii="Arial Narrow" w:hAnsi="Arial Narrow"/>
                <w:b/>
                <w:sz w:val="22"/>
              </w:rPr>
              <w:t>Disagree</w:t>
            </w:r>
          </w:p>
        </w:tc>
        <w:tc>
          <w:tcPr>
            <w:tcW w:w="789" w:type="pct"/>
            <w:shd w:val="clear" w:color="auto" w:fill="B8CCE4" w:themeFill="accent1" w:themeFillTint="66"/>
          </w:tcPr>
          <w:p w14:paraId="3EC731FC" w14:textId="77777777" w:rsidR="00727C76" w:rsidRPr="00FD6415" w:rsidRDefault="00727C76" w:rsidP="00FD6415">
            <w:pPr>
              <w:pStyle w:val="boldcentered"/>
              <w:spacing w:beforeLines="20" w:before="48" w:afterLines="20" w:after="48"/>
              <w:rPr>
                <w:rStyle w:val="TableTextBold"/>
                <w:rFonts w:ascii="Arial Narrow" w:hAnsi="Arial Narrow"/>
                <w:b/>
                <w:sz w:val="22"/>
              </w:rPr>
            </w:pPr>
            <w:r w:rsidRPr="00FD6415">
              <w:rPr>
                <w:rStyle w:val="TableTextBold"/>
                <w:rFonts w:ascii="Arial Narrow" w:hAnsi="Arial Narrow"/>
                <w:b/>
                <w:sz w:val="22"/>
              </w:rPr>
              <w:t>Neither Agree nor Disagree</w:t>
            </w:r>
          </w:p>
        </w:tc>
        <w:tc>
          <w:tcPr>
            <w:tcW w:w="740" w:type="pct"/>
            <w:shd w:val="clear" w:color="auto" w:fill="B8CCE4" w:themeFill="accent1" w:themeFillTint="66"/>
          </w:tcPr>
          <w:p w14:paraId="7AD56A4F" w14:textId="77777777" w:rsidR="00727C76" w:rsidRPr="00FD6415" w:rsidRDefault="00727C76" w:rsidP="00FD6415">
            <w:pPr>
              <w:pStyle w:val="boldcentered"/>
              <w:spacing w:beforeLines="20" w:before="48" w:afterLines="20" w:after="48"/>
              <w:rPr>
                <w:rStyle w:val="TableTextBold"/>
                <w:rFonts w:ascii="Arial Narrow" w:hAnsi="Arial Narrow"/>
                <w:b/>
                <w:sz w:val="22"/>
              </w:rPr>
            </w:pPr>
            <w:r w:rsidRPr="00FD6415">
              <w:rPr>
                <w:rStyle w:val="TableTextBold"/>
                <w:rFonts w:ascii="Arial Narrow" w:hAnsi="Arial Narrow"/>
                <w:b/>
                <w:sz w:val="22"/>
              </w:rPr>
              <w:t>Agree</w:t>
            </w:r>
          </w:p>
        </w:tc>
        <w:tc>
          <w:tcPr>
            <w:tcW w:w="724" w:type="pct"/>
            <w:shd w:val="clear" w:color="auto" w:fill="B8CCE4" w:themeFill="accent1" w:themeFillTint="66"/>
          </w:tcPr>
          <w:p w14:paraId="685C49C4" w14:textId="77777777" w:rsidR="00727C76" w:rsidRPr="00FD6415" w:rsidRDefault="00727C76" w:rsidP="00FD6415">
            <w:pPr>
              <w:pStyle w:val="boldcentered"/>
              <w:spacing w:beforeLines="20" w:before="48" w:afterLines="20" w:after="48"/>
              <w:rPr>
                <w:rFonts w:ascii="Arial Narrow" w:hAnsi="Arial Narrow"/>
                <w:sz w:val="22"/>
              </w:rPr>
            </w:pPr>
            <w:r w:rsidRPr="00FD6415">
              <w:rPr>
                <w:rFonts w:ascii="Arial Narrow" w:hAnsi="Arial Narrow"/>
                <w:sz w:val="22"/>
              </w:rPr>
              <w:t>Strongly Agree</w:t>
            </w:r>
          </w:p>
        </w:tc>
      </w:tr>
      <w:tr w:rsidR="0059019B" w:rsidRPr="00CD1826" w14:paraId="6311F9C2" w14:textId="77777777" w:rsidTr="0059019B">
        <w:trPr>
          <w:cnfStyle w:val="000000100000" w:firstRow="0" w:lastRow="0" w:firstColumn="0" w:lastColumn="0" w:oddVBand="0" w:evenVBand="0" w:oddHBand="1" w:evenHBand="0" w:firstRowFirstColumn="0" w:firstRowLastColumn="0" w:lastRowFirstColumn="0" w:lastRowLastColumn="0"/>
          <w:trHeight w:val="328"/>
        </w:trPr>
        <w:tc>
          <w:tcPr>
            <w:tcW w:w="1316" w:type="pct"/>
            <w:shd w:val="clear" w:color="auto" w:fill="A6A6A6" w:themeFill="background1" w:themeFillShade="A6"/>
          </w:tcPr>
          <w:p w14:paraId="47C53734" w14:textId="77777777" w:rsidR="0059019B" w:rsidRPr="00107D84" w:rsidRDefault="0059019B" w:rsidP="0059019B">
            <w:pPr>
              <w:pStyle w:val="TableTextRight"/>
              <w:jc w:val="left"/>
              <w:rPr>
                <w:lang w:val="pl-PL"/>
              </w:rPr>
            </w:pPr>
            <w:r w:rsidRPr="004A5C18">
              <w:rPr>
                <w:b/>
              </w:rPr>
              <w:t>TOTAL</w:t>
            </w:r>
          </w:p>
        </w:tc>
        <w:tc>
          <w:tcPr>
            <w:tcW w:w="737" w:type="pct"/>
            <w:shd w:val="clear" w:color="auto" w:fill="A6A6A6" w:themeFill="background1" w:themeFillShade="A6"/>
          </w:tcPr>
          <w:p w14:paraId="73E3910A" w14:textId="77777777" w:rsidR="0059019B" w:rsidRPr="00CD1826" w:rsidRDefault="0059019B" w:rsidP="0059019B">
            <w:pPr>
              <w:pStyle w:val="TableText"/>
              <w:jc w:val="center"/>
            </w:pPr>
            <w:r w:rsidRPr="00E26F7E">
              <w:t>47.2%</w:t>
            </w:r>
          </w:p>
        </w:tc>
        <w:tc>
          <w:tcPr>
            <w:tcW w:w="694" w:type="pct"/>
            <w:shd w:val="clear" w:color="auto" w:fill="A6A6A6" w:themeFill="background1" w:themeFillShade="A6"/>
          </w:tcPr>
          <w:p w14:paraId="7C4033F3" w14:textId="77777777" w:rsidR="0059019B" w:rsidRPr="009634E3" w:rsidRDefault="0059019B" w:rsidP="0059019B">
            <w:pPr>
              <w:pStyle w:val="TableText"/>
              <w:jc w:val="center"/>
              <w:rPr>
                <w:b/>
              </w:rPr>
            </w:pPr>
            <w:r w:rsidRPr="00E26F7E">
              <w:t>36.9%</w:t>
            </w:r>
          </w:p>
        </w:tc>
        <w:tc>
          <w:tcPr>
            <w:tcW w:w="789" w:type="pct"/>
            <w:shd w:val="clear" w:color="auto" w:fill="A6A6A6" w:themeFill="background1" w:themeFillShade="A6"/>
          </w:tcPr>
          <w:p w14:paraId="4615F347" w14:textId="77777777" w:rsidR="0059019B" w:rsidRPr="009634E3" w:rsidRDefault="0059019B" w:rsidP="0059019B">
            <w:pPr>
              <w:pStyle w:val="TableText"/>
              <w:jc w:val="center"/>
              <w:rPr>
                <w:b/>
              </w:rPr>
            </w:pPr>
            <w:r w:rsidRPr="00E26F7E">
              <w:t>5.7%</w:t>
            </w:r>
          </w:p>
        </w:tc>
        <w:tc>
          <w:tcPr>
            <w:tcW w:w="740" w:type="pct"/>
            <w:shd w:val="clear" w:color="auto" w:fill="A6A6A6" w:themeFill="background1" w:themeFillShade="A6"/>
          </w:tcPr>
          <w:p w14:paraId="5322CA53" w14:textId="77777777" w:rsidR="0059019B" w:rsidRPr="006700D3" w:rsidRDefault="0059019B" w:rsidP="0059019B">
            <w:pPr>
              <w:pStyle w:val="TableText"/>
              <w:jc w:val="center"/>
              <w:rPr>
                <w:b/>
              </w:rPr>
            </w:pPr>
            <w:r w:rsidRPr="00B04FFE">
              <w:t>9.7%</w:t>
            </w:r>
          </w:p>
        </w:tc>
        <w:tc>
          <w:tcPr>
            <w:tcW w:w="724" w:type="pct"/>
            <w:shd w:val="clear" w:color="auto" w:fill="A6A6A6" w:themeFill="background1" w:themeFillShade="A6"/>
          </w:tcPr>
          <w:p w14:paraId="78B8C2B1" w14:textId="77777777" w:rsidR="0059019B" w:rsidRPr="00CD1826" w:rsidRDefault="0059019B" w:rsidP="0059019B">
            <w:pPr>
              <w:pStyle w:val="TableText"/>
              <w:jc w:val="center"/>
            </w:pPr>
            <w:r>
              <w:rPr>
                <w:b/>
              </w:rPr>
              <w:t>0.6%</w:t>
            </w:r>
          </w:p>
        </w:tc>
      </w:tr>
      <w:tr w:rsidR="0059019B" w:rsidRPr="00CD1826" w14:paraId="09A3FC11" w14:textId="77777777" w:rsidTr="006B38E0">
        <w:trPr>
          <w:trHeight w:val="328"/>
        </w:trPr>
        <w:tc>
          <w:tcPr>
            <w:tcW w:w="1316" w:type="pct"/>
          </w:tcPr>
          <w:p w14:paraId="43A77240" w14:textId="77777777" w:rsidR="0059019B" w:rsidRDefault="0059019B" w:rsidP="0059019B">
            <w:pPr>
              <w:pStyle w:val="TableTextRight"/>
              <w:jc w:val="left"/>
              <w:rPr>
                <w:b/>
              </w:rPr>
            </w:pPr>
            <w:r w:rsidRPr="004A5C18">
              <w:rPr>
                <w:b/>
              </w:rPr>
              <w:t>Echo Glen</w:t>
            </w:r>
            <w:r>
              <w:rPr>
                <w:b/>
              </w:rPr>
              <w:t xml:space="preserve"> (n=33)</w:t>
            </w:r>
          </w:p>
        </w:tc>
        <w:tc>
          <w:tcPr>
            <w:tcW w:w="737" w:type="pct"/>
          </w:tcPr>
          <w:p w14:paraId="09D6D4E0" w14:textId="77777777" w:rsidR="0059019B" w:rsidRPr="00F1596B" w:rsidRDefault="0059019B" w:rsidP="0059019B">
            <w:pPr>
              <w:pStyle w:val="TableTextRight"/>
              <w:jc w:val="center"/>
            </w:pPr>
            <w:r w:rsidRPr="00F1596B">
              <w:t>57.6%</w:t>
            </w:r>
          </w:p>
        </w:tc>
        <w:tc>
          <w:tcPr>
            <w:tcW w:w="694" w:type="pct"/>
          </w:tcPr>
          <w:p w14:paraId="11B13DC4" w14:textId="77777777" w:rsidR="0059019B" w:rsidRPr="00F1596B" w:rsidRDefault="0059019B" w:rsidP="0059019B">
            <w:pPr>
              <w:pStyle w:val="TableTextRight"/>
              <w:jc w:val="center"/>
            </w:pPr>
            <w:r w:rsidRPr="00F1596B">
              <w:t>39.4%</w:t>
            </w:r>
          </w:p>
        </w:tc>
        <w:tc>
          <w:tcPr>
            <w:tcW w:w="789" w:type="pct"/>
          </w:tcPr>
          <w:p w14:paraId="579B3802" w14:textId="77777777" w:rsidR="0059019B" w:rsidRPr="00F1596B" w:rsidRDefault="0059019B" w:rsidP="0059019B">
            <w:pPr>
              <w:pStyle w:val="TableTextRight"/>
              <w:jc w:val="center"/>
            </w:pPr>
            <w:r w:rsidRPr="00F1596B">
              <w:t>0.0%</w:t>
            </w:r>
          </w:p>
        </w:tc>
        <w:tc>
          <w:tcPr>
            <w:tcW w:w="740" w:type="pct"/>
          </w:tcPr>
          <w:p w14:paraId="78C07A37" w14:textId="77777777" w:rsidR="0059019B" w:rsidRPr="00F1596B" w:rsidRDefault="0059019B" w:rsidP="0059019B">
            <w:pPr>
              <w:pStyle w:val="TableTextRight"/>
              <w:jc w:val="center"/>
            </w:pPr>
            <w:r w:rsidRPr="00F1596B">
              <w:t>3.0%</w:t>
            </w:r>
          </w:p>
        </w:tc>
        <w:tc>
          <w:tcPr>
            <w:tcW w:w="724" w:type="pct"/>
          </w:tcPr>
          <w:p w14:paraId="0B1D99DA" w14:textId="77777777" w:rsidR="0059019B" w:rsidRPr="00F1596B" w:rsidRDefault="0059019B" w:rsidP="0059019B">
            <w:pPr>
              <w:pStyle w:val="TableTextRight"/>
              <w:jc w:val="center"/>
            </w:pPr>
            <w:r w:rsidRPr="00F1596B">
              <w:t>0.0%</w:t>
            </w:r>
          </w:p>
        </w:tc>
      </w:tr>
      <w:tr w:rsidR="0059019B" w:rsidRPr="00CD1826" w14:paraId="7C11BD45" w14:textId="77777777" w:rsidTr="006B38E0">
        <w:trPr>
          <w:cnfStyle w:val="000000100000" w:firstRow="0" w:lastRow="0" w:firstColumn="0" w:lastColumn="0" w:oddVBand="0" w:evenVBand="0" w:oddHBand="1" w:evenHBand="0" w:firstRowFirstColumn="0" w:firstRowLastColumn="0" w:lastRowFirstColumn="0" w:lastRowLastColumn="0"/>
          <w:trHeight w:val="328"/>
        </w:trPr>
        <w:tc>
          <w:tcPr>
            <w:tcW w:w="1316" w:type="pct"/>
          </w:tcPr>
          <w:p w14:paraId="7309D0AB" w14:textId="77777777" w:rsidR="0059019B" w:rsidRPr="004A5C18" w:rsidRDefault="0059019B" w:rsidP="0059019B">
            <w:pPr>
              <w:pStyle w:val="TableTextRight"/>
              <w:jc w:val="left"/>
              <w:rPr>
                <w:b/>
              </w:rPr>
            </w:pPr>
            <w:r>
              <w:rPr>
                <w:b/>
              </w:rPr>
              <w:t>Green Hill (n=75)</w:t>
            </w:r>
          </w:p>
        </w:tc>
        <w:tc>
          <w:tcPr>
            <w:tcW w:w="737" w:type="pct"/>
          </w:tcPr>
          <w:p w14:paraId="5A972EAC" w14:textId="77777777" w:rsidR="0059019B" w:rsidRPr="004A5C18" w:rsidRDefault="0059019B" w:rsidP="0059019B">
            <w:pPr>
              <w:pStyle w:val="TableTextRight"/>
              <w:jc w:val="center"/>
              <w:rPr>
                <w:b/>
              </w:rPr>
            </w:pPr>
            <w:r w:rsidRPr="00F1596B">
              <w:t>52.0%</w:t>
            </w:r>
          </w:p>
        </w:tc>
        <w:tc>
          <w:tcPr>
            <w:tcW w:w="694" w:type="pct"/>
          </w:tcPr>
          <w:p w14:paraId="74E674BE" w14:textId="77777777" w:rsidR="0059019B" w:rsidRPr="004A5C18" w:rsidRDefault="0059019B" w:rsidP="0059019B">
            <w:pPr>
              <w:pStyle w:val="TableTextRight"/>
              <w:jc w:val="center"/>
              <w:rPr>
                <w:b/>
              </w:rPr>
            </w:pPr>
            <w:r w:rsidRPr="00F1596B">
              <w:t>37.3%</w:t>
            </w:r>
          </w:p>
        </w:tc>
        <w:tc>
          <w:tcPr>
            <w:tcW w:w="789" w:type="pct"/>
          </w:tcPr>
          <w:p w14:paraId="48198B51" w14:textId="77777777" w:rsidR="0059019B" w:rsidRPr="004A5C18" w:rsidRDefault="0059019B" w:rsidP="0059019B">
            <w:pPr>
              <w:pStyle w:val="TableTextRight"/>
              <w:jc w:val="center"/>
              <w:rPr>
                <w:b/>
              </w:rPr>
            </w:pPr>
            <w:r w:rsidRPr="00F1596B">
              <w:t>6.7%</w:t>
            </w:r>
          </w:p>
        </w:tc>
        <w:tc>
          <w:tcPr>
            <w:tcW w:w="740" w:type="pct"/>
          </w:tcPr>
          <w:p w14:paraId="17028AA7" w14:textId="77777777" w:rsidR="0059019B" w:rsidRPr="004A5C18" w:rsidRDefault="0059019B" w:rsidP="0059019B">
            <w:pPr>
              <w:pStyle w:val="TableTextRight"/>
              <w:jc w:val="center"/>
              <w:rPr>
                <w:b/>
              </w:rPr>
            </w:pPr>
            <w:r w:rsidRPr="00F1596B">
              <w:t>2.7%</w:t>
            </w:r>
          </w:p>
        </w:tc>
        <w:tc>
          <w:tcPr>
            <w:tcW w:w="724" w:type="pct"/>
          </w:tcPr>
          <w:p w14:paraId="578DF58B" w14:textId="77777777" w:rsidR="0059019B" w:rsidRPr="004A5C18" w:rsidRDefault="0059019B" w:rsidP="0059019B">
            <w:pPr>
              <w:pStyle w:val="TableTextRight"/>
              <w:jc w:val="center"/>
              <w:rPr>
                <w:b/>
              </w:rPr>
            </w:pPr>
            <w:r w:rsidRPr="00F1596B">
              <w:t>1.3%</w:t>
            </w:r>
          </w:p>
        </w:tc>
      </w:tr>
      <w:tr w:rsidR="0059019B" w:rsidRPr="00CD1826" w14:paraId="7D811D4D" w14:textId="77777777" w:rsidTr="006B38E0">
        <w:trPr>
          <w:trHeight w:val="328"/>
        </w:trPr>
        <w:tc>
          <w:tcPr>
            <w:tcW w:w="1316" w:type="pct"/>
          </w:tcPr>
          <w:p w14:paraId="4F96EFDC" w14:textId="77777777" w:rsidR="0059019B" w:rsidRPr="004A5C18" w:rsidRDefault="0059019B" w:rsidP="0059019B">
            <w:pPr>
              <w:pStyle w:val="TableTextRight"/>
              <w:jc w:val="left"/>
              <w:rPr>
                <w:b/>
              </w:rPr>
            </w:pPr>
            <w:r w:rsidRPr="009634E3">
              <w:rPr>
                <w:b/>
              </w:rPr>
              <w:t>Naselle</w:t>
            </w:r>
            <w:r>
              <w:rPr>
                <w:b/>
              </w:rPr>
              <w:t xml:space="preserve"> (n=31)</w:t>
            </w:r>
          </w:p>
        </w:tc>
        <w:tc>
          <w:tcPr>
            <w:tcW w:w="737" w:type="pct"/>
          </w:tcPr>
          <w:p w14:paraId="6C7CA50F" w14:textId="77777777" w:rsidR="0059019B" w:rsidRPr="004A5C18" w:rsidRDefault="0059019B" w:rsidP="0059019B">
            <w:pPr>
              <w:pStyle w:val="TableTextRight"/>
              <w:jc w:val="center"/>
              <w:rPr>
                <w:b/>
              </w:rPr>
            </w:pPr>
            <w:r w:rsidRPr="00F1596B">
              <w:t>54.8%</w:t>
            </w:r>
          </w:p>
        </w:tc>
        <w:tc>
          <w:tcPr>
            <w:tcW w:w="694" w:type="pct"/>
          </w:tcPr>
          <w:p w14:paraId="04D51E00" w14:textId="77777777" w:rsidR="0059019B" w:rsidRPr="004A5C18" w:rsidRDefault="0059019B" w:rsidP="0059019B">
            <w:pPr>
              <w:pStyle w:val="TableTextRight"/>
              <w:jc w:val="center"/>
              <w:rPr>
                <w:b/>
              </w:rPr>
            </w:pPr>
            <w:r w:rsidRPr="00F1596B">
              <w:t>25.8%</w:t>
            </w:r>
          </w:p>
        </w:tc>
        <w:tc>
          <w:tcPr>
            <w:tcW w:w="789" w:type="pct"/>
          </w:tcPr>
          <w:p w14:paraId="7EEC88B0" w14:textId="77777777" w:rsidR="0059019B" w:rsidRPr="004A5C18" w:rsidRDefault="0059019B" w:rsidP="0059019B">
            <w:pPr>
              <w:pStyle w:val="TableTextRight"/>
              <w:jc w:val="center"/>
              <w:rPr>
                <w:b/>
              </w:rPr>
            </w:pPr>
            <w:r w:rsidRPr="00F1596B">
              <w:t>6.5%</w:t>
            </w:r>
          </w:p>
        </w:tc>
        <w:tc>
          <w:tcPr>
            <w:tcW w:w="740" w:type="pct"/>
          </w:tcPr>
          <w:p w14:paraId="5344CBF6" w14:textId="77777777" w:rsidR="0059019B" w:rsidRPr="004A5C18" w:rsidRDefault="0059019B" w:rsidP="0059019B">
            <w:pPr>
              <w:pStyle w:val="TableTextRight"/>
              <w:jc w:val="center"/>
              <w:rPr>
                <w:b/>
              </w:rPr>
            </w:pPr>
            <w:r w:rsidRPr="00F1596B">
              <w:t>12.9%</w:t>
            </w:r>
          </w:p>
        </w:tc>
        <w:tc>
          <w:tcPr>
            <w:tcW w:w="724" w:type="pct"/>
          </w:tcPr>
          <w:p w14:paraId="1151784F" w14:textId="77777777" w:rsidR="0059019B" w:rsidRPr="004A5C18" w:rsidRDefault="0059019B" w:rsidP="0059019B">
            <w:pPr>
              <w:pStyle w:val="TableTextRight"/>
              <w:jc w:val="center"/>
              <w:rPr>
                <w:b/>
              </w:rPr>
            </w:pPr>
            <w:r w:rsidRPr="00F1596B">
              <w:t>0.0%</w:t>
            </w:r>
          </w:p>
        </w:tc>
      </w:tr>
      <w:tr w:rsidR="0059019B" w:rsidRPr="00CD1826" w14:paraId="03FF3902" w14:textId="77777777" w:rsidTr="006B38E0">
        <w:trPr>
          <w:cnfStyle w:val="000000100000" w:firstRow="0" w:lastRow="0" w:firstColumn="0" w:lastColumn="0" w:oddVBand="0" w:evenVBand="0" w:oddHBand="1" w:evenHBand="0" w:firstRowFirstColumn="0" w:firstRowLastColumn="0" w:lastRowFirstColumn="0" w:lastRowLastColumn="0"/>
          <w:trHeight w:val="328"/>
        </w:trPr>
        <w:tc>
          <w:tcPr>
            <w:tcW w:w="1316" w:type="pct"/>
          </w:tcPr>
          <w:p w14:paraId="5D4E126D" w14:textId="77777777" w:rsidR="0059019B" w:rsidRPr="004A5C18" w:rsidRDefault="0059019B" w:rsidP="0059019B">
            <w:pPr>
              <w:pStyle w:val="TableTextRight"/>
              <w:jc w:val="left"/>
              <w:rPr>
                <w:b/>
              </w:rPr>
            </w:pPr>
            <w:r w:rsidRPr="009634E3">
              <w:rPr>
                <w:b/>
              </w:rPr>
              <w:t>Community Facilities</w:t>
            </w:r>
            <w:r>
              <w:rPr>
                <w:b/>
              </w:rPr>
              <w:t xml:space="preserve"> (n=37)</w:t>
            </w:r>
          </w:p>
        </w:tc>
        <w:tc>
          <w:tcPr>
            <w:tcW w:w="737" w:type="pct"/>
          </w:tcPr>
          <w:p w14:paraId="1725B864" w14:textId="77777777" w:rsidR="0059019B" w:rsidRPr="004A5C18" w:rsidRDefault="0059019B" w:rsidP="0059019B">
            <w:pPr>
              <w:pStyle w:val="TableTextRight"/>
              <w:jc w:val="center"/>
              <w:rPr>
                <w:b/>
              </w:rPr>
            </w:pPr>
            <w:r w:rsidRPr="003C473C">
              <w:t>21.6%</w:t>
            </w:r>
          </w:p>
        </w:tc>
        <w:tc>
          <w:tcPr>
            <w:tcW w:w="694" w:type="pct"/>
          </w:tcPr>
          <w:p w14:paraId="1D1F912C" w14:textId="77777777" w:rsidR="0059019B" w:rsidRPr="004A5C18" w:rsidRDefault="0059019B" w:rsidP="0059019B">
            <w:pPr>
              <w:pStyle w:val="TableTextRight"/>
              <w:jc w:val="center"/>
              <w:rPr>
                <w:b/>
              </w:rPr>
            </w:pPr>
            <w:r w:rsidRPr="003C473C">
              <w:t>43.4%</w:t>
            </w:r>
          </w:p>
        </w:tc>
        <w:tc>
          <w:tcPr>
            <w:tcW w:w="789" w:type="pct"/>
          </w:tcPr>
          <w:p w14:paraId="5F110B57" w14:textId="77777777" w:rsidR="0059019B" w:rsidRPr="004A5C18" w:rsidRDefault="0059019B" w:rsidP="0059019B">
            <w:pPr>
              <w:pStyle w:val="TableTextRight"/>
              <w:jc w:val="center"/>
              <w:rPr>
                <w:b/>
              </w:rPr>
            </w:pPr>
            <w:r w:rsidRPr="003C473C">
              <w:t>8.1%</w:t>
            </w:r>
          </w:p>
        </w:tc>
        <w:tc>
          <w:tcPr>
            <w:tcW w:w="740" w:type="pct"/>
          </w:tcPr>
          <w:p w14:paraId="2BECF7F3" w14:textId="77777777" w:rsidR="0059019B" w:rsidRPr="004A5C18" w:rsidRDefault="0059019B" w:rsidP="0059019B">
            <w:pPr>
              <w:pStyle w:val="TableTextRight"/>
              <w:jc w:val="center"/>
              <w:rPr>
                <w:b/>
              </w:rPr>
            </w:pPr>
            <w:r w:rsidRPr="003C473C">
              <w:t>27.0%</w:t>
            </w:r>
          </w:p>
        </w:tc>
        <w:tc>
          <w:tcPr>
            <w:tcW w:w="724" w:type="pct"/>
          </w:tcPr>
          <w:p w14:paraId="3CF0FBF8" w14:textId="77777777" w:rsidR="0059019B" w:rsidRPr="004A5C18" w:rsidRDefault="0059019B" w:rsidP="0059019B">
            <w:pPr>
              <w:pStyle w:val="TableTextRight"/>
              <w:jc w:val="center"/>
              <w:rPr>
                <w:b/>
              </w:rPr>
            </w:pPr>
            <w:r w:rsidRPr="003C473C">
              <w:t>0.0%</w:t>
            </w:r>
          </w:p>
        </w:tc>
      </w:tr>
    </w:tbl>
    <w:p w14:paraId="713AA205" w14:textId="77777777" w:rsidR="00727C76" w:rsidRDefault="008553D9" w:rsidP="0058113E">
      <w:r>
        <w:t xml:space="preserve">In interviews and focus groups at all of the facilities, </w:t>
      </w:r>
      <w:r w:rsidR="00D7766A">
        <w:t>staff</w:t>
      </w:r>
      <w:r>
        <w:t xml:space="preserve"> and youth identified many</w:t>
      </w:r>
      <w:r w:rsidR="00D7766A">
        <w:t xml:space="preserve"> detrimental</w:t>
      </w:r>
      <w:r>
        <w:t xml:space="preserve"> impacts of the current staffing levels. These included</w:t>
      </w:r>
      <w:r w:rsidR="00922177">
        <w:t>:</w:t>
      </w:r>
    </w:p>
    <w:p w14:paraId="71667EAB" w14:textId="77777777" w:rsidR="001166E8" w:rsidRDefault="001166E8" w:rsidP="00EC0573">
      <w:pPr>
        <w:pStyle w:val="ListBullet"/>
      </w:pPr>
      <w:r>
        <w:t xml:space="preserve">Staff </w:t>
      </w:r>
      <w:r w:rsidR="00FD6415">
        <w:t xml:space="preserve">do not </w:t>
      </w:r>
      <w:r>
        <w:t xml:space="preserve">have time to build </w:t>
      </w:r>
      <w:r w:rsidR="006B6F97">
        <w:t xml:space="preserve">in-depth </w:t>
      </w:r>
      <w:r>
        <w:t>relationships with the youth</w:t>
      </w:r>
      <w:r w:rsidR="00FD6415">
        <w:t>;</w:t>
      </w:r>
    </w:p>
    <w:p w14:paraId="041652D9" w14:textId="77777777" w:rsidR="008553D9" w:rsidRDefault="008553D9" w:rsidP="00EC0573">
      <w:pPr>
        <w:pStyle w:val="ListBullet"/>
      </w:pPr>
      <w:r>
        <w:t>One-on-one counseling is not happening on a regular basis</w:t>
      </w:r>
      <w:r w:rsidR="00FD6415">
        <w:t>;</w:t>
      </w:r>
    </w:p>
    <w:p w14:paraId="6774F186" w14:textId="77777777" w:rsidR="002A00D9" w:rsidRDefault="002A00D9" w:rsidP="00EC0573">
      <w:pPr>
        <w:pStyle w:val="ListBullet"/>
      </w:pPr>
      <w:r>
        <w:t>You</w:t>
      </w:r>
      <w:r w:rsidR="006B6F97">
        <w:t>th have too much idle time spent</w:t>
      </w:r>
      <w:r>
        <w:t xml:space="preserve"> watching television</w:t>
      </w:r>
      <w:r w:rsidR="003C3196">
        <w:t xml:space="preserve"> or playing video games</w:t>
      </w:r>
      <w:r w:rsidR="00FD6415">
        <w:t>;</w:t>
      </w:r>
    </w:p>
    <w:p w14:paraId="0C627F58" w14:textId="77777777" w:rsidR="008553D9" w:rsidRDefault="00181AE6" w:rsidP="00EC0573">
      <w:pPr>
        <w:pStyle w:val="ListBullet"/>
      </w:pPr>
      <w:r>
        <w:t xml:space="preserve">Treatment </w:t>
      </w:r>
      <w:r w:rsidR="00D7766A">
        <w:t>quality</w:t>
      </w:r>
      <w:r>
        <w:t xml:space="preserve"> is suffering</w:t>
      </w:r>
      <w:r w:rsidR="00FD6415">
        <w:t>;</w:t>
      </w:r>
    </w:p>
    <w:p w14:paraId="39BC0865" w14:textId="77777777" w:rsidR="00181AE6" w:rsidRDefault="00922177" w:rsidP="00EC0573">
      <w:pPr>
        <w:pStyle w:val="ListBullet"/>
      </w:pPr>
      <w:r>
        <w:t>Safety of youth and staff is highly compromised</w:t>
      </w:r>
      <w:r w:rsidR="00FD6415">
        <w:t>;</w:t>
      </w:r>
    </w:p>
    <w:p w14:paraId="7D9AD1B8" w14:textId="77777777" w:rsidR="00F74869" w:rsidRDefault="00F74869" w:rsidP="00EC0573">
      <w:pPr>
        <w:pStyle w:val="ListBullet"/>
      </w:pPr>
      <w:r>
        <w:t>Increased incidents of allegations of misconduct between staff and youth when staff are supervising youth alone;</w:t>
      </w:r>
    </w:p>
    <w:p w14:paraId="376C878A" w14:textId="77777777" w:rsidR="00922177" w:rsidRDefault="00922177" w:rsidP="00EC0573">
      <w:pPr>
        <w:pStyle w:val="ListBullet"/>
      </w:pPr>
      <w:r>
        <w:t>Staff are burned out and stress</w:t>
      </w:r>
      <w:r w:rsidR="00690662">
        <w:t>ed out</w:t>
      </w:r>
      <w:r w:rsidR="00FD6415">
        <w:t>;</w:t>
      </w:r>
    </w:p>
    <w:p w14:paraId="5998912C" w14:textId="77777777" w:rsidR="00690662" w:rsidRDefault="00690662" w:rsidP="00EC0573">
      <w:pPr>
        <w:pStyle w:val="ListBullet"/>
      </w:pPr>
      <w:r>
        <w:t>Staff have compassion fatigue</w:t>
      </w:r>
      <w:r w:rsidR="00FD6415">
        <w:t>;</w:t>
      </w:r>
    </w:p>
    <w:p w14:paraId="4D062F3B" w14:textId="77777777" w:rsidR="00922177" w:rsidRDefault="00922177" w:rsidP="00EC0573">
      <w:pPr>
        <w:pStyle w:val="ListBullet"/>
      </w:pPr>
      <w:r>
        <w:t>Youth are in their rooms to</w:t>
      </w:r>
      <w:r w:rsidR="002D02E0">
        <w:t>o</w:t>
      </w:r>
      <w:r>
        <w:t xml:space="preserve"> frequently</w:t>
      </w:r>
      <w:r w:rsidR="00FD6415">
        <w:t>;</w:t>
      </w:r>
    </w:p>
    <w:p w14:paraId="014EDA02" w14:textId="77777777" w:rsidR="00922177" w:rsidRDefault="009F0635" w:rsidP="00EC0573">
      <w:pPr>
        <w:pStyle w:val="ListBullet"/>
      </w:pPr>
      <w:r>
        <w:t>One youth acting out</w:t>
      </w:r>
      <w:r w:rsidR="002D02E0">
        <w:t xml:space="preserve"> pull</w:t>
      </w:r>
      <w:r>
        <w:t>s</w:t>
      </w:r>
      <w:r w:rsidR="002D02E0">
        <w:t xml:space="preserve"> resources from all other youth</w:t>
      </w:r>
      <w:r w:rsidR="00FD6415">
        <w:t>;</w:t>
      </w:r>
    </w:p>
    <w:p w14:paraId="490E1D99" w14:textId="77777777" w:rsidR="002D02E0" w:rsidRDefault="002D02E0" w:rsidP="00EC0573">
      <w:pPr>
        <w:pStyle w:val="ListBullet"/>
      </w:pPr>
      <w:r>
        <w:t>DBT groups are not being held</w:t>
      </w:r>
      <w:r w:rsidR="00FD6415">
        <w:t>;</w:t>
      </w:r>
    </w:p>
    <w:p w14:paraId="3D924A21" w14:textId="77777777" w:rsidR="002D02E0" w:rsidRDefault="002D02E0" w:rsidP="00EC0573">
      <w:pPr>
        <w:pStyle w:val="ListBullet"/>
      </w:pPr>
      <w:r>
        <w:t xml:space="preserve">Youth are not </w:t>
      </w:r>
      <w:r w:rsidR="00115F62">
        <w:t>doing any outside recreational activities</w:t>
      </w:r>
      <w:r w:rsidR="00FD6415">
        <w:t>;</w:t>
      </w:r>
    </w:p>
    <w:p w14:paraId="3032A73C" w14:textId="77777777" w:rsidR="002D02E0" w:rsidRDefault="00C74A82" w:rsidP="00EC0573">
      <w:pPr>
        <w:pStyle w:val="ListBullet"/>
      </w:pPr>
      <w:r>
        <w:t>Youth</w:t>
      </w:r>
      <w:r w:rsidR="00115F62">
        <w:t xml:space="preserve"> participation in cultural programs</w:t>
      </w:r>
      <w:r>
        <w:t xml:space="preserve"> is restricted</w:t>
      </w:r>
      <w:r w:rsidR="00FD6415">
        <w:t xml:space="preserve">; and </w:t>
      </w:r>
      <w:r w:rsidR="00115F62">
        <w:t xml:space="preserve"> </w:t>
      </w:r>
    </w:p>
    <w:p w14:paraId="22467B12" w14:textId="77777777" w:rsidR="002F7736" w:rsidRDefault="003820B3" w:rsidP="0059019B">
      <w:pPr>
        <w:pStyle w:val="ListBullet"/>
        <w:spacing w:after="120"/>
        <w:contextualSpacing w:val="0"/>
      </w:pPr>
      <w:r>
        <w:t>Youth</w:t>
      </w:r>
      <w:r w:rsidR="00690662">
        <w:t xml:space="preserve"> say</w:t>
      </w:r>
      <w:r w:rsidR="00B354E5">
        <w:t xml:space="preserve"> that c</w:t>
      </w:r>
      <w:r w:rsidR="0001525F">
        <w:t>ounselors</w:t>
      </w:r>
      <w:r w:rsidR="00690662">
        <w:t xml:space="preserve"> do</w:t>
      </w:r>
      <w:r w:rsidR="00732333">
        <w:t xml:space="preserve"> not</w:t>
      </w:r>
      <w:r w:rsidR="00690662">
        <w:t xml:space="preserve"> </w:t>
      </w:r>
      <w:r w:rsidR="00B354E5">
        <w:t>“</w:t>
      </w:r>
      <w:r w:rsidR="00690662">
        <w:t>know them</w:t>
      </w:r>
      <w:r w:rsidR="0059019B">
        <w:t>.</w:t>
      </w:r>
      <w:r w:rsidR="00B354E5">
        <w:t>”</w:t>
      </w:r>
    </w:p>
    <w:p w14:paraId="04EC25F4" w14:textId="77777777" w:rsidR="002F7736" w:rsidRDefault="002F7736" w:rsidP="003B4C2F">
      <w:r>
        <w:t xml:space="preserve">In addition to identifying some of the impacts of not having enough staff, many staff </w:t>
      </w:r>
      <w:r w:rsidR="00B354E5">
        <w:t xml:space="preserve">indicated </w:t>
      </w:r>
      <w:r>
        <w:t>challenge</w:t>
      </w:r>
      <w:r w:rsidR="00B354E5">
        <w:t>s in simply</w:t>
      </w:r>
      <w:r>
        <w:t xml:space="preserve"> maintaining the current level of funded staff. They </w:t>
      </w:r>
      <w:r w:rsidR="00C03656">
        <w:t>noted</w:t>
      </w:r>
      <w:r w:rsidR="00A1181A">
        <w:t xml:space="preserve"> </w:t>
      </w:r>
      <w:r w:rsidR="0059019B">
        <w:t xml:space="preserve">many </w:t>
      </w:r>
      <w:r w:rsidR="009C3B2B">
        <w:t xml:space="preserve">vacancies </w:t>
      </w:r>
      <w:r w:rsidR="0059019B">
        <w:t xml:space="preserve">exist and remain open for long periods of time </w:t>
      </w:r>
      <w:r w:rsidR="009C3B2B">
        <w:t xml:space="preserve">due to </w:t>
      </w:r>
      <w:r w:rsidR="00F74869">
        <w:t>high turnover rates and temporary vacancies due to staff reassignment for light duty or misconduct allegations.</w:t>
      </w:r>
    </w:p>
    <w:p w14:paraId="7278AEE5" w14:textId="77777777" w:rsidR="00800135" w:rsidRPr="006B6F97" w:rsidRDefault="004210EB" w:rsidP="001144F3">
      <w:pPr>
        <w:pStyle w:val="Heading3"/>
      </w:pPr>
      <w:bookmarkStart w:id="48" w:name="_Toc531597495"/>
      <w:r w:rsidRPr="006B6F97">
        <w:t>Time Spent</w:t>
      </w:r>
      <w:r w:rsidR="006426B0" w:rsidRPr="006B6F97">
        <w:t xml:space="preserve"> </w:t>
      </w:r>
      <w:r w:rsidR="00B354E5">
        <w:t>b</w:t>
      </w:r>
      <w:r w:rsidR="009C367A" w:rsidRPr="006B6F97">
        <w:t>y Counselors</w:t>
      </w:r>
      <w:bookmarkEnd w:id="48"/>
    </w:p>
    <w:p w14:paraId="1ADA7C4F" w14:textId="77777777" w:rsidR="00776543" w:rsidRPr="00A1181A" w:rsidRDefault="00776543" w:rsidP="00776543">
      <w:pPr>
        <w:pStyle w:val="RFPtext"/>
        <w:rPr>
          <w:b/>
          <w:color w:val="auto"/>
          <w:sz w:val="24"/>
        </w:rPr>
      </w:pPr>
      <w:r w:rsidRPr="00A1181A">
        <w:rPr>
          <w:b/>
          <w:color w:val="auto"/>
          <w:sz w:val="24"/>
        </w:rPr>
        <w:t>Among all the J</w:t>
      </w:r>
      <w:r w:rsidR="00A11DF6">
        <w:rPr>
          <w:b/>
          <w:color w:val="auto"/>
          <w:sz w:val="24"/>
        </w:rPr>
        <w:t>uvenile Rehabilitation (J</w:t>
      </w:r>
      <w:r w:rsidRPr="00A1181A">
        <w:rPr>
          <w:b/>
          <w:color w:val="auto"/>
          <w:sz w:val="24"/>
        </w:rPr>
        <w:t>R</w:t>
      </w:r>
      <w:r w:rsidR="00A11DF6">
        <w:rPr>
          <w:b/>
          <w:color w:val="auto"/>
          <w:sz w:val="24"/>
        </w:rPr>
        <w:t>)</w:t>
      </w:r>
      <w:r w:rsidRPr="00A1181A">
        <w:rPr>
          <w:b/>
          <w:color w:val="auto"/>
          <w:sz w:val="24"/>
        </w:rPr>
        <w:t xml:space="preserve"> facilities, </w:t>
      </w:r>
      <w:r w:rsidR="00A11DF6">
        <w:rPr>
          <w:b/>
          <w:color w:val="auto"/>
          <w:sz w:val="24"/>
        </w:rPr>
        <w:t>Juvenile Rehabilitation Residential Counselors (JRRCs) and Juvenile Rehabilitation Counselor Assistants (JRCAs)</w:t>
      </w:r>
      <w:r w:rsidRPr="00A1181A">
        <w:rPr>
          <w:b/>
          <w:color w:val="auto"/>
          <w:sz w:val="24"/>
        </w:rPr>
        <w:t xml:space="preserve"> are spending more than three-quarters of their time on floor supervision, safety</w:t>
      </w:r>
      <w:r w:rsidR="00765170" w:rsidRPr="00A1181A">
        <w:rPr>
          <w:b/>
          <w:color w:val="auto"/>
          <w:sz w:val="24"/>
        </w:rPr>
        <w:t>,</w:t>
      </w:r>
      <w:r w:rsidRPr="00A1181A">
        <w:rPr>
          <w:b/>
          <w:color w:val="auto"/>
          <w:sz w:val="24"/>
        </w:rPr>
        <w:t xml:space="preserve"> and security</w:t>
      </w:r>
      <w:r w:rsidR="00765170" w:rsidRPr="00A1181A">
        <w:rPr>
          <w:b/>
          <w:color w:val="auto"/>
          <w:sz w:val="24"/>
        </w:rPr>
        <w:t xml:space="preserve">. This </w:t>
      </w:r>
      <w:r w:rsidRPr="00A1181A">
        <w:rPr>
          <w:b/>
          <w:color w:val="auto"/>
          <w:sz w:val="24"/>
        </w:rPr>
        <w:t xml:space="preserve">includes a significant amount of time supervising youth movements on campus in the institutions, transports </w:t>
      </w:r>
      <w:r w:rsidR="004E5F1A" w:rsidRPr="00A1181A">
        <w:rPr>
          <w:b/>
          <w:color w:val="auto"/>
          <w:sz w:val="24"/>
        </w:rPr>
        <w:t xml:space="preserve">off </w:t>
      </w:r>
      <w:r w:rsidRPr="00A1181A">
        <w:rPr>
          <w:b/>
          <w:color w:val="auto"/>
          <w:sz w:val="24"/>
        </w:rPr>
        <w:t>campus for youth in the community facilities, and custodial duties.</w:t>
      </w:r>
    </w:p>
    <w:p w14:paraId="4ADF9294" w14:textId="77777777" w:rsidR="00253CE5" w:rsidRPr="001E461A" w:rsidRDefault="00966B4C" w:rsidP="00211F6A">
      <w:r w:rsidRPr="00765170">
        <w:t xml:space="preserve">To understand </w:t>
      </w:r>
      <w:r w:rsidR="00765170" w:rsidRPr="00765170">
        <w:t xml:space="preserve">the time </w:t>
      </w:r>
      <w:r w:rsidRPr="00765170">
        <w:t>staff</w:t>
      </w:r>
      <w:r w:rsidR="00020746" w:rsidRPr="00765170">
        <w:t xml:space="preserve"> members</w:t>
      </w:r>
      <w:r w:rsidRPr="00765170">
        <w:t xml:space="preserve"> </w:t>
      </w:r>
      <w:r w:rsidR="00765170" w:rsidRPr="00765170">
        <w:t xml:space="preserve">spend on daily activities, </w:t>
      </w:r>
      <w:r w:rsidR="00002759" w:rsidRPr="00765170">
        <w:t>we included a sectio</w:t>
      </w:r>
      <w:r w:rsidR="00E05E9A" w:rsidRPr="00765170">
        <w:t>n on the staff survey asking</w:t>
      </w:r>
      <w:r w:rsidR="00002759" w:rsidRPr="00765170">
        <w:t xml:space="preserve"> </w:t>
      </w:r>
      <w:r w:rsidRPr="00765170">
        <w:t xml:space="preserve">how </w:t>
      </w:r>
      <w:r w:rsidR="002817E9">
        <w:t>Juvenile Rehabilitation Residential Counselors (</w:t>
      </w:r>
      <w:r w:rsidRPr="00765170">
        <w:t>JRRCs</w:t>
      </w:r>
      <w:r w:rsidR="002817E9">
        <w:t xml:space="preserve">) </w:t>
      </w:r>
      <w:r w:rsidRPr="00765170">
        <w:t>and</w:t>
      </w:r>
      <w:r w:rsidR="002817E9">
        <w:t xml:space="preserve"> Juvenile Rehabilitation Counselor Assistances (J</w:t>
      </w:r>
      <w:r w:rsidRPr="00765170">
        <w:t>RCAs</w:t>
      </w:r>
      <w:r w:rsidR="002817E9">
        <w:t>)</w:t>
      </w:r>
      <w:r w:rsidR="00A11DF6">
        <w:t xml:space="preserve"> (counselors)</w:t>
      </w:r>
      <w:r w:rsidRPr="00765170">
        <w:t xml:space="preserve"> </w:t>
      </w:r>
      <w:r w:rsidR="00765170" w:rsidRPr="00765170">
        <w:t xml:space="preserve">allocate </w:t>
      </w:r>
      <w:r w:rsidRPr="00765170">
        <w:t>their time.</w:t>
      </w:r>
      <w:r w:rsidR="009C367A" w:rsidRPr="00765170">
        <w:rPr>
          <w:rFonts w:eastAsia="Times New Roman"/>
        </w:rPr>
        <w:t xml:space="preserve"> </w:t>
      </w:r>
      <w:r w:rsidR="00002759" w:rsidRPr="00765170">
        <w:rPr>
          <w:rFonts w:eastAsia="Times New Roman"/>
          <w:color w:val="000000"/>
          <w:bdr w:val="none" w:sz="0" w:space="0" w:color="auto" w:frame="1"/>
        </w:rPr>
        <w:t xml:space="preserve">The </w:t>
      </w:r>
      <w:r w:rsidR="009C367A" w:rsidRPr="00765170">
        <w:rPr>
          <w:rFonts w:eastAsia="Times New Roman"/>
          <w:color w:val="000000"/>
          <w:bdr w:val="none" w:sz="0" w:space="0" w:color="auto" w:frame="1"/>
        </w:rPr>
        <w:t xml:space="preserve">survey </w:t>
      </w:r>
      <w:r w:rsidRPr="00765170">
        <w:rPr>
          <w:rFonts w:eastAsia="Times New Roman"/>
          <w:color w:val="000000"/>
          <w:bdr w:val="none" w:sz="0" w:space="0" w:color="auto" w:frame="1"/>
        </w:rPr>
        <w:lastRenderedPageBreak/>
        <w:t xml:space="preserve">instructions </w:t>
      </w:r>
      <w:r w:rsidR="00002759" w:rsidRPr="00765170">
        <w:rPr>
          <w:rFonts w:eastAsia="Times New Roman"/>
          <w:color w:val="000000"/>
          <w:bdr w:val="none" w:sz="0" w:space="0" w:color="auto" w:frame="1"/>
        </w:rPr>
        <w:t xml:space="preserve">asked staff to </w:t>
      </w:r>
      <w:r w:rsidRPr="00765170">
        <w:rPr>
          <w:rFonts w:eastAsia="Times New Roman"/>
          <w:color w:val="000000"/>
          <w:bdr w:val="none" w:sz="0" w:space="0" w:color="auto" w:frame="1"/>
        </w:rPr>
        <w:t xml:space="preserve">indicate, as best as they could, the breakdown of their time spent using the </w:t>
      </w:r>
      <w:r w:rsidR="00002759" w:rsidRPr="00765170">
        <w:rPr>
          <w:rFonts w:eastAsia="Times New Roman"/>
          <w:color w:val="000000"/>
          <w:bdr w:val="none" w:sz="0" w:space="0" w:color="auto" w:frame="1"/>
        </w:rPr>
        <w:t>categories provided, which were vetted with JR pri</w:t>
      </w:r>
      <w:r w:rsidR="002941AC" w:rsidRPr="00765170">
        <w:rPr>
          <w:rFonts w:eastAsia="Times New Roman"/>
          <w:color w:val="000000"/>
          <w:bdr w:val="none" w:sz="0" w:space="0" w:color="auto" w:frame="1"/>
        </w:rPr>
        <w:t xml:space="preserve">or to administering the survey. </w:t>
      </w:r>
      <w:r w:rsidR="00253CE5" w:rsidRPr="00765170">
        <w:t xml:space="preserve">Exhibit </w:t>
      </w:r>
      <w:r w:rsidR="00DD4F6B">
        <w:t>5</w:t>
      </w:r>
      <w:r w:rsidR="00AE63DD" w:rsidRPr="00765170">
        <w:t>-4</w:t>
      </w:r>
      <w:r w:rsidR="00211F6A" w:rsidRPr="00765170">
        <w:t xml:space="preserve"> documents the responses staff provided regarding the allocation of their time</w:t>
      </w:r>
      <w:r w:rsidR="004C75A6" w:rsidRPr="00765170">
        <w:t>.</w:t>
      </w:r>
      <w:r w:rsidR="004C75A6">
        <w:t xml:space="preserve"> </w:t>
      </w:r>
    </w:p>
    <w:p w14:paraId="7E071439" w14:textId="77777777" w:rsidR="00253CE5" w:rsidRPr="001E461A" w:rsidRDefault="00AE63DD" w:rsidP="001E461A">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4</w:t>
      </w:r>
      <w:r w:rsidR="00710F1C">
        <w:rPr>
          <w:noProof/>
        </w:rPr>
        <w:fldChar w:fldCharType="end"/>
      </w:r>
      <w:r w:rsidR="00E251C1">
        <w:t>.</w:t>
      </w:r>
      <w:r>
        <w:t xml:space="preserve"> </w:t>
      </w:r>
      <w:r w:rsidR="00253CE5" w:rsidRPr="001E461A">
        <w:t xml:space="preserve">Allocation of JRRC and JRCA Time to Daily Work Activities </w:t>
      </w:r>
    </w:p>
    <w:tbl>
      <w:tblPr>
        <w:tblStyle w:val="HyzerTable2"/>
        <w:tblW w:w="9562" w:type="dxa"/>
        <w:tblLayout w:type="fixed"/>
        <w:tblLook w:val="04A0" w:firstRow="1" w:lastRow="0" w:firstColumn="1" w:lastColumn="0" w:noHBand="0" w:noVBand="1"/>
      </w:tblPr>
      <w:tblGrid>
        <w:gridCol w:w="1080"/>
        <w:gridCol w:w="810"/>
        <w:gridCol w:w="901"/>
        <w:gridCol w:w="984"/>
        <w:gridCol w:w="1112"/>
        <w:gridCol w:w="884"/>
        <w:gridCol w:w="1032"/>
        <w:gridCol w:w="910"/>
        <w:gridCol w:w="924"/>
        <w:gridCol w:w="925"/>
      </w:tblGrid>
      <w:tr w:rsidR="00253CE5" w:rsidRPr="006D41D8" w14:paraId="64BCF551" w14:textId="77777777" w:rsidTr="00893B80">
        <w:trPr>
          <w:cnfStyle w:val="100000000000" w:firstRow="1" w:lastRow="0" w:firstColumn="0" w:lastColumn="0" w:oddVBand="0" w:evenVBand="0" w:oddHBand="0" w:evenHBand="0" w:firstRowFirstColumn="0" w:firstRowLastColumn="0" w:lastRowFirstColumn="0" w:lastRowLastColumn="0"/>
          <w:tblHeader/>
        </w:trPr>
        <w:tc>
          <w:tcPr>
            <w:tcW w:w="1080" w:type="dxa"/>
            <w:vMerge w:val="restart"/>
          </w:tcPr>
          <w:p w14:paraId="709FD474" w14:textId="77777777" w:rsidR="00253CE5" w:rsidRPr="006D41D8" w:rsidRDefault="00253CE5" w:rsidP="00253CE5">
            <w:pPr>
              <w:keepNext/>
              <w:keepLines/>
              <w:spacing w:before="40" w:after="40"/>
              <w:jc w:val="center"/>
              <w:rPr>
                <w:rFonts w:ascii="Arial Narrow" w:hAnsi="Arial Narrow" w:cs="Arial"/>
                <w:b/>
                <w:color w:val="FFFFFF"/>
                <w:sz w:val="20"/>
              </w:rPr>
            </w:pPr>
            <w:r w:rsidRPr="1FF1B213">
              <w:rPr>
                <w:rFonts w:ascii="Arial Narrow" w:eastAsia="Arial Narrow" w:hAnsi="Arial Narrow" w:cs="Arial Narrow"/>
                <w:b/>
                <w:color w:val="FFFFFF" w:themeColor="background1"/>
                <w:sz w:val="20"/>
                <w:szCs w:val="20"/>
              </w:rPr>
              <w:t xml:space="preserve">Facility </w:t>
            </w:r>
          </w:p>
        </w:tc>
        <w:tc>
          <w:tcPr>
            <w:tcW w:w="2695" w:type="dxa"/>
            <w:gridSpan w:val="3"/>
          </w:tcPr>
          <w:p w14:paraId="3EA648D2" w14:textId="77777777" w:rsidR="00253CE5" w:rsidRPr="006D41D8" w:rsidRDefault="00253CE5" w:rsidP="00AF70EE">
            <w:pPr>
              <w:keepNext/>
              <w:keepLines/>
              <w:spacing w:before="40" w:after="40"/>
              <w:jc w:val="center"/>
              <w:rPr>
                <w:rFonts w:ascii="Arial Narrow" w:hAnsi="Arial Narrow" w:cs="Arial"/>
                <w:b/>
                <w:color w:val="FFFFFF"/>
                <w:sz w:val="20"/>
              </w:rPr>
            </w:pPr>
            <w:r w:rsidRPr="1FF1B213">
              <w:rPr>
                <w:rFonts w:ascii="Arial Narrow" w:eastAsia="Arial Narrow" w:hAnsi="Arial Narrow" w:cs="Arial Narrow"/>
                <w:b/>
                <w:color w:val="FFFFFF" w:themeColor="background1"/>
                <w:sz w:val="20"/>
                <w:szCs w:val="20"/>
              </w:rPr>
              <w:t xml:space="preserve">Case Management &amp; Direct </w:t>
            </w:r>
            <w:r w:rsidR="00AF70EE">
              <w:rPr>
                <w:rFonts w:ascii="Arial Narrow" w:eastAsia="Arial Narrow" w:hAnsi="Arial Narrow" w:cs="Arial Narrow"/>
                <w:b/>
                <w:color w:val="FFFFFF" w:themeColor="background1"/>
                <w:sz w:val="20"/>
                <w:szCs w:val="20"/>
              </w:rPr>
              <w:t>Rehabilitation Model</w:t>
            </w:r>
            <w:r w:rsidRPr="1FF1B213">
              <w:rPr>
                <w:rFonts w:ascii="Arial Narrow" w:eastAsia="Arial Narrow" w:hAnsi="Arial Narrow" w:cs="Arial Narrow"/>
                <w:b/>
                <w:color w:val="FFFFFF" w:themeColor="background1"/>
                <w:sz w:val="20"/>
                <w:szCs w:val="20"/>
              </w:rPr>
              <w:t xml:space="preserve"> Activities</w:t>
            </w:r>
          </w:p>
        </w:tc>
        <w:tc>
          <w:tcPr>
            <w:tcW w:w="1996" w:type="dxa"/>
            <w:gridSpan w:val="2"/>
          </w:tcPr>
          <w:p w14:paraId="0C4482AC" w14:textId="77777777" w:rsidR="00253CE5" w:rsidRPr="006D41D8" w:rsidRDefault="00253CE5" w:rsidP="00253CE5">
            <w:pPr>
              <w:keepNext/>
              <w:keepLines/>
              <w:spacing w:before="40" w:after="40"/>
              <w:jc w:val="center"/>
              <w:rPr>
                <w:rFonts w:ascii="Arial Narrow" w:hAnsi="Arial Narrow" w:cs="Arial"/>
                <w:b/>
                <w:color w:val="FFFFFF"/>
                <w:sz w:val="20"/>
              </w:rPr>
            </w:pPr>
            <w:r w:rsidRPr="1FF1B213">
              <w:rPr>
                <w:rFonts w:ascii="Arial Narrow" w:eastAsia="Arial Narrow" w:hAnsi="Arial Narrow" w:cs="Arial Narrow"/>
                <w:b/>
                <w:color w:val="FFFFFF" w:themeColor="background1"/>
                <w:sz w:val="20"/>
                <w:szCs w:val="20"/>
              </w:rPr>
              <w:t>Case Notes &amp; Administrative Work</w:t>
            </w:r>
          </w:p>
        </w:tc>
        <w:tc>
          <w:tcPr>
            <w:tcW w:w="3791" w:type="dxa"/>
            <w:gridSpan w:val="4"/>
          </w:tcPr>
          <w:p w14:paraId="3B55C6EB" w14:textId="77777777" w:rsidR="00253CE5" w:rsidRPr="006D41D8" w:rsidRDefault="00253CE5" w:rsidP="00253CE5">
            <w:pPr>
              <w:keepNext/>
              <w:keepLines/>
              <w:spacing w:before="40" w:after="40"/>
              <w:jc w:val="center"/>
              <w:rPr>
                <w:rFonts w:ascii="Arial Narrow" w:hAnsi="Arial Narrow" w:cs="Arial"/>
                <w:b/>
                <w:color w:val="FFFFFF"/>
                <w:sz w:val="20"/>
              </w:rPr>
            </w:pPr>
            <w:r w:rsidRPr="1FF1B213">
              <w:rPr>
                <w:rFonts w:ascii="Arial Narrow" w:eastAsia="Arial Narrow" w:hAnsi="Arial Narrow" w:cs="Arial Narrow"/>
                <w:b/>
                <w:color w:val="FFFFFF" w:themeColor="background1"/>
                <w:sz w:val="20"/>
                <w:szCs w:val="20"/>
              </w:rPr>
              <w:t>Floor Supervision and Custodial Duties</w:t>
            </w:r>
          </w:p>
        </w:tc>
      </w:tr>
      <w:tr w:rsidR="00253CE5" w:rsidRPr="006D41D8" w14:paraId="37BBA1E5" w14:textId="77777777" w:rsidTr="00893B80">
        <w:trPr>
          <w:cnfStyle w:val="100000000000" w:firstRow="1" w:lastRow="0" w:firstColumn="0" w:lastColumn="0" w:oddVBand="0" w:evenVBand="0" w:oddHBand="0" w:evenHBand="0" w:firstRowFirstColumn="0" w:firstRowLastColumn="0" w:lastRowFirstColumn="0" w:lastRowLastColumn="0"/>
          <w:tblHeader/>
        </w:trPr>
        <w:tc>
          <w:tcPr>
            <w:tcW w:w="1080" w:type="dxa"/>
            <w:vMerge/>
          </w:tcPr>
          <w:p w14:paraId="401C1D5C" w14:textId="77777777" w:rsidR="00253CE5" w:rsidRPr="006D41D8" w:rsidRDefault="00253CE5" w:rsidP="00253CE5">
            <w:pPr>
              <w:keepNext/>
              <w:keepLines/>
              <w:spacing w:before="0" w:after="0"/>
              <w:jc w:val="center"/>
              <w:rPr>
                <w:rFonts w:ascii="Arial Narrow" w:hAnsi="Arial Narrow"/>
                <w:b/>
                <w:bCs/>
                <w:sz w:val="15"/>
                <w:szCs w:val="15"/>
              </w:rPr>
            </w:pPr>
          </w:p>
        </w:tc>
        <w:tc>
          <w:tcPr>
            <w:tcW w:w="810" w:type="dxa"/>
          </w:tcPr>
          <w:p w14:paraId="119F32B5"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Individual Counseling</w:t>
            </w:r>
          </w:p>
          <w:p w14:paraId="23690CE4"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(1)</w:t>
            </w:r>
          </w:p>
          <w:p w14:paraId="10205714"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p>
        </w:tc>
        <w:tc>
          <w:tcPr>
            <w:tcW w:w="901" w:type="dxa"/>
          </w:tcPr>
          <w:p w14:paraId="43B96259" w14:textId="77777777" w:rsidR="00253CE5" w:rsidRPr="00BC0E8E" w:rsidRDefault="00253CE5" w:rsidP="00253CE5">
            <w:pPr>
              <w:keepNext/>
              <w:keepLines/>
              <w:spacing w:before="0" w:after="0"/>
              <w:jc w:val="center"/>
              <w:rPr>
                <w:rFonts w:ascii="Arial Narrow" w:hAnsi="Arial Narrow" w:cs="Arial"/>
                <w:b/>
                <w:bCs/>
                <w:color w:val="FFFFFF" w:themeColor="background1"/>
                <w:sz w:val="15"/>
                <w:szCs w:val="15"/>
              </w:rPr>
            </w:pPr>
            <w:r w:rsidRPr="00BC0E8E">
              <w:rPr>
                <w:rFonts w:ascii="Arial Narrow" w:hAnsi="Arial Narrow" w:cs="Arial"/>
                <w:b/>
                <w:color w:val="FFFFFF" w:themeColor="background1"/>
                <w:sz w:val="15"/>
                <w:szCs w:val="15"/>
              </w:rPr>
              <w:t>Group Counseling</w:t>
            </w:r>
          </w:p>
          <w:p w14:paraId="39FEC022"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(2)</w:t>
            </w:r>
          </w:p>
        </w:tc>
        <w:tc>
          <w:tcPr>
            <w:tcW w:w="984" w:type="dxa"/>
          </w:tcPr>
          <w:p w14:paraId="7D1D9CFC"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Case Management for Reentry Support</w:t>
            </w:r>
          </w:p>
          <w:p w14:paraId="741C5812"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(3)</w:t>
            </w:r>
          </w:p>
        </w:tc>
        <w:tc>
          <w:tcPr>
            <w:tcW w:w="1112" w:type="dxa"/>
          </w:tcPr>
          <w:p w14:paraId="7E6B935C"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Document</w:t>
            </w:r>
            <w:r w:rsidR="00334D22" w:rsidRPr="00BC0E8E">
              <w:rPr>
                <w:rFonts w:ascii="Arial Narrow" w:hAnsi="Arial Narrow" w:cs="Arial"/>
                <w:b/>
                <w:color w:val="FFFFFF" w:themeColor="background1"/>
                <w:sz w:val="15"/>
                <w:szCs w:val="15"/>
              </w:rPr>
              <w:t>ation</w:t>
            </w:r>
          </w:p>
          <w:p w14:paraId="00013520"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in ACT or Other IT System</w:t>
            </w:r>
          </w:p>
          <w:p w14:paraId="495FB41D"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(4)</w:t>
            </w:r>
          </w:p>
        </w:tc>
        <w:tc>
          <w:tcPr>
            <w:tcW w:w="884" w:type="dxa"/>
          </w:tcPr>
          <w:p w14:paraId="778D8BCF"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Paperwork</w:t>
            </w:r>
          </w:p>
          <w:p w14:paraId="0C3972A6"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(4)</w:t>
            </w:r>
          </w:p>
        </w:tc>
        <w:tc>
          <w:tcPr>
            <w:tcW w:w="1032" w:type="dxa"/>
          </w:tcPr>
          <w:p w14:paraId="12EFF3E5"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On-Site Milieu Management</w:t>
            </w:r>
          </w:p>
          <w:p w14:paraId="1A6C4467"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(6)</w:t>
            </w:r>
          </w:p>
        </w:tc>
        <w:tc>
          <w:tcPr>
            <w:tcW w:w="910" w:type="dxa"/>
          </w:tcPr>
          <w:p w14:paraId="4688DD56"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Security</w:t>
            </w:r>
            <w:r w:rsidR="00361699" w:rsidRPr="00BC0E8E">
              <w:rPr>
                <w:rFonts w:ascii="Arial Narrow" w:hAnsi="Arial Narrow" w:cs="Arial"/>
                <w:b/>
                <w:color w:val="FFFFFF" w:themeColor="background1"/>
                <w:sz w:val="15"/>
                <w:szCs w:val="15"/>
              </w:rPr>
              <w:t>-</w:t>
            </w:r>
            <w:r w:rsidRPr="00BC0E8E">
              <w:rPr>
                <w:rFonts w:ascii="Arial Narrow" w:hAnsi="Arial Narrow" w:cs="Arial"/>
                <w:b/>
                <w:color w:val="FFFFFF" w:themeColor="background1"/>
                <w:sz w:val="15"/>
                <w:szCs w:val="15"/>
              </w:rPr>
              <w:t xml:space="preserve"> Related Services</w:t>
            </w:r>
          </w:p>
          <w:p w14:paraId="0BA015BF"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(7)</w:t>
            </w:r>
          </w:p>
        </w:tc>
        <w:tc>
          <w:tcPr>
            <w:tcW w:w="924" w:type="dxa"/>
          </w:tcPr>
          <w:p w14:paraId="176EEA46" w14:textId="77777777" w:rsidR="00253CE5" w:rsidRPr="00BC0E8E" w:rsidRDefault="00361699"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Recreation Provision/ Monitoring</w:t>
            </w:r>
          </w:p>
          <w:p w14:paraId="151E4783"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(8)</w:t>
            </w:r>
          </w:p>
        </w:tc>
        <w:tc>
          <w:tcPr>
            <w:tcW w:w="925" w:type="dxa"/>
          </w:tcPr>
          <w:p w14:paraId="45AA3C63" w14:textId="77777777" w:rsidR="00253CE5" w:rsidRPr="00BC0E8E" w:rsidRDefault="00253CE5" w:rsidP="00253CE5">
            <w:pPr>
              <w:keepNext/>
              <w:keepLines/>
              <w:spacing w:before="0" w:after="0"/>
              <w:jc w:val="center"/>
              <w:rPr>
                <w:rFonts w:ascii="Arial Narrow" w:hAnsi="Arial Narrow" w:cs="Arial"/>
                <w:b/>
                <w:color w:val="FFFFFF" w:themeColor="background1"/>
                <w:sz w:val="15"/>
                <w:szCs w:val="15"/>
              </w:rPr>
            </w:pPr>
            <w:r w:rsidRPr="00BC0E8E">
              <w:rPr>
                <w:rFonts w:ascii="Arial Narrow" w:hAnsi="Arial Narrow" w:cs="Arial"/>
                <w:b/>
                <w:color w:val="FFFFFF" w:themeColor="background1"/>
                <w:sz w:val="15"/>
                <w:szCs w:val="15"/>
              </w:rPr>
              <w:t>Transports</w:t>
            </w:r>
          </w:p>
          <w:p w14:paraId="2EDB8CF7" w14:textId="77777777" w:rsidR="00253CE5" w:rsidRPr="00BC0E8E" w:rsidRDefault="00253CE5" w:rsidP="00253CE5">
            <w:pPr>
              <w:keepNext/>
              <w:keepLines/>
              <w:spacing w:before="0" w:after="0"/>
              <w:jc w:val="center"/>
              <w:rPr>
                <w:rFonts w:ascii="Arial Narrow" w:hAnsi="Arial Narrow"/>
                <w:b/>
                <w:bCs/>
                <w:color w:val="FFFFFF" w:themeColor="background1"/>
                <w:sz w:val="18"/>
                <w:szCs w:val="18"/>
              </w:rPr>
            </w:pPr>
            <w:r w:rsidRPr="00BC0E8E">
              <w:rPr>
                <w:rFonts w:ascii="Arial Narrow" w:hAnsi="Arial Narrow"/>
                <w:color w:val="FFFFFF" w:themeColor="background1"/>
                <w:sz w:val="15"/>
                <w:szCs w:val="15"/>
              </w:rPr>
              <w:t>(9)</w:t>
            </w:r>
          </w:p>
        </w:tc>
      </w:tr>
      <w:tr w:rsidR="00253CE5" w:rsidRPr="006D41D8" w14:paraId="1FB75BFC" w14:textId="77777777" w:rsidTr="00893B80">
        <w:trPr>
          <w:cnfStyle w:val="000000100000" w:firstRow="0" w:lastRow="0" w:firstColumn="0" w:lastColumn="0" w:oddVBand="0" w:evenVBand="0" w:oddHBand="1" w:evenHBand="0" w:firstRowFirstColumn="0" w:firstRowLastColumn="0" w:lastRowFirstColumn="0" w:lastRowLastColumn="0"/>
        </w:trPr>
        <w:tc>
          <w:tcPr>
            <w:tcW w:w="1080" w:type="dxa"/>
            <w:shd w:val="clear" w:color="auto" w:fill="A6A6A6" w:themeFill="background1" w:themeFillShade="A6"/>
            <w:vAlign w:val="center"/>
          </w:tcPr>
          <w:p w14:paraId="343E9094" w14:textId="77777777" w:rsidR="00253CE5" w:rsidRPr="006D41D8" w:rsidRDefault="00253CE5" w:rsidP="00253CE5">
            <w:pPr>
              <w:pStyle w:val="TableText"/>
              <w:keepNext/>
              <w:keepLines/>
              <w:rPr>
                <w:b/>
              </w:rPr>
            </w:pPr>
            <w:r w:rsidRPr="006D41D8">
              <w:rPr>
                <w:b/>
              </w:rPr>
              <w:t>JR Total</w:t>
            </w:r>
          </w:p>
          <w:p w14:paraId="5F3D550E" w14:textId="77777777" w:rsidR="00253CE5" w:rsidRPr="006D41D8" w:rsidRDefault="00253CE5" w:rsidP="00253CE5">
            <w:pPr>
              <w:pStyle w:val="TableText"/>
              <w:keepNext/>
              <w:keepLines/>
              <w:rPr>
                <w:b/>
              </w:rPr>
            </w:pPr>
            <w:r w:rsidRPr="006D41D8">
              <w:rPr>
                <w:b/>
              </w:rPr>
              <w:t>(n=126)</w:t>
            </w:r>
          </w:p>
        </w:tc>
        <w:tc>
          <w:tcPr>
            <w:tcW w:w="810" w:type="dxa"/>
            <w:shd w:val="clear" w:color="auto" w:fill="A6A6A6" w:themeFill="background1" w:themeFillShade="A6"/>
            <w:vAlign w:val="center"/>
          </w:tcPr>
          <w:p w14:paraId="4EF4EB60" w14:textId="77777777" w:rsidR="00253CE5" w:rsidRPr="006D41D8" w:rsidRDefault="00253CE5" w:rsidP="00253CE5">
            <w:pPr>
              <w:keepNext/>
              <w:keepLines/>
              <w:spacing w:before="40" w:after="40"/>
              <w:jc w:val="center"/>
              <w:rPr>
                <w:rFonts w:ascii="Arial Narrow" w:hAnsi="Arial Narrow"/>
                <w:b/>
                <w:sz w:val="20"/>
                <w:szCs w:val="20"/>
              </w:rPr>
            </w:pPr>
            <w:r w:rsidRPr="006D41D8">
              <w:rPr>
                <w:rFonts w:ascii="Arial Narrow" w:hAnsi="Arial Narrow"/>
                <w:b/>
                <w:sz w:val="18"/>
                <w:szCs w:val="18"/>
              </w:rPr>
              <w:t>4.</w:t>
            </w:r>
            <w:r>
              <w:rPr>
                <w:rFonts w:ascii="Arial Narrow" w:hAnsi="Arial Narrow"/>
                <w:b/>
                <w:sz w:val="18"/>
                <w:szCs w:val="18"/>
              </w:rPr>
              <w:t>5%</w:t>
            </w:r>
          </w:p>
        </w:tc>
        <w:tc>
          <w:tcPr>
            <w:tcW w:w="901" w:type="dxa"/>
            <w:shd w:val="clear" w:color="auto" w:fill="A6A6A6" w:themeFill="background1" w:themeFillShade="A6"/>
            <w:vAlign w:val="center"/>
          </w:tcPr>
          <w:p w14:paraId="24F6B44B"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2.2%</w:t>
            </w:r>
          </w:p>
        </w:tc>
        <w:tc>
          <w:tcPr>
            <w:tcW w:w="984" w:type="dxa"/>
            <w:shd w:val="clear" w:color="auto" w:fill="A6A6A6" w:themeFill="background1" w:themeFillShade="A6"/>
            <w:vAlign w:val="center"/>
          </w:tcPr>
          <w:p w14:paraId="276F62BC"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6.2%</w:t>
            </w:r>
          </w:p>
        </w:tc>
        <w:tc>
          <w:tcPr>
            <w:tcW w:w="1112" w:type="dxa"/>
            <w:shd w:val="clear" w:color="auto" w:fill="A6A6A6" w:themeFill="background1" w:themeFillShade="A6"/>
            <w:vAlign w:val="center"/>
          </w:tcPr>
          <w:p w14:paraId="772B96B1"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4.0%</w:t>
            </w:r>
          </w:p>
        </w:tc>
        <w:tc>
          <w:tcPr>
            <w:tcW w:w="884" w:type="dxa"/>
            <w:shd w:val="clear" w:color="auto" w:fill="A6A6A6" w:themeFill="background1" w:themeFillShade="A6"/>
            <w:vAlign w:val="center"/>
          </w:tcPr>
          <w:p w14:paraId="5E4100AE"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5.3%</w:t>
            </w:r>
          </w:p>
        </w:tc>
        <w:tc>
          <w:tcPr>
            <w:tcW w:w="1032" w:type="dxa"/>
            <w:shd w:val="clear" w:color="auto" w:fill="A6A6A6" w:themeFill="background1" w:themeFillShade="A6"/>
            <w:vAlign w:val="center"/>
          </w:tcPr>
          <w:p w14:paraId="7EC40121"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33.4%</w:t>
            </w:r>
          </w:p>
        </w:tc>
        <w:tc>
          <w:tcPr>
            <w:tcW w:w="910" w:type="dxa"/>
            <w:shd w:val="clear" w:color="auto" w:fill="A6A6A6" w:themeFill="background1" w:themeFillShade="A6"/>
            <w:vAlign w:val="center"/>
          </w:tcPr>
          <w:p w14:paraId="406C3ABC"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32.5%</w:t>
            </w:r>
          </w:p>
        </w:tc>
        <w:tc>
          <w:tcPr>
            <w:tcW w:w="924" w:type="dxa"/>
            <w:shd w:val="clear" w:color="auto" w:fill="A6A6A6" w:themeFill="background1" w:themeFillShade="A6"/>
            <w:vAlign w:val="center"/>
          </w:tcPr>
          <w:p w14:paraId="13161FEE"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9.2%</w:t>
            </w:r>
          </w:p>
        </w:tc>
        <w:tc>
          <w:tcPr>
            <w:tcW w:w="925" w:type="dxa"/>
            <w:shd w:val="clear" w:color="auto" w:fill="A6A6A6" w:themeFill="background1" w:themeFillShade="A6"/>
            <w:vAlign w:val="center"/>
          </w:tcPr>
          <w:p w14:paraId="52D3BAF0" w14:textId="77777777" w:rsidR="00253CE5" w:rsidRPr="006D41D8" w:rsidRDefault="00253CE5" w:rsidP="00253CE5">
            <w:pPr>
              <w:keepNext/>
              <w:keepLines/>
              <w:spacing w:before="40" w:after="40"/>
              <w:jc w:val="center"/>
              <w:rPr>
                <w:rFonts w:ascii="Arial Narrow" w:hAnsi="Arial Narrow"/>
                <w:b/>
                <w:sz w:val="20"/>
                <w:szCs w:val="20"/>
              </w:rPr>
            </w:pPr>
            <w:r>
              <w:rPr>
                <w:rFonts w:ascii="Arial Narrow" w:hAnsi="Arial Narrow"/>
                <w:b/>
                <w:sz w:val="18"/>
                <w:szCs w:val="18"/>
              </w:rPr>
              <w:t>2.7%</w:t>
            </w:r>
          </w:p>
        </w:tc>
      </w:tr>
      <w:tr w:rsidR="00253CE5" w:rsidRPr="006D41D8" w14:paraId="76E8F919" w14:textId="77777777" w:rsidTr="00893B80">
        <w:tc>
          <w:tcPr>
            <w:tcW w:w="1080" w:type="dxa"/>
            <w:vAlign w:val="center"/>
          </w:tcPr>
          <w:p w14:paraId="5850A15F" w14:textId="77777777" w:rsidR="00253CE5" w:rsidRPr="006D41D8" w:rsidRDefault="00253CE5" w:rsidP="00253CE5">
            <w:pPr>
              <w:pStyle w:val="TableText"/>
              <w:keepNext/>
              <w:keepLines/>
            </w:pPr>
            <w:r w:rsidRPr="006D41D8">
              <w:t>Echo Glen</w:t>
            </w:r>
          </w:p>
          <w:p w14:paraId="284B96A6" w14:textId="77777777" w:rsidR="00253CE5" w:rsidRPr="006D41D8" w:rsidRDefault="00253CE5" w:rsidP="00253CE5">
            <w:pPr>
              <w:pStyle w:val="TableText"/>
              <w:keepNext/>
              <w:keepLines/>
            </w:pPr>
            <w:r w:rsidRPr="006D41D8">
              <w:t>(n=</w:t>
            </w:r>
            <w:r w:rsidR="00656010">
              <w:t>34</w:t>
            </w:r>
            <w:r w:rsidRPr="006D41D8">
              <w:t>)</w:t>
            </w:r>
          </w:p>
        </w:tc>
        <w:tc>
          <w:tcPr>
            <w:tcW w:w="810" w:type="dxa"/>
            <w:vAlign w:val="center"/>
          </w:tcPr>
          <w:p w14:paraId="76DF2FAC"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6.3%</w:t>
            </w:r>
          </w:p>
        </w:tc>
        <w:tc>
          <w:tcPr>
            <w:tcW w:w="901" w:type="dxa"/>
            <w:vAlign w:val="center"/>
          </w:tcPr>
          <w:p w14:paraId="6B34E3BA"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3.0%</w:t>
            </w:r>
          </w:p>
        </w:tc>
        <w:tc>
          <w:tcPr>
            <w:tcW w:w="984" w:type="dxa"/>
            <w:vAlign w:val="center"/>
          </w:tcPr>
          <w:p w14:paraId="6711355A"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10.5%</w:t>
            </w:r>
          </w:p>
        </w:tc>
        <w:tc>
          <w:tcPr>
            <w:tcW w:w="1112" w:type="dxa"/>
            <w:vAlign w:val="center"/>
          </w:tcPr>
          <w:p w14:paraId="1A38B55C"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3.5%</w:t>
            </w:r>
          </w:p>
        </w:tc>
        <w:tc>
          <w:tcPr>
            <w:tcW w:w="884" w:type="dxa"/>
            <w:vAlign w:val="center"/>
          </w:tcPr>
          <w:p w14:paraId="0C9240F9"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6.5%</w:t>
            </w:r>
          </w:p>
        </w:tc>
        <w:tc>
          <w:tcPr>
            <w:tcW w:w="1032" w:type="dxa"/>
            <w:vAlign w:val="center"/>
          </w:tcPr>
          <w:p w14:paraId="61D34CEC"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38.3%</w:t>
            </w:r>
          </w:p>
        </w:tc>
        <w:tc>
          <w:tcPr>
            <w:tcW w:w="910" w:type="dxa"/>
            <w:vAlign w:val="center"/>
          </w:tcPr>
          <w:p w14:paraId="023AE9FB"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22.2%</w:t>
            </w:r>
          </w:p>
        </w:tc>
        <w:tc>
          <w:tcPr>
            <w:tcW w:w="924" w:type="dxa"/>
            <w:vAlign w:val="center"/>
          </w:tcPr>
          <w:p w14:paraId="292EF968"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9.4%</w:t>
            </w:r>
          </w:p>
        </w:tc>
        <w:tc>
          <w:tcPr>
            <w:tcW w:w="925" w:type="dxa"/>
            <w:vAlign w:val="center"/>
          </w:tcPr>
          <w:p w14:paraId="0A22DF9B"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w:t>
            </w:r>
          </w:p>
        </w:tc>
      </w:tr>
      <w:tr w:rsidR="00253CE5" w:rsidRPr="006D41D8" w14:paraId="32108095" w14:textId="77777777" w:rsidTr="00893B80">
        <w:trPr>
          <w:cnfStyle w:val="000000100000" w:firstRow="0" w:lastRow="0" w:firstColumn="0" w:lastColumn="0" w:oddVBand="0" w:evenVBand="0" w:oddHBand="1" w:evenHBand="0" w:firstRowFirstColumn="0" w:firstRowLastColumn="0" w:lastRowFirstColumn="0" w:lastRowLastColumn="0"/>
        </w:trPr>
        <w:tc>
          <w:tcPr>
            <w:tcW w:w="1080" w:type="dxa"/>
            <w:vAlign w:val="center"/>
          </w:tcPr>
          <w:p w14:paraId="62A93256" w14:textId="77777777" w:rsidR="00253CE5" w:rsidRPr="006D41D8" w:rsidRDefault="00253CE5" w:rsidP="00253CE5">
            <w:pPr>
              <w:pStyle w:val="TableText"/>
              <w:keepNext/>
              <w:keepLines/>
            </w:pPr>
            <w:r w:rsidRPr="006D41D8">
              <w:t>Green Hill</w:t>
            </w:r>
          </w:p>
          <w:p w14:paraId="0FFCE9A2" w14:textId="77777777" w:rsidR="00253CE5" w:rsidRPr="006D41D8" w:rsidRDefault="00253CE5" w:rsidP="00253CE5">
            <w:pPr>
              <w:pStyle w:val="TableText"/>
              <w:keepNext/>
              <w:keepLines/>
            </w:pPr>
            <w:r w:rsidRPr="006D41D8">
              <w:t>(n=</w:t>
            </w:r>
            <w:r w:rsidR="00656010">
              <w:t>45</w:t>
            </w:r>
            <w:r w:rsidRPr="006D41D8">
              <w:t>)</w:t>
            </w:r>
          </w:p>
        </w:tc>
        <w:tc>
          <w:tcPr>
            <w:tcW w:w="810" w:type="dxa"/>
            <w:vAlign w:val="center"/>
          </w:tcPr>
          <w:p w14:paraId="749B9DE7"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3.2%</w:t>
            </w:r>
          </w:p>
        </w:tc>
        <w:tc>
          <w:tcPr>
            <w:tcW w:w="901" w:type="dxa"/>
            <w:vAlign w:val="center"/>
          </w:tcPr>
          <w:p w14:paraId="11058DA6"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1.9%</w:t>
            </w:r>
          </w:p>
        </w:tc>
        <w:tc>
          <w:tcPr>
            <w:tcW w:w="984" w:type="dxa"/>
            <w:vAlign w:val="center"/>
          </w:tcPr>
          <w:p w14:paraId="1D17CDFB"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3.0%</w:t>
            </w:r>
          </w:p>
        </w:tc>
        <w:tc>
          <w:tcPr>
            <w:tcW w:w="1112" w:type="dxa"/>
            <w:vAlign w:val="center"/>
          </w:tcPr>
          <w:p w14:paraId="3545E443"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3.0%</w:t>
            </w:r>
          </w:p>
        </w:tc>
        <w:tc>
          <w:tcPr>
            <w:tcW w:w="884" w:type="dxa"/>
            <w:vAlign w:val="center"/>
          </w:tcPr>
          <w:p w14:paraId="55529C28"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3.5%</w:t>
            </w:r>
          </w:p>
        </w:tc>
        <w:tc>
          <w:tcPr>
            <w:tcW w:w="1032" w:type="dxa"/>
            <w:vAlign w:val="center"/>
          </w:tcPr>
          <w:p w14:paraId="5D3D7EC0"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35.7%</w:t>
            </w:r>
          </w:p>
        </w:tc>
        <w:tc>
          <w:tcPr>
            <w:tcW w:w="910" w:type="dxa"/>
            <w:vAlign w:val="center"/>
          </w:tcPr>
          <w:p w14:paraId="1B346BE3"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41.0%</w:t>
            </w:r>
          </w:p>
        </w:tc>
        <w:tc>
          <w:tcPr>
            <w:tcW w:w="924" w:type="dxa"/>
            <w:vAlign w:val="center"/>
          </w:tcPr>
          <w:p w14:paraId="451B98AA"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7.9%</w:t>
            </w:r>
          </w:p>
        </w:tc>
        <w:tc>
          <w:tcPr>
            <w:tcW w:w="925" w:type="dxa"/>
            <w:vAlign w:val="center"/>
          </w:tcPr>
          <w:p w14:paraId="4EBC8A3F"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.6%</w:t>
            </w:r>
          </w:p>
        </w:tc>
      </w:tr>
      <w:tr w:rsidR="00253CE5" w:rsidRPr="006D41D8" w14:paraId="23342B81" w14:textId="77777777" w:rsidTr="00893B80">
        <w:tc>
          <w:tcPr>
            <w:tcW w:w="1080" w:type="dxa"/>
            <w:vAlign w:val="center"/>
          </w:tcPr>
          <w:p w14:paraId="3E21AAF9" w14:textId="77777777" w:rsidR="00253CE5" w:rsidRPr="006D41D8" w:rsidRDefault="00253CE5" w:rsidP="00253CE5">
            <w:pPr>
              <w:pStyle w:val="TableText"/>
              <w:keepNext/>
              <w:keepLines/>
            </w:pPr>
            <w:r w:rsidRPr="006D41D8">
              <w:t>Naselle</w:t>
            </w:r>
          </w:p>
          <w:p w14:paraId="2CA8D9F1" w14:textId="77777777" w:rsidR="00253CE5" w:rsidRPr="006D41D8" w:rsidRDefault="00253CE5" w:rsidP="00253CE5">
            <w:pPr>
              <w:pStyle w:val="TableText"/>
              <w:keepNext/>
              <w:keepLines/>
            </w:pPr>
            <w:r w:rsidRPr="006D41D8">
              <w:t>(n=22)</w:t>
            </w:r>
          </w:p>
        </w:tc>
        <w:tc>
          <w:tcPr>
            <w:tcW w:w="810" w:type="dxa"/>
            <w:vAlign w:val="center"/>
          </w:tcPr>
          <w:p w14:paraId="64BDB0F7"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4.3%</w:t>
            </w:r>
          </w:p>
        </w:tc>
        <w:tc>
          <w:tcPr>
            <w:tcW w:w="901" w:type="dxa"/>
            <w:vAlign w:val="center"/>
          </w:tcPr>
          <w:p w14:paraId="5C3AD955"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.9%</w:t>
            </w:r>
          </w:p>
        </w:tc>
        <w:tc>
          <w:tcPr>
            <w:tcW w:w="984" w:type="dxa"/>
            <w:vAlign w:val="center"/>
          </w:tcPr>
          <w:p w14:paraId="58B07768"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2.8%</w:t>
            </w:r>
          </w:p>
        </w:tc>
        <w:tc>
          <w:tcPr>
            <w:tcW w:w="1112" w:type="dxa"/>
            <w:vAlign w:val="center"/>
          </w:tcPr>
          <w:p w14:paraId="04E1AF58"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2.5%</w:t>
            </w:r>
          </w:p>
        </w:tc>
        <w:tc>
          <w:tcPr>
            <w:tcW w:w="884" w:type="dxa"/>
            <w:vAlign w:val="center"/>
          </w:tcPr>
          <w:p w14:paraId="61107F49"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5.8%</w:t>
            </w:r>
          </w:p>
        </w:tc>
        <w:tc>
          <w:tcPr>
            <w:tcW w:w="1032" w:type="dxa"/>
            <w:vAlign w:val="center"/>
          </w:tcPr>
          <w:p w14:paraId="50EFF5D3"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33.3%</w:t>
            </w:r>
          </w:p>
        </w:tc>
        <w:tc>
          <w:tcPr>
            <w:tcW w:w="910" w:type="dxa"/>
            <w:vAlign w:val="center"/>
          </w:tcPr>
          <w:p w14:paraId="20B6857B"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40.5%</w:t>
            </w:r>
          </w:p>
        </w:tc>
        <w:tc>
          <w:tcPr>
            <w:tcW w:w="924" w:type="dxa"/>
            <w:vAlign w:val="center"/>
          </w:tcPr>
          <w:p w14:paraId="152B93C2"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8.8%</w:t>
            </w:r>
          </w:p>
        </w:tc>
        <w:tc>
          <w:tcPr>
            <w:tcW w:w="925" w:type="dxa"/>
            <w:vAlign w:val="center"/>
          </w:tcPr>
          <w:p w14:paraId="43D0254F"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1.1%</w:t>
            </w:r>
          </w:p>
        </w:tc>
      </w:tr>
      <w:tr w:rsidR="00253CE5" w:rsidRPr="006D41D8" w14:paraId="3033AB48" w14:textId="77777777" w:rsidTr="00893B80">
        <w:trPr>
          <w:cnfStyle w:val="000000100000" w:firstRow="0" w:lastRow="0" w:firstColumn="0" w:lastColumn="0" w:oddVBand="0" w:evenVBand="0" w:oddHBand="1" w:evenHBand="0" w:firstRowFirstColumn="0" w:firstRowLastColumn="0" w:lastRowFirstColumn="0" w:lastRowLastColumn="0"/>
        </w:trPr>
        <w:tc>
          <w:tcPr>
            <w:tcW w:w="1080" w:type="dxa"/>
            <w:vAlign w:val="center"/>
          </w:tcPr>
          <w:p w14:paraId="2375CB9B" w14:textId="77777777" w:rsidR="00253CE5" w:rsidRPr="006D41D8" w:rsidRDefault="00253CE5" w:rsidP="00253CE5">
            <w:pPr>
              <w:pStyle w:val="TableText"/>
              <w:keepNext/>
              <w:keepLines/>
            </w:pPr>
            <w:r w:rsidRPr="006D41D8">
              <w:t>C</w:t>
            </w:r>
            <w:r w:rsidR="00A11DF6">
              <w:t>ommunity Facilities</w:t>
            </w:r>
          </w:p>
          <w:p w14:paraId="7910C7AE" w14:textId="77777777" w:rsidR="00253CE5" w:rsidRPr="006D41D8" w:rsidRDefault="00253CE5" w:rsidP="00253CE5">
            <w:pPr>
              <w:pStyle w:val="TableText"/>
              <w:keepNext/>
              <w:keepLines/>
            </w:pPr>
            <w:r w:rsidRPr="00656010">
              <w:t>(n=</w:t>
            </w:r>
            <w:r w:rsidR="00656010" w:rsidRPr="00656010">
              <w:t>25</w:t>
            </w:r>
            <w:r w:rsidRPr="00656010">
              <w:t>)</w:t>
            </w:r>
          </w:p>
        </w:tc>
        <w:tc>
          <w:tcPr>
            <w:tcW w:w="810" w:type="dxa"/>
            <w:vAlign w:val="center"/>
          </w:tcPr>
          <w:p w14:paraId="13C95E44"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4.8%</w:t>
            </w:r>
          </w:p>
        </w:tc>
        <w:tc>
          <w:tcPr>
            <w:tcW w:w="901" w:type="dxa"/>
            <w:vAlign w:val="center"/>
          </w:tcPr>
          <w:p w14:paraId="2F321A84"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2.7%</w:t>
            </w:r>
          </w:p>
        </w:tc>
        <w:tc>
          <w:tcPr>
            <w:tcW w:w="984" w:type="dxa"/>
            <w:vAlign w:val="center"/>
          </w:tcPr>
          <w:p w14:paraId="302FFC31"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9.5%</w:t>
            </w:r>
          </w:p>
        </w:tc>
        <w:tc>
          <w:tcPr>
            <w:tcW w:w="1112" w:type="dxa"/>
            <w:vAlign w:val="center"/>
          </w:tcPr>
          <w:p w14:paraId="3BEAAD28"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6.4%</w:t>
            </w:r>
          </w:p>
        </w:tc>
        <w:tc>
          <w:tcPr>
            <w:tcW w:w="884" w:type="dxa"/>
            <w:vAlign w:val="center"/>
          </w:tcPr>
          <w:p w14:paraId="3501AAB4"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6.0%</w:t>
            </w:r>
          </w:p>
        </w:tc>
        <w:tc>
          <w:tcPr>
            <w:tcW w:w="1032" w:type="dxa"/>
            <w:vAlign w:val="center"/>
          </w:tcPr>
          <w:p w14:paraId="1BFE86B2"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23.7%</w:t>
            </w:r>
          </w:p>
        </w:tc>
        <w:tc>
          <w:tcPr>
            <w:tcW w:w="910" w:type="dxa"/>
            <w:vAlign w:val="center"/>
          </w:tcPr>
          <w:p w14:paraId="0E822333"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24.4%</w:t>
            </w:r>
          </w:p>
        </w:tc>
        <w:tc>
          <w:tcPr>
            <w:tcW w:w="924" w:type="dxa"/>
            <w:vAlign w:val="center"/>
          </w:tcPr>
          <w:p w14:paraId="318D0869"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12.3%</w:t>
            </w:r>
          </w:p>
        </w:tc>
        <w:tc>
          <w:tcPr>
            <w:tcW w:w="925" w:type="dxa"/>
            <w:vAlign w:val="center"/>
          </w:tcPr>
          <w:p w14:paraId="0A88766B" w14:textId="77777777" w:rsidR="00253CE5" w:rsidRPr="006D41D8" w:rsidRDefault="00253CE5" w:rsidP="00253CE5">
            <w:pPr>
              <w:keepNext/>
              <w:keepLines/>
              <w:spacing w:before="40" w:after="40"/>
              <w:jc w:val="center"/>
              <w:rPr>
                <w:rFonts w:ascii="Arial Narrow" w:hAnsi="Arial Narrow"/>
                <w:sz w:val="20"/>
                <w:szCs w:val="20"/>
              </w:rPr>
            </w:pPr>
            <w:r>
              <w:rPr>
                <w:rFonts w:ascii="Arial Narrow" w:hAnsi="Arial Narrow"/>
                <w:sz w:val="20"/>
                <w:szCs w:val="20"/>
              </w:rPr>
              <w:t>10.2%</w:t>
            </w:r>
          </w:p>
        </w:tc>
      </w:tr>
    </w:tbl>
    <w:p w14:paraId="493EBCC7" w14:textId="77777777" w:rsidR="00211F6A" w:rsidRDefault="00211F6A" w:rsidP="00211F6A">
      <w:pPr>
        <w:rPr>
          <w:rFonts w:eastAsia="Times New Roman"/>
          <w:color w:val="000000"/>
          <w:bdr w:val="none" w:sz="0" w:space="0" w:color="auto" w:frame="1"/>
        </w:rPr>
      </w:pPr>
      <w:r>
        <w:rPr>
          <w:rFonts w:eastAsia="Times New Roman"/>
          <w:color w:val="000000"/>
          <w:bdr w:val="none" w:sz="0" w:space="0" w:color="auto" w:frame="1"/>
        </w:rPr>
        <w:t>For purposes of analysis</w:t>
      </w:r>
      <w:r w:rsidR="00C926CD">
        <w:rPr>
          <w:rFonts w:eastAsia="Times New Roman"/>
          <w:color w:val="000000"/>
          <w:bdr w:val="none" w:sz="0" w:space="0" w:color="auto" w:frame="1"/>
        </w:rPr>
        <w:t>,</w:t>
      </w:r>
      <w:r>
        <w:rPr>
          <w:rFonts w:eastAsia="Times New Roman"/>
          <w:color w:val="000000"/>
          <w:bdr w:val="none" w:sz="0" w:space="0" w:color="auto" w:frame="1"/>
        </w:rPr>
        <w:t xml:space="preserve"> we grouped the nine categories into three overarching areas of work:</w:t>
      </w:r>
    </w:p>
    <w:p w14:paraId="06DCED0C" w14:textId="77777777" w:rsidR="00211F6A" w:rsidRDefault="00211F6A" w:rsidP="00211F6A">
      <w:pPr>
        <w:pStyle w:val="ListBullet"/>
      </w:pPr>
      <w:r>
        <w:t>Direct case management</w:t>
      </w:r>
      <w:r w:rsidR="00C926CD">
        <w:t>,</w:t>
      </w:r>
      <w:r>
        <w:t xml:space="preserve"> </w:t>
      </w:r>
      <w:r w:rsidR="00C926CD">
        <w:t>including</w:t>
      </w:r>
      <w:r>
        <w:t>:</w:t>
      </w:r>
    </w:p>
    <w:p w14:paraId="647E9529" w14:textId="77777777" w:rsidR="00211F6A" w:rsidRDefault="00211F6A" w:rsidP="00211F6A">
      <w:pPr>
        <w:pStyle w:val="ListBullet2"/>
      </w:pPr>
      <w:r>
        <w:t>Individual cou</w:t>
      </w:r>
      <w:r w:rsidR="00C926CD">
        <w:t>nseling</w:t>
      </w:r>
      <w:r w:rsidR="00A11DF6">
        <w:t>;</w:t>
      </w:r>
    </w:p>
    <w:p w14:paraId="672D41C0" w14:textId="77777777" w:rsidR="00211F6A" w:rsidRDefault="00211F6A" w:rsidP="00211F6A">
      <w:pPr>
        <w:pStyle w:val="ListBullet2"/>
      </w:pPr>
      <w:r>
        <w:t>Group counseling sessions or activities</w:t>
      </w:r>
      <w:r w:rsidR="00C926CD">
        <w:t>,</w:t>
      </w:r>
      <w:r>
        <w:t xml:space="preserve"> as part of the </w:t>
      </w:r>
      <w:r w:rsidR="00AF70EE">
        <w:t>Rehabilitation Model</w:t>
      </w:r>
      <w:r w:rsidR="00A11DF6">
        <w:t>;</w:t>
      </w:r>
      <w:r w:rsidR="009D3ED2">
        <w:t xml:space="preserve"> and</w:t>
      </w:r>
      <w:r w:rsidR="00732333">
        <w:t xml:space="preserve"> </w:t>
      </w:r>
    </w:p>
    <w:p w14:paraId="4E404641" w14:textId="77777777" w:rsidR="00211F6A" w:rsidRDefault="00211F6A" w:rsidP="00211F6A">
      <w:pPr>
        <w:pStyle w:val="ListBullet2"/>
      </w:pPr>
      <w:r>
        <w:t>Case man</w:t>
      </w:r>
      <w:r w:rsidR="00C926CD">
        <w:t>agement services to support ree</w:t>
      </w:r>
      <w:r>
        <w:t>ntry of youth on caseload</w:t>
      </w:r>
      <w:r w:rsidR="009D3ED2">
        <w:t>.</w:t>
      </w:r>
    </w:p>
    <w:p w14:paraId="12D40DD9" w14:textId="77777777" w:rsidR="00211F6A" w:rsidRDefault="00211F6A" w:rsidP="009F3A8B">
      <w:pPr>
        <w:pStyle w:val="ListBullet"/>
        <w:keepNext/>
      </w:pPr>
      <w:r>
        <w:t>Case Documentation</w:t>
      </w:r>
      <w:r w:rsidR="00C926CD">
        <w:t>, including</w:t>
      </w:r>
      <w:r>
        <w:t>:</w:t>
      </w:r>
    </w:p>
    <w:p w14:paraId="6C23F653" w14:textId="77777777" w:rsidR="00211F6A" w:rsidRDefault="00675F84" w:rsidP="009F3A8B">
      <w:pPr>
        <w:pStyle w:val="ListBullet2"/>
        <w:keepNext/>
      </w:pPr>
      <w:r>
        <w:t>Documenting</w:t>
      </w:r>
      <w:r w:rsidR="00211F6A">
        <w:t xml:space="preserve"> work in A</w:t>
      </w:r>
      <w:r w:rsidR="009D3ED2">
        <w:t>utomated Client Tracking (ACT) system</w:t>
      </w:r>
      <w:r w:rsidR="00211F6A">
        <w:t xml:space="preserve"> or other IT systems</w:t>
      </w:r>
      <w:r w:rsidR="009D3ED2">
        <w:t>; and</w:t>
      </w:r>
    </w:p>
    <w:p w14:paraId="3AADCCB5" w14:textId="77777777" w:rsidR="00211F6A" w:rsidRDefault="00211F6A" w:rsidP="00211F6A">
      <w:pPr>
        <w:pStyle w:val="ListBullet2"/>
      </w:pPr>
      <w:r>
        <w:t>Doing paperwork</w:t>
      </w:r>
      <w:r w:rsidR="009D3ED2">
        <w:t>.</w:t>
      </w:r>
    </w:p>
    <w:p w14:paraId="38930DA7" w14:textId="77777777" w:rsidR="00211F6A" w:rsidRDefault="00211F6A" w:rsidP="00211F6A">
      <w:pPr>
        <w:pStyle w:val="ListBullet"/>
      </w:pPr>
      <w:r>
        <w:t>Floor supervision and custodial duties</w:t>
      </w:r>
      <w:r w:rsidR="00675F84">
        <w:t>, including</w:t>
      </w:r>
      <w:r>
        <w:t>:</w:t>
      </w:r>
    </w:p>
    <w:p w14:paraId="7C7F8799" w14:textId="77777777" w:rsidR="00211F6A" w:rsidRDefault="00211F6A" w:rsidP="00211F6A">
      <w:pPr>
        <w:pStyle w:val="ListBullet2"/>
      </w:pPr>
      <w:r>
        <w:t>On-site milieu management and supervision</w:t>
      </w:r>
      <w:r w:rsidR="009D3ED2">
        <w:t>;</w:t>
      </w:r>
    </w:p>
    <w:p w14:paraId="4381E0CF" w14:textId="77777777" w:rsidR="00211F6A" w:rsidRDefault="001411B0" w:rsidP="00211F6A">
      <w:pPr>
        <w:pStyle w:val="ListBullet2"/>
      </w:pPr>
      <w:r>
        <w:t>Security</w:t>
      </w:r>
      <w:r w:rsidR="00211F6A">
        <w:t>-related services</w:t>
      </w:r>
      <w:r w:rsidR="009D3ED2">
        <w:t>;</w:t>
      </w:r>
    </w:p>
    <w:p w14:paraId="689A3226" w14:textId="77777777" w:rsidR="00211F6A" w:rsidRDefault="001411B0" w:rsidP="00211F6A">
      <w:pPr>
        <w:pStyle w:val="ListBullet2"/>
      </w:pPr>
      <w:r>
        <w:t>Provision and monitoring of</w:t>
      </w:r>
      <w:r w:rsidR="00211F6A">
        <w:t xml:space="preserve"> recreation activities</w:t>
      </w:r>
      <w:r w:rsidR="009D3ED2">
        <w:t>;</w:t>
      </w:r>
      <w:r w:rsidR="00732333">
        <w:t xml:space="preserve"> and</w:t>
      </w:r>
    </w:p>
    <w:p w14:paraId="7E82CA8C" w14:textId="77777777" w:rsidR="00211F6A" w:rsidRDefault="00211F6A" w:rsidP="00732333">
      <w:pPr>
        <w:pStyle w:val="ListBullet2"/>
        <w:spacing w:after="120"/>
        <w:contextualSpacing w:val="0"/>
      </w:pPr>
      <w:r>
        <w:t>Provi</w:t>
      </w:r>
      <w:r w:rsidR="00710A1D">
        <w:t>sion of</w:t>
      </w:r>
      <w:r>
        <w:t xml:space="preserve"> off-campus transports</w:t>
      </w:r>
      <w:r w:rsidR="00732333">
        <w:t>.</w:t>
      </w:r>
    </w:p>
    <w:p w14:paraId="7AA14887" w14:textId="77777777" w:rsidR="00F02753" w:rsidRDefault="00A43D69" w:rsidP="00741BE1">
      <w:r w:rsidRPr="009F3A8B">
        <w:t>E</w:t>
      </w:r>
      <w:r w:rsidR="00002759" w:rsidRPr="009F3A8B">
        <w:t xml:space="preserve">xhibit </w:t>
      </w:r>
      <w:r w:rsidR="00DD4F6B">
        <w:t>5</w:t>
      </w:r>
      <w:r w:rsidR="00AE63DD" w:rsidRPr="009F3A8B">
        <w:t>-5</w:t>
      </w:r>
      <w:r w:rsidR="00002759" w:rsidRPr="009F3A8B">
        <w:t xml:space="preserve"> summarizes </w:t>
      </w:r>
      <w:r w:rsidR="006760A5">
        <w:t>JRRC</w:t>
      </w:r>
      <w:r w:rsidR="006760A5" w:rsidRPr="009F3A8B">
        <w:t xml:space="preserve"> </w:t>
      </w:r>
      <w:r w:rsidR="00002759" w:rsidRPr="009F3A8B">
        <w:t>and JRCA responses about how they spend their time</w:t>
      </w:r>
      <w:r w:rsidR="006D41D8" w:rsidRPr="009F3A8B">
        <w:t>, expressed as the percentage of time they spend on all activities</w:t>
      </w:r>
      <w:r w:rsidR="004C75A6" w:rsidRPr="009F3A8B">
        <w:t>.</w:t>
      </w:r>
      <w:r w:rsidR="004C75A6">
        <w:t xml:space="preserve"> </w:t>
      </w:r>
    </w:p>
    <w:p w14:paraId="186863FF" w14:textId="77777777" w:rsidR="006A437D" w:rsidRPr="00715B04" w:rsidRDefault="00AE63DD" w:rsidP="00A43D69">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5</w:t>
      </w:r>
      <w:r w:rsidR="00710F1C">
        <w:rPr>
          <w:noProof/>
        </w:rPr>
        <w:fldChar w:fldCharType="end"/>
      </w:r>
      <w:r w:rsidR="00E251C1">
        <w:t>.</w:t>
      </w:r>
      <w:r w:rsidR="00715B04">
        <w:t xml:space="preserve"> </w:t>
      </w:r>
      <w:r w:rsidR="001E461A" w:rsidRPr="001E461A">
        <w:t>JRRC and JRCA Time</w:t>
      </w:r>
      <w:r w:rsidR="00E64142">
        <w:t xml:space="preserve"> Allocated</w:t>
      </w:r>
      <w:r w:rsidR="001E461A" w:rsidRPr="001E461A">
        <w:t xml:space="preserve"> to Daily Work Activities</w:t>
      </w:r>
      <w:r w:rsidR="00E64142">
        <w:t>,</w:t>
      </w:r>
      <w:r w:rsidR="001E461A" w:rsidRPr="001E461A">
        <w:t xml:space="preserve"> </w:t>
      </w:r>
      <w:r w:rsidR="00F67C78">
        <w:t>Combined by Category</w:t>
      </w:r>
    </w:p>
    <w:tbl>
      <w:tblPr>
        <w:tblStyle w:val="HyzerTable1"/>
        <w:tblW w:w="0" w:type="auto"/>
        <w:tblLook w:val="04A0" w:firstRow="1" w:lastRow="0" w:firstColumn="1" w:lastColumn="0" w:noHBand="0" w:noVBand="1"/>
      </w:tblPr>
      <w:tblGrid>
        <w:gridCol w:w="2245"/>
        <w:gridCol w:w="2371"/>
        <w:gridCol w:w="2375"/>
        <w:gridCol w:w="2369"/>
      </w:tblGrid>
      <w:tr w:rsidR="006A437D" w14:paraId="6D538EC3" w14:textId="77777777" w:rsidTr="001F55E6">
        <w:trPr>
          <w:cnfStyle w:val="100000000000" w:firstRow="1" w:lastRow="0" w:firstColumn="0" w:lastColumn="0" w:oddVBand="0" w:evenVBand="0" w:oddHBand="0" w:evenHBand="0" w:firstRowFirstColumn="0" w:firstRowLastColumn="0" w:lastRowFirstColumn="0" w:lastRowLastColumn="0"/>
          <w:tblHeader/>
        </w:trPr>
        <w:tc>
          <w:tcPr>
            <w:tcW w:w="2272" w:type="dxa"/>
          </w:tcPr>
          <w:p w14:paraId="77D0F856" w14:textId="77777777" w:rsidR="006A437D" w:rsidRPr="006D41D8" w:rsidRDefault="006A437D" w:rsidP="00A43D69">
            <w:pPr>
              <w:pStyle w:val="tableheaderwhite"/>
              <w:keepNext/>
              <w:spacing w:before="20" w:after="20"/>
              <w:rPr>
                <w:sz w:val="22"/>
              </w:rPr>
            </w:pPr>
            <w:r w:rsidRPr="1FF1B213">
              <w:rPr>
                <w:sz w:val="22"/>
                <w:szCs w:val="22"/>
              </w:rPr>
              <w:t>Facility</w:t>
            </w:r>
          </w:p>
        </w:tc>
        <w:tc>
          <w:tcPr>
            <w:tcW w:w="2394" w:type="dxa"/>
          </w:tcPr>
          <w:p w14:paraId="26D3FF1E" w14:textId="77777777" w:rsidR="006A437D" w:rsidRPr="006D41D8" w:rsidRDefault="006A437D" w:rsidP="00A43D69">
            <w:pPr>
              <w:pStyle w:val="tableheaderwhite"/>
              <w:keepNext/>
              <w:spacing w:before="20" w:after="20"/>
              <w:rPr>
                <w:sz w:val="22"/>
              </w:rPr>
            </w:pPr>
            <w:r w:rsidRPr="1FF1B213">
              <w:rPr>
                <w:sz w:val="22"/>
                <w:szCs w:val="22"/>
              </w:rPr>
              <w:t>Direct Case Management – Percentage of Total Hours Reported</w:t>
            </w:r>
          </w:p>
        </w:tc>
        <w:tc>
          <w:tcPr>
            <w:tcW w:w="2394" w:type="dxa"/>
          </w:tcPr>
          <w:p w14:paraId="2DEEEFC0" w14:textId="77777777" w:rsidR="006A437D" w:rsidRPr="006D41D8" w:rsidRDefault="006A437D" w:rsidP="00A43D69">
            <w:pPr>
              <w:pStyle w:val="tableheaderwhite"/>
              <w:keepNext/>
              <w:spacing w:before="20" w:after="20"/>
              <w:rPr>
                <w:sz w:val="22"/>
              </w:rPr>
            </w:pPr>
            <w:r w:rsidRPr="1FF1B213">
              <w:rPr>
                <w:sz w:val="22"/>
                <w:szCs w:val="22"/>
              </w:rPr>
              <w:t>Case Documentation – Percentage of Total Hours Reported</w:t>
            </w:r>
          </w:p>
        </w:tc>
        <w:tc>
          <w:tcPr>
            <w:tcW w:w="2394" w:type="dxa"/>
          </w:tcPr>
          <w:p w14:paraId="42706806" w14:textId="77777777" w:rsidR="006A437D" w:rsidRPr="006D41D8" w:rsidRDefault="006A437D" w:rsidP="00A43D69">
            <w:pPr>
              <w:pStyle w:val="tableheaderwhite"/>
              <w:keepNext/>
              <w:spacing w:before="20" w:after="20"/>
              <w:rPr>
                <w:sz w:val="22"/>
              </w:rPr>
            </w:pPr>
            <w:r w:rsidRPr="1FF1B213">
              <w:rPr>
                <w:sz w:val="22"/>
                <w:szCs w:val="22"/>
              </w:rPr>
              <w:t>Floor Supervision and Custodial Duties – Percentage of Total Hours Reported</w:t>
            </w:r>
          </w:p>
        </w:tc>
      </w:tr>
      <w:tr w:rsidR="006A437D" w14:paraId="17EE1337" w14:textId="77777777" w:rsidTr="002941AC">
        <w:trPr>
          <w:cnfStyle w:val="000000100000" w:firstRow="0" w:lastRow="0" w:firstColumn="0" w:lastColumn="0" w:oddVBand="0" w:evenVBand="0" w:oddHBand="1" w:evenHBand="0" w:firstRowFirstColumn="0" w:firstRowLastColumn="0" w:lastRowFirstColumn="0" w:lastRowLastColumn="0"/>
        </w:trPr>
        <w:tc>
          <w:tcPr>
            <w:tcW w:w="2272" w:type="dxa"/>
            <w:shd w:val="clear" w:color="auto" w:fill="A6A6A6" w:themeFill="background1" w:themeFillShade="A6"/>
          </w:tcPr>
          <w:p w14:paraId="3998ADDA" w14:textId="77777777" w:rsidR="006A437D" w:rsidRPr="006D41D8" w:rsidRDefault="006A437D" w:rsidP="00A43D69">
            <w:pPr>
              <w:pStyle w:val="TableText"/>
              <w:keepNext/>
              <w:rPr>
                <w:b/>
              </w:rPr>
            </w:pPr>
            <w:r w:rsidRPr="006D41D8">
              <w:rPr>
                <w:b/>
              </w:rPr>
              <w:t>JR Total</w:t>
            </w:r>
          </w:p>
        </w:tc>
        <w:tc>
          <w:tcPr>
            <w:tcW w:w="2394" w:type="dxa"/>
            <w:shd w:val="clear" w:color="auto" w:fill="A6A6A6" w:themeFill="background1" w:themeFillShade="A6"/>
            <w:vAlign w:val="center"/>
          </w:tcPr>
          <w:p w14:paraId="315243F6" w14:textId="77777777" w:rsidR="006A437D" w:rsidRPr="006D41D8" w:rsidRDefault="003D2E68" w:rsidP="00A43D69">
            <w:pPr>
              <w:pStyle w:val="TableText"/>
              <w:keepNext/>
              <w:jc w:val="center"/>
              <w:rPr>
                <w:b/>
              </w:rPr>
            </w:pPr>
            <w:r>
              <w:rPr>
                <w:b/>
              </w:rPr>
              <w:t>12.9</w:t>
            </w:r>
            <w:r w:rsidR="006A437D" w:rsidRPr="006D41D8">
              <w:rPr>
                <w:b/>
              </w:rPr>
              <w:t>%</w:t>
            </w:r>
          </w:p>
        </w:tc>
        <w:tc>
          <w:tcPr>
            <w:tcW w:w="2394" w:type="dxa"/>
            <w:shd w:val="clear" w:color="auto" w:fill="A6A6A6" w:themeFill="background1" w:themeFillShade="A6"/>
            <w:vAlign w:val="center"/>
          </w:tcPr>
          <w:p w14:paraId="3C05FDF3" w14:textId="77777777" w:rsidR="006A437D" w:rsidRPr="006D41D8" w:rsidRDefault="006A437D" w:rsidP="00A43D69">
            <w:pPr>
              <w:pStyle w:val="TableText"/>
              <w:keepNext/>
              <w:jc w:val="center"/>
              <w:rPr>
                <w:b/>
              </w:rPr>
            </w:pPr>
            <w:r w:rsidRPr="006D41D8">
              <w:rPr>
                <w:b/>
              </w:rPr>
              <w:t>9.3%</w:t>
            </w:r>
          </w:p>
        </w:tc>
        <w:tc>
          <w:tcPr>
            <w:tcW w:w="2394" w:type="dxa"/>
            <w:shd w:val="clear" w:color="auto" w:fill="A6A6A6" w:themeFill="background1" w:themeFillShade="A6"/>
            <w:vAlign w:val="center"/>
          </w:tcPr>
          <w:p w14:paraId="4CEC14FD" w14:textId="77777777" w:rsidR="006A437D" w:rsidRPr="006D41D8" w:rsidRDefault="006A437D" w:rsidP="00A43D69">
            <w:pPr>
              <w:pStyle w:val="TableText"/>
              <w:keepNext/>
              <w:jc w:val="center"/>
              <w:rPr>
                <w:b/>
              </w:rPr>
            </w:pPr>
            <w:r w:rsidRPr="006D41D8">
              <w:rPr>
                <w:b/>
              </w:rPr>
              <w:t>77.8%</w:t>
            </w:r>
          </w:p>
        </w:tc>
      </w:tr>
      <w:tr w:rsidR="006A437D" w14:paraId="1C081E71" w14:textId="77777777" w:rsidTr="002941AC">
        <w:tc>
          <w:tcPr>
            <w:tcW w:w="2272" w:type="dxa"/>
          </w:tcPr>
          <w:p w14:paraId="2363EEA3" w14:textId="77777777" w:rsidR="006A437D" w:rsidRDefault="006A437D" w:rsidP="006A437D">
            <w:pPr>
              <w:pStyle w:val="TableText"/>
            </w:pPr>
            <w:r w:rsidRPr="009E4FDE">
              <w:t>Echo Glen</w:t>
            </w:r>
          </w:p>
        </w:tc>
        <w:tc>
          <w:tcPr>
            <w:tcW w:w="2394" w:type="dxa"/>
            <w:vAlign w:val="center"/>
          </w:tcPr>
          <w:p w14:paraId="4BC6ABE5" w14:textId="77777777" w:rsidR="006A437D" w:rsidRDefault="003D2E68" w:rsidP="003D2E68">
            <w:pPr>
              <w:pStyle w:val="TableText"/>
              <w:jc w:val="center"/>
            </w:pPr>
            <w:r>
              <w:t>19.8</w:t>
            </w:r>
            <w:r w:rsidR="006A437D" w:rsidRPr="009E4FDE">
              <w:t>%</w:t>
            </w:r>
          </w:p>
        </w:tc>
        <w:tc>
          <w:tcPr>
            <w:tcW w:w="2394" w:type="dxa"/>
            <w:vAlign w:val="center"/>
          </w:tcPr>
          <w:p w14:paraId="1FBD5160" w14:textId="77777777" w:rsidR="006A437D" w:rsidRDefault="003D2E68" w:rsidP="006A437D">
            <w:pPr>
              <w:pStyle w:val="TableText"/>
              <w:jc w:val="center"/>
            </w:pPr>
            <w:r>
              <w:t>10.0</w:t>
            </w:r>
            <w:r w:rsidR="006A437D" w:rsidRPr="009E4FDE">
              <w:t>%</w:t>
            </w:r>
          </w:p>
        </w:tc>
        <w:tc>
          <w:tcPr>
            <w:tcW w:w="2394" w:type="dxa"/>
            <w:vAlign w:val="center"/>
          </w:tcPr>
          <w:p w14:paraId="3CE799E8" w14:textId="77777777" w:rsidR="006A437D" w:rsidRDefault="003D2E68" w:rsidP="006A437D">
            <w:pPr>
              <w:pStyle w:val="TableText"/>
              <w:jc w:val="center"/>
            </w:pPr>
            <w:r>
              <w:t>70.2</w:t>
            </w:r>
            <w:r w:rsidR="006A437D" w:rsidRPr="009E4FDE">
              <w:t>%</w:t>
            </w:r>
          </w:p>
        </w:tc>
      </w:tr>
      <w:tr w:rsidR="006A437D" w14:paraId="5496546A" w14:textId="77777777" w:rsidTr="002941AC">
        <w:trPr>
          <w:cnfStyle w:val="000000100000" w:firstRow="0" w:lastRow="0" w:firstColumn="0" w:lastColumn="0" w:oddVBand="0" w:evenVBand="0" w:oddHBand="1" w:evenHBand="0" w:firstRowFirstColumn="0" w:firstRowLastColumn="0" w:lastRowFirstColumn="0" w:lastRowLastColumn="0"/>
        </w:trPr>
        <w:tc>
          <w:tcPr>
            <w:tcW w:w="2272" w:type="dxa"/>
          </w:tcPr>
          <w:p w14:paraId="7E84A1A0" w14:textId="77777777" w:rsidR="006A437D" w:rsidRDefault="006A437D" w:rsidP="006A437D">
            <w:pPr>
              <w:pStyle w:val="TableText"/>
            </w:pPr>
            <w:r w:rsidRPr="009E4FDE">
              <w:lastRenderedPageBreak/>
              <w:t>Green Hill</w:t>
            </w:r>
          </w:p>
        </w:tc>
        <w:tc>
          <w:tcPr>
            <w:tcW w:w="2394" w:type="dxa"/>
            <w:vAlign w:val="center"/>
          </w:tcPr>
          <w:p w14:paraId="41396964" w14:textId="77777777" w:rsidR="006A437D" w:rsidRDefault="003D2E68" w:rsidP="006A437D">
            <w:pPr>
              <w:pStyle w:val="TableText"/>
              <w:jc w:val="center"/>
            </w:pPr>
            <w:r>
              <w:t>8.1</w:t>
            </w:r>
            <w:r w:rsidR="006A437D" w:rsidRPr="009E4FDE">
              <w:t>%</w:t>
            </w:r>
          </w:p>
        </w:tc>
        <w:tc>
          <w:tcPr>
            <w:tcW w:w="2394" w:type="dxa"/>
            <w:vAlign w:val="center"/>
          </w:tcPr>
          <w:p w14:paraId="528CFB51" w14:textId="77777777" w:rsidR="006A437D" w:rsidRDefault="006A437D" w:rsidP="006A437D">
            <w:pPr>
              <w:pStyle w:val="TableText"/>
              <w:jc w:val="center"/>
            </w:pPr>
            <w:r w:rsidRPr="009E4FDE">
              <w:t>6.5%</w:t>
            </w:r>
          </w:p>
        </w:tc>
        <w:tc>
          <w:tcPr>
            <w:tcW w:w="2394" w:type="dxa"/>
            <w:vAlign w:val="center"/>
          </w:tcPr>
          <w:p w14:paraId="0592320A" w14:textId="77777777" w:rsidR="006A437D" w:rsidRDefault="003D2E68" w:rsidP="006A437D">
            <w:pPr>
              <w:pStyle w:val="TableText"/>
              <w:jc w:val="center"/>
            </w:pPr>
            <w:r>
              <w:t>85.2</w:t>
            </w:r>
            <w:r w:rsidR="006A437D" w:rsidRPr="009E4FDE">
              <w:t>%</w:t>
            </w:r>
          </w:p>
        </w:tc>
      </w:tr>
      <w:tr w:rsidR="006A437D" w14:paraId="2FA266C8" w14:textId="77777777" w:rsidTr="002941AC">
        <w:tc>
          <w:tcPr>
            <w:tcW w:w="2272" w:type="dxa"/>
          </w:tcPr>
          <w:p w14:paraId="26315BD9" w14:textId="77777777" w:rsidR="006A437D" w:rsidRDefault="006A437D" w:rsidP="006A437D">
            <w:pPr>
              <w:pStyle w:val="TableText"/>
            </w:pPr>
            <w:r w:rsidRPr="009E4FDE">
              <w:t>Naselle</w:t>
            </w:r>
          </w:p>
        </w:tc>
        <w:tc>
          <w:tcPr>
            <w:tcW w:w="2394" w:type="dxa"/>
            <w:vAlign w:val="center"/>
          </w:tcPr>
          <w:p w14:paraId="4E9D588A" w14:textId="77777777" w:rsidR="006A437D" w:rsidRDefault="003D2E68" w:rsidP="006A437D">
            <w:pPr>
              <w:pStyle w:val="TableText"/>
              <w:jc w:val="center"/>
            </w:pPr>
            <w:r>
              <w:t>8.0</w:t>
            </w:r>
            <w:r w:rsidR="006A437D" w:rsidRPr="009E4FDE">
              <w:t>%</w:t>
            </w:r>
          </w:p>
        </w:tc>
        <w:tc>
          <w:tcPr>
            <w:tcW w:w="2394" w:type="dxa"/>
            <w:vAlign w:val="center"/>
          </w:tcPr>
          <w:p w14:paraId="055A95A1" w14:textId="77777777" w:rsidR="006A437D" w:rsidRDefault="006A437D" w:rsidP="006A437D">
            <w:pPr>
              <w:pStyle w:val="TableText"/>
              <w:jc w:val="center"/>
            </w:pPr>
            <w:r w:rsidRPr="009E4FDE">
              <w:t>8.3%</w:t>
            </w:r>
          </w:p>
        </w:tc>
        <w:tc>
          <w:tcPr>
            <w:tcW w:w="2394" w:type="dxa"/>
            <w:vAlign w:val="center"/>
          </w:tcPr>
          <w:p w14:paraId="7F2AFFC0" w14:textId="77777777" w:rsidR="006A437D" w:rsidRDefault="006A437D" w:rsidP="006A437D">
            <w:pPr>
              <w:pStyle w:val="TableText"/>
              <w:jc w:val="center"/>
            </w:pPr>
            <w:r w:rsidRPr="009E4FDE">
              <w:t>83.7%</w:t>
            </w:r>
          </w:p>
        </w:tc>
      </w:tr>
      <w:tr w:rsidR="006A437D" w14:paraId="5F4E6958" w14:textId="77777777" w:rsidTr="002941AC">
        <w:trPr>
          <w:cnfStyle w:val="000000100000" w:firstRow="0" w:lastRow="0" w:firstColumn="0" w:lastColumn="0" w:oddVBand="0" w:evenVBand="0" w:oddHBand="1" w:evenHBand="0" w:firstRowFirstColumn="0" w:firstRowLastColumn="0" w:lastRowFirstColumn="0" w:lastRowLastColumn="0"/>
        </w:trPr>
        <w:tc>
          <w:tcPr>
            <w:tcW w:w="2272" w:type="dxa"/>
          </w:tcPr>
          <w:p w14:paraId="044DCE37" w14:textId="77777777" w:rsidR="006A437D" w:rsidRDefault="009F3A8B" w:rsidP="006A437D">
            <w:pPr>
              <w:pStyle w:val="TableText"/>
            </w:pPr>
            <w:r>
              <w:t xml:space="preserve">Community Facilities </w:t>
            </w:r>
          </w:p>
        </w:tc>
        <w:tc>
          <w:tcPr>
            <w:tcW w:w="2394" w:type="dxa"/>
            <w:vAlign w:val="center"/>
          </w:tcPr>
          <w:p w14:paraId="37ECD95D" w14:textId="77777777" w:rsidR="006A437D" w:rsidRDefault="006A437D" w:rsidP="006A437D">
            <w:pPr>
              <w:pStyle w:val="TableText"/>
              <w:jc w:val="center"/>
            </w:pPr>
            <w:r w:rsidRPr="009E4FDE">
              <w:t>17</w:t>
            </w:r>
            <w:r w:rsidR="003D2E68">
              <w:t>.0</w:t>
            </w:r>
            <w:r w:rsidRPr="009E4FDE">
              <w:t>%</w:t>
            </w:r>
          </w:p>
        </w:tc>
        <w:tc>
          <w:tcPr>
            <w:tcW w:w="2394" w:type="dxa"/>
            <w:vAlign w:val="center"/>
          </w:tcPr>
          <w:p w14:paraId="145BA645" w14:textId="77777777" w:rsidR="006A437D" w:rsidRDefault="003D2E68" w:rsidP="006A437D">
            <w:pPr>
              <w:pStyle w:val="TableText"/>
              <w:jc w:val="center"/>
            </w:pPr>
            <w:r>
              <w:t>12.4</w:t>
            </w:r>
            <w:r w:rsidR="006A437D" w:rsidRPr="009E4FDE">
              <w:t>%</w:t>
            </w:r>
          </w:p>
        </w:tc>
        <w:tc>
          <w:tcPr>
            <w:tcW w:w="2394" w:type="dxa"/>
            <w:vAlign w:val="center"/>
          </w:tcPr>
          <w:p w14:paraId="1B06649C" w14:textId="77777777" w:rsidR="006A437D" w:rsidRDefault="006A437D" w:rsidP="006A437D">
            <w:pPr>
              <w:pStyle w:val="TableText"/>
              <w:jc w:val="center"/>
            </w:pPr>
            <w:r w:rsidRPr="009E4FDE">
              <w:t>70.6 %</w:t>
            </w:r>
          </w:p>
        </w:tc>
      </w:tr>
    </w:tbl>
    <w:p w14:paraId="5E2C4968" w14:textId="77777777" w:rsidR="001E732F" w:rsidRPr="00715B04" w:rsidRDefault="00715B04" w:rsidP="006D41D8">
      <w:pPr>
        <w:spacing w:before="60" w:after="60"/>
      </w:pPr>
      <w:r>
        <w:t>Data from the staff survey confirm the finding</w:t>
      </w:r>
      <w:r w:rsidR="001D7106">
        <w:t>s</w:t>
      </w:r>
      <w:r>
        <w:t xml:space="preserve"> from </w:t>
      </w:r>
      <w:r w:rsidR="0043764A">
        <w:t>interviews with c</w:t>
      </w:r>
      <w:r>
        <w:t xml:space="preserve">ounselors </w:t>
      </w:r>
      <w:r w:rsidR="0043764A">
        <w:t xml:space="preserve">who indicated they </w:t>
      </w:r>
      <w:r w:rsidR="009F3A8B">
        <w:t xml:space="preserve">spend </w:t>
      </w:r>
      <w:r>
        <w:t xml:space="preserve">most of their time providing floor </w:t>
      </w:r>
      <w:r w:rsidR="001D7106">
        <w:t>supervision</w:t>
      </w:r>
      <w:r>
        <w:t>, safety and security</w:t>
      </w:r>
      <w:r w:rsidR="001D7106">
        <w:t>, transports, and</w:t>
      </w:r>
      <w:r>
        <w:t xml:space="preserve"> custodial care. </w:t>
      </w:r>
      <w:r w:rsidR="001D7106">
        <w:t>Through the staff survey we found</w:t>
      </w:r>
      <w:r w:rsidR="00AA003C">
        <w:t>,</w:t>
      </w:r>
      <w:r w:rsidR="001D7106">
        <w:t xml:space="preserve"> </w:t>
      </w:r>
      <w:r w:rsidR="00AA003C">
        <w:t xml:space="preserve">on </w:t>
      </w:r>
      <w:r w:rsidR="00EB5782">
        <w:t>average across</w:t>
      </w:r>
      <w:r w:rsidR="001D7106">
        <w:t xml:space="preserve"> all facilities, counselors </w:t>
      </w:r>
      <w:r w:rsidR="009F3A8B">
        <w:t xml:space="preserve">spend </w:t>
      </w:r>
      <w:r w:rsidR="001D7106">
        <w:t>more than three-quarters of their time</w:t>
      </w:r>
      <w:r w:rsidR="0043764A">
        <w:t xml:space="preserve"> (77.8%)</w:t>
      </w:r>
      <w:r w:rsidR="00F67C78">
        <w:t xml:space="preserve"> on these responsibilities</w:t>
      </w:r>
      <w:r w:rsidR="00EB5782">
        <w:t>,</w:t>
      </w:r>
      <w:r w:rsidR="00F67C78">
        <w:t xml:space="preserve"> which equates to 31 hours of a 4</w:t>
      </w:r>
      <w:r w:rsidR="00EB5782">
        <w:t>0</w:t>
      </w:r>
      <w:r w:rsidR="00F67C78">
        <w:t>-hour workweek.</w:t>
      </w:r>
      <w:r w:rsidR="0043764A">
        <w:t xml:space="preserve"> </w:t>
      </w:r>
      <w:r w:rsidR="009D586B">
        <w:t>Counselors</w:t>
      </w:r>
      <w:r w:rsidR="0043764A">
        <w:t xml:space="preserve"> at Green Hill are spending </w:t>
      </w:r>
      <w:r w:rsidR="009D586B">
        <w:t>the highest amount of their time (85.3%) on floor supervision and custodial duties. Counselors at Echo Glen are spending</w:t>
      </w:r>
      <w:r w:rsidR="00F67C78">
        <w:t xml:space="preserve"> less </w:t>
      </w:r>
      <w:r w:rsidR="00EB5782">
        <w:t xml:space="preserve">time </w:t>
      </w:r>
      <w:r w:rsidR="00F67C78">
        <w:t xml:space="preserve">than the other </w:t>
      </w:r>
      <w:r w:rsidR="00EB5782">
        <w:t>f</w:t>
      </w:r>
      <w:r w:rsidR="00F67C78">
        <w:t>acilities</w:t>
      </w:r>
      <w:r w:rsidR="009D586B">
        <w:t xml:space="preserve"> on floor supervisi</w:t>
      </w:r>
      <w:r w:rsidR="009D3ED2">
        <w:t>on and custodial duties (70.2</w:t>
      </w:r>
      <w:r w:rsidR="00EB5782">
        <w:t>%), yet</w:t>
      </w:r>
      <w:r w:rsidR="00F67C78">
        <w:t xml:space="preserve"> the percentage of </w:t>
      </w:r>
      <w:r w:rsidR="00EB5782">
        <w:t>staff time is still high</w:t>
      </w:r>
      <w:r w:rsidR="00F67C78">
        <w:t>.</w:t>
      </w:r>
    </w:p>
    <w:p w14:paraId="6408FEF5" w14:textId="77777777" w:rsidR="001D6D03" w:rsidRPr="006D41D8" w:rsidRDefault="001D6D03" w:rsidP="001D6D03">
      <w:pPr>
        <w:framePr w:w="3168" w:hSpace="72" w:vSpace="72" w:wrap="around" w:vAnchor="text" w:hAnchor="page" w:x="7413" w:y="694"/>
        <w:pBdr>
          <w:top w:val="single" w:sz="4" w:space="1" w:color="0046AC"/>
          <w:left w:val="single" w:sz="36" w:space="4" w:color="0046AC"/>
          <w:bottom w:val="single" w:sz="4" w:space="1" w:color="0046AC"/>
          <w:right w:val="single" w:sz="4" w:space="4" w:color="0046AC"/>
        </w:pBdr>
        <w:shd w:val="clear" w:color="auto" w:fill="E2E2E2"/>
        <w:spacing w:before="40" w:after="40"/>
        <w:rPr>
          <w:rFonts w:ascii="Arial Narrow" w:hAnsi="Arial Narrow"/>
          <w:b/>
          <w:color w:val="0046AC"/>
          <w:sz w:val="18"/>
        </w:rPr>
      </w:pPr>
      <w:r w:rsidRPr="006D41D8">
        <w:rPr>
          <w:rFonts w:ascii="Arial Narrow" w:hAnsi="Arial Narrow"/>
          <w:b/>
          <w:color w:val="0046AC"/>
          <w:sz w:val="18"/>
        </w:rPr>
        <w:t xml:space="preserve"> “I often only have 15 minutes here and there to do one-on-one counseling.”</w:t>
      </w:r>
    </w:p>
    <w:p w14:paraId="4829F796" w14:textId="77777777" w:rsidR="001D6D03" w:rsidRPr="006D41D8" w:rsidRDefault="001E3988" w:rsidP="001D6D03">
      <w:pPr>
        <w:framePr w:w="3168" w:hSpace="72" w:vSpace="72" w:wrap="around" w:vAnchor="text" w:hAnchor="page" w:x="7413" w:y="694"/>
        <w:pBdr>
          <w:top w:val="single" w:sz="4" w:space="1" w:color="0046AC"/>
          <w:left w:val="single" w:sz="36" w:space="4" w:color="0046AC"/>
          <w:bottom w:val="single" w:sz="4" w:space="1" w:color="0046AC"/>
          <w:right w:val="single" w:sz="4" w:space="4" w:color="0046AC"/>
        </w:pBdr>
        <w:shd w:val="clear" w:color="auto" w:fill="E2E2E2"/>
        <w:spacing w:before="40" w:after="40"/>
        <w:jc w:val="right"/>
        <w:rPr>
          <w:rFonts w:ascii="Arial Narrow" w:hAnsi="Arial Narrow"/>
          <w:b/>
          <w:color w:val="0046AC"/>
          <w:sz w:val="18"/>
        </w:rPr>
      </w:pPr>
      <w:r>
        <w:rPr>
          <w:rFonts w:ascii="Arial Narrow" w:hAnsi="Arial Narrow"/>
          <w:b/>
          <w:color w:val="0046AC"/>
          <w:sz w:val="18"/>
        </w:rPr>
        <w:t>—Counselor</w:t>
      </w:r>
    </w:p>
    <w:p w14:paraId="0D0C15A1" w14:textId="77777777" w:rsidR="005202CA" w:rsidRPr="005202CA" w:rsidRDefault="009D586B" w:rsidP="006D41D8">
      <w:pPr>
        <w:spacing w:before="60" w:after="60"/>
      </w:pPr>
      <w:r w:rsidRPr="006D41D8">
        <w:t xml:space="preserve">In interviews, staff indicated </w:t>
      </w:r>
      <w:r w:rsidR="0097799D">
        <w:t>requirements for</w:t>
      </w:r>
      <w:r w:rsidRPr="006D41D8">
        <w:t xml:space="preserve"> </w:t>
      </w:r>
      <w:r w:rsidR="0097799D">
        <w:t>one-on-one counseling</w:t>
      </w:r>
      <w:r w:rsidRPr="006D41D8">
        <w:t xml:space="preserve"> with youth </w:t>
      </w:r>
      <w:r w:rsidR="0097799D">
        <w:t>(</w:t>
      </w:r>
      <w:r w:rsidRPr="006D41D8">
        <w:t xml:space="preserve">a minimum of </w:t>
      </w:r>
      <w:r w:rsidR="0097799D">
        <w:t xml:space="preserve">one hour per </w:t>
      </w:r>
      <w:r w:rsidRPr="006D41D8">
        <w:t>week</w:t>
      </w:r>
      <w:r w:rsidR="0097799D">
        <w:t>)</w:t>
      </w:r>
      <w:r w:rsidRPr="006D41D8">
        <w:t xml:space="preserve"> and other coun</w:t>
      </w:r>
      <w:r w:rsidR="0097799D">
        <w:t>seling-</w:t>
      </w:r>
      <w:r w:rsidR="00F67C78">
        <w:t>type services are</w:t>
      </w:r>
      <w:r w:rsidRPr="006D41D8">
        <w:t xml:space="preserve"> often unmet. The time counselors have with the youth on their caseloads is compromised given the ongoing challenges of</w:t>
      </w:r>
      <w:r w:rsidR="005202CA">
        <w:t xml:space="preserve"> having to spend most of their time on</w:t>
      </w:r>
      <w:r w:rsidRPr="006D41D8">
        <w:t xml:space="preserve"> </w:t>
      </w:r>
      <w:r>
        <w:t>floor supervision</w:t>
      </w:r>
      <w:r w:rsidR="005202CA">
        <w:t>, custodial duties, supervision of youth movements on campus at the institutions</w:t>
      </w:r>
      <w:r w:rsidR="009F3A8B">
        <w:t>,</w:t>
      </w:r>
      <w:r w:rsidR="004736C7">
        <w:rPr>
          <w:rStyle w:val="FootnoteReference"/>
        </w:rPr>
        <w:footnoteReference w:id="66"/>
      </w:r>
      <w:r w:rsidR="005202CA">
        <w:t xml:space="preserve"> and transports off campus for youth in the community facilities</w:t>
      </w:r>
      <w:r>
        <w:t>.</w:t>
      </w:r>
      <w:r w:rsidRPr="006D41D8">
        <w:t xml:space="preserve"> </w:t>
      </w:r>
      <w:r w:rsidR="00C778D0">
        <w:t>Even</w:t>
      </w:r>
      <w:r w:rsidRPr="006D41D8">
        <w:t xml:space="preserve"> when counselors are on the floor, </w:t>
      </w:r>
      <w:r w:rsidR="009F3A8B">
        <w:t xml:space="preserve">there are instances when they </w:t>
      </w:r>
      <w:r w:rsidR="006760A5">
        <w:t xml:space="preserve">are </w:t>
      </w:r>
      <w:r w:rsidRPr="006D41D8">
        <w:t xml:space="preserve">alone with </w:t>
      </w:r>
      <w:r w:rsidR="00C778D0">
        <w:t>eight</w:t>
      </w:r>
      <w:r w:rsidRPr="006D41D8">
        <w:t xml:space="preserve"> or more youth. This does not allow them to do the </w:t>
      </w:r>
      <w:r w:rsidR="00BA5056">
        <w:t xml:space="preserve">on-the-floor </w:t>
      </w:r>
      <w:r w:rsidR="00A25339">
        <w:t xml:space="preserve">behavior </w:t>
      </w:r>
      <w:r w:rsidRPr="006D41D8">
        <w:t>reinforcement and skill</w:t>
      </w:r>
      <w:r w:rsidR="009D3ED2">
        <w:t>s</w:t>
      </w:r>
      <w:r w:rsidRPr="006D41D8">
        <w:t xml:space="preserve"> coaching </w:t>
      </w:r>
      <w:r w:rsidR="00A25339">
        <w:t xml:space="preserve">the </w:t>
      </w:r>
      <w:r w:rsidR="00AF70EE">
        <w:t>Rehabilitation Model</w:t>
      </w:r>
      <w:r w:rsidR="00A25339">
        <w:t xml:space="preserve"> requires</w:t>
      </w:r>
      <w:r w:rsidR="00F67C78">
        <w:t xml:space="preserve">. </w:t>
      </w:r>
      <w:r w:rsidRPr="006D41D8">
        <w:t xml:space="preserve">These findings are consistent with the issues identified in a </w:t>
      </w:r>
      <w:r w:rsidR="005D560D">
        <w:t xml:space="preserve">residential </w:t>
      </w:r>
      <w:r w:rsidRPr="006D41D8">
        <w:t>staffing model report completed in 2004.</w:t>
      </w:r>
      <w:r w:rsidRPr="006D41D8">
        <w:rPr>
          <w:vertAlign w:val="superscript"/>
        </w:rPr>
        <w:footnoteReference w:id="67"/>
      </w:r>
    </w:p>
    <w:p w14:paraId="23A676B0" w14:textId="77777777" w:rsidR="00827B94" w:rsidRDefault="006D41D8" w:rsidP="009D586B">
      <w:pPr>
        <w:spacing w:before="60" w:after="60"/>
      </w:pPr>
      <w:r w:rsidRPr="00706AA7">
        <w:t>One of the key iss</w:t>
      </w:r>
      <w:r w:rsidR="009D586B" w:rsidRPr="00706AA7">
        <w:t xml:space="preserve">ues </w:t>
      </w:r>
      <w:r w:rsidR="001D6D03" w:rsidRPr="00706AA7">
        <w:t xml:space="preserve">raised </w:t>
      </w:r>
      <w:r w:rsidR="009D586B" w:rsidRPr="00706AA7">
        <w:t>across JR is</w:t>
      </w:r>
      <w:r w:rsidR="006760A5" w:rsidRPr="00706AA7">
        <w:t xml:space="preserve"> </w:t>
      </w:r>
      <w:r w:rsidR="009D586B" w:rsidRPr="00706AA7">
        <w:t>counselors</w:t>
      </w:r>
      <w:r w:rsidRPr="00706AA7">
        <w:t xml:space="preserve"> </w:t>
      </w:r>
      <w:r w:rsidR="009F3A8B">
        <w:t xml:space="preserve">do not spend </w:t>
      </w:r>
      <w:r w:rsidRPr="00706AA7">
        <w:t xml:space="preserve">enough time providing treatment and case management to meet the </w:t>
      </w:r>
      <w:r w:rsidR="009D586B" w:rsidRPr="00706AA7">
        <w:t>D</w:t>
      </w:r>
      <w:r w:rsidR="009D3ED2">
        <w:t xml:space="preserve">ialectical </w:t>
      </w:r>
      <w:r w:rsidR="00893B80">
        <w:t xml:space="preserve">Behavior </w:t>
      </w:r>
      <w:r w:rsidR="009D3ED2">
        <w:t>Treatment (DB</w:t>
      </w:r>
      <w:r w:rsidR="009D586B" w:rsidRPr="00706AA7">
        <w:t>T</w:t>
      </w:r>
      <w:r w:rsidR="009D3ED2">
        <w:t>)</w:t>
      </w:r>
      <w:r w:rsidR="001D6D03" w:rsidRPr="00706AA7">
        <w:t xml:space="preserve"> standards </w:t>
      </w:r>
      <w:r w:rsidR="000E569C">
        <w:t>or</w:t>
      </w:r>
      <w:r w:rsidR="001D6D03" w:rsidRPr="00706AA7">
        <w:t xml:space="preserve"> </w:t>
      </w:r>
      <w:r w:rsidR="00F67C78">
        <w:t>additional case management</w:t>
      </w:r>
      <w:r w:rsidR="002C0AE2" w:rsidRPr="00706AA7">
        <w:t xml:space="preserve"> to </w:t>
      </w:r>
      <w:r w:rsidR="001D6D03" w:rsidRPr="00706AA7">
        <w:t xml:space="preserve">support the full </w:t>
      </w:r>
      <w:r w:rsidR="001E3988" w:rsidRPr="00706AA7">
        <w:t>implementation</w:t>
      </w:r>
      <w:r w:rsidR="001D6D03" w:rsidRPr="00706AA7">
        <w:t xml:space="preserve"> of the </w:t>
      </w:r>
      <w:r w:rsidR="00AF70EE">
        <w:t>Rehabilitation Model</w:t>
      </w:r>
      <w:r w:rsidR="001D6D03" w:rsidRPr="00706AA7">
        <w:t xml:space="preserve"> components</w:t>
      </w:r>
      <w:r w:rsidRPr="00706AA7">
        <w:t>.</w:t>
      </w:r>
      <w:r w:rsidR="001E3988" w:rsidRPr="00706AA7">
        <w:t xml:space="preserve"> According to the staff survey, acro</w:t>
      </w:r>
      <w:r w:rsidR="00F67C78">
        <w:t xml:space="preserve">ss JR, counselors </w:t>
      </w:r>
      <w:r w:rsidR="009F3A8B">
        <w:t xml:space="preserve">spend </w:t>
      </w:r>
      <w:r w:rsidR="00F67C78">
        <w:t>12</w:t>
      </w:r>
      <w:r w:rsidR="001E3988" w:rsidRPr="00706AA7">
        <w:t>.</w:t>
      </w:r>
      <w:r w:rsidR="00F67C78">
        <w:t>9</w:t>
      </w:r>
      <w:r w:rsidR="009F3A8B">
        <w:t xml:space="preserve">% </w:t>
      </w:r>
      <w:r w:rsidR="00F67C78">
        <w:t xml:space="preserve">of their time or </w:t>
      </w:r>
      <w:r w:rsidR="003142CA">
        <w:t xml:space="preserve">five </w:t>
      </w:r>
      <w:r w:rsidR="001E3988" w:rsidRPr="00706AA7">
        <w:t xml:space="preserve">hours per </w:t>
      </w:r>
      <w:r w:rsidR="002C0AE2" w:rsidRPr="00706AA7">
        <w:t xml:space="preserve">week (assuming a 40-hour </w:t>
      </w:r>
      <w:r w:rsidR="003C05D5" w:rsidRPr="00706AA7">
        <w:t>work</w:t>
      </w:r>
      <w:r w:rsidR="009F3A8B">
        <w:t xml:space="preserve"> </w:t>
      </w:r>
      <w:r w:rsidR="003C05D5" w:rsidRPr="00706AA7">
        <w:t>week</w:t>
      </w:r>
      <w:r w:rsidR="00D71B58">
        <w:t>)</w:t>
      </w:r>
      <w:r w:rsidR="003142CA">
        <w:t xml:space="preserve"> on these activities</w:t>
      </w:r>
      <w:r w:rsidR="001E3988" w:rsidRPr="00706AA7">
        <w:t>.</w:t>
      </w:r>
      <w:r w:rsidRPr="00706AA7">
        <w:t xml:space="preserve"> </w:t>
      </w:r>
      <w:r w:rsidR="001E3988" w:rsidRPr="00706AA7">
        <w:t xml:space="preserve">In some facilities, the time spent on treatment and case management is much </w:t>
      </w:r>
      <w:r w:rsidR="00F67C78">
        <w:t>l</w:t>
      </w:r>
      <w:r w:rsidR="003142CA">
        <w:t>ess</w:t>
      </w:r>
      <w:r w:rsidR="002C0AE2" w:rsidRPr="00706AA7">
        <w:t xml:space="preserve">. </w:t>
      </w:r>
      <w:r w:rsidR="001E3988" w:rsidRPr="00706AA7">
        <w:t>The percentage of time spent on treatment and case managemen</w:t>
      </w:r>
      <w:r w:rsidR="00F67C78">
        <w:t>t ranges from a high of 19.8</w:t>
      </w:r>
      <w:r w:rsidR="009F3A8B">
        <w:t xml:space="preserve">% </w:t>
      </w:r>
      <w:r w:rsidR="00F67C78">
        <w:t>(7.9</w:t>
      </w:r>
      <w:r w:rsidR="002C0AE2" w:rsidRPr="00706AA7">
        <w:t xml:space="preserve"> hours in a 40-hour work week)</w:t>
      </w:r>
      <w:r w:rsidR="00F67C78">
        <w:t xml:space="preserve"> at Echo Glen to a low of 8.0</w:t>
      </w:r>
      <w:r w:rsidR="009F3A8B">
        <w:t xml:space="preserve">% </w:t>
      </w:r>
      <w:r w:rsidR="00F67C78">
        <w:t xml:space="preserve">(3.2 </w:t>
      </w:r>
      <w:r w:rsidR="002C0AE2" w:rsidRPr="00706AA7">
        <w:t xml:space="preserve">hours </w:t>
      </w:r>
      <w:r w:rsidR="003142CA">
        <w:t>in</w:t>
      </w:r>
      <w:r w:rsidR="002C0AE2" w:rsidRPr="00706AA7">
        <w:t xml:space="preserve"> a 40-hour work week)</w:t>
      </w:r>
      <w:r w:rsidR="001E3988" w:rsidRPr="00706AA7">
        <w:t xml:space="preserve"> at Green Hill. </w:t>
      </w:r>
      <w:r w:rsidR="009F3A8B">
        <w:t xml:space="preserve">Assuming </w:t>
      </w:r>
      <w:r w:rsidR="002C0AE2" w:rsidRPr="00706AA7">
        <w:t>the</w:t>
      </w:r>
      <w:r w:rsidR="001E732F" w:rsidRPr="00706AA7">
        <w:t xml:space="preserve"> </w:t>
      </w:r>
      <w:r w:rsidR="001E732F" w:rsidRPr="00706AA7">
        <w:rPr>
          <w:i/>
        </w:rPr>
        <w:t>minimum</w:t>
      </w:r>
      <w:r w:rsidR="001E732F" w:rsidRPr="00706AA7">
        <w:t xml:space="preserve"> </w:t>
      </w:r>
      <w:r w:rsidR="009D586B" w:rsidRPr="00A43D69">
        <w:t xml:space="preserve">time required to implement </w:t>
      </w:r>
      <w:r w:rsidR="002C0AE2" w:rsidRPr="00A43D69">
        <w:t xml:space="preserve">just </w:t>
      </w:r>
      <w:r w:rsidR="009D586B" w:rsidRPr="00A43D69">
        <w:t xml:space="preserve">the </w:t>
      </w:r>
      <w:r w:rsidR="001E732F" w:rsidRPr="00A43D69">
        <w:t>DBT</w:t>
      </w:r>
      <w:r w:rsidR="00D71B58" w:rsidRPr="00A43D69">
        <w:t xml:space="preserve"> </w:t>
      </w:r>
      <w:r w:rsidR="00E01C37">
        <w:t xml:space="preserve">requirements </w:t>
      </w:r>
      <w:r w:rsidR="00D71B58" w:rsidRPr="00A43D69">
        <w:t xml:space="preserve">and conduct </w:t>
      </w:r>
      <w:r w:rsidR="00E01C37">
        <w:t xml:space="preserve">eight </w:t>
      </w:r>
      <w:r w:rsidR="00D71B58" w:rsidRPr="00A43D69">
        <w:t xml:space="preserve">hours </w:t>
      </w:r>
      <w:r w:rsidR="009F3A8B">
        <w:t xml:space="preserve">per </w:t>
      </w:r>
      <w:r w:rsidR="00D71B58" w:rsidRPr="00A43D69">
        <w:t>week of case</w:t>
      </w:r>
      <w:r w:rsidR="00A43D69">
        <w:t xml:space="preserve"> </w:t>
      </w:r>
      <w:r w:rsidR="00D71B58" w:rsidRPr="00A43D69">
        <w:t>management</w:t>
      </w:r>
      <w:r w:rsidR="001E732F" w:rsidRPr="00A43D69">
        <w:t xml:space="preserve"> </w:t>
      </w:r>
      <w:r w:rsidR="001D6D03" w:rsidRPr="00A43D69">
        <w:t>r</w:t>
      </w:r>
      <w:r w:rsidR="009D586B" w:rsidRPr="00A43D69">
        <w:t>equires</w:t>
      </w:r>
      <w:r w:rsidR="00D71B58" w:rsidRPr="00A43D69">
        <w:t xml:space="preserve"> a total</w:t>
      </w:r>
      <w:r w:rsidR="00F67C78" w:rsidRPr="00A43D69">
        <w:t xml:space="preserve"> 17</w:t>
      </w:r>
      <w:r w:rsidR="001E732F" w:rsidRPr="00A43D69">
        <w:t xml:space="preserve"> hours</w:t>
      </w:r>
      <w:r w:rsidR="002C0AE2" w:rsidRPr="00A43D69">
        <w:t xml:space="preserve"> per</w:t>
      </w:r>
      <w:r w:rsidR="00706AA7" w:rsidRPr="00A43D69">
        <w:t xml:space="preserve"> week </w:t>
      </w:r>
      <w:r w:rsidR="00AE63DD" w:rsidRPr="009F3A8B">
        <w:t>(</w:t>
      </w:r>
      <w:r w:rsidR="00B1359B">
        <w:t>s</w:t>
      </w:r>
      <w:r w:rsidR="00AE63DD" w:rsidRPr="009F3A8B">
        <w:t xml:space="preserve">ee Exhibit </w:t>
      </w:r>
      <w:r w:rsidR="00DD4F6B">
        <w:t>5</w:t>
      </w:r>
      <w:r w:rsidR="00AE63DD" w:rsidRPr="009F3A8B">
        <w:t>-6</w:t>
      </w:r>
      <w:r w:rsidR="00706AA7" w:rsidRPr="00A43D69">
        <w:t>),</w:t>
      </w:r>
      <w:r w:rsidR="002C0AE2" w:rsidRPr="00A43D69">
        <w:t xml:space="preserve"> it becomes clear </w:t>
      </w:r>
      <w:r w:rsidR="00706AA7" w:rsidRPr="00A43D69">
        <w:t xml:space="preserve">as to why </w:t>
      </w:r>
      <w:r w:rsidR="009F3A8B">
        <w:t xml:space="preserve">JR cannot maintain </w:t>
      </w:r>
      <w:r w:rsidR="00706AA7" w:rsidRPr="00A43D69">
        <w:t xml:space="preserve">fidelity to </w:t>
      </w:r>
      <w:r w:rsidR="00AA003C">
        <w:t>all the components of the</w:t>
      </w:r>
      <w:r w:rsidR="00706AA7" w:rsidRPr="00A43D69">
        <w:t xml:space="preserve"> </w:t>
      </w:r>
      <w:r w:rsidR="00AF70EE">
        <w:t>Rehabilitation Model</w:t>
      </w:r>
      <w:r w:rsidR="00AA003C">
        <w:t>, particularly implementation of DBT</w:t>
      </w:r>
      <w:r w:rsidR="00A3786D">
        <w:t xml:space="preserve">. </w:t>
      </w:r>
      <w:r w:rsidR="009F3A8B">
        <w:t xml:space="preserve">Currently, counselors </w:t>
      </w:r>
      <w:r w:rsidR="000311A3">
        <w:t>do not have the minimum of 17 hours required for</w:t>
      </w:r>
      <w:r w:rsidR="009F3A8B">
        <w:t xml:space="preserve"> </w:t>
      </w:r>
      <w:r w:rsidR="000311A3">
        <w:t>completing</w:t>
      </w:r>
      <w:r w:rsidR="009F3A8B" w:rsidRPr="00A43D69">
        <w:t xml:space="preserve"> DBT and case management responsibilities.</w:t>
      </w:r>
    </w:p>
    <w:p w14:paraId="4424166E" w14:textId="77777777" w:rsidR="00D71B58" w:rsidRDefault="00AE63DD" w:rsidP="00D71B58">
      <w:pPr>
        <w:pStyle w:val="Caption"/>
      </w:pPr>
      <w:r>
        <w:lastRenderedPageBreak/>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6</w:t>
      </w:r>
      <w:r w:rsidR="00710F1C">
        <w:rPr>
          <w:noProof/>
        </w:rPr>
        <w:fldChar w:fldCharType="end"/>
      </w:r>
      <w:r w:rsidR="00E251C1">
        <w:t>.</w:t>
      </w:r>
      <w:r w:rsidR="003C05D5">
        <w:t xml:space="preserve"> </w:t>
      </w:r>
      <w:r w:rsidR="00D71B58">
        <w:t>Minimum Hours Required for DBT and Case Management</w:t>
      </w:r>
    </w:p>
    <w:tbl>
      <w:tblPr>
        <w:tblStyle w:val="HyzerTable"/>
        <w:tblW w:w="6930" w:type="dxa"/>
        <w:tblLayout w:type="fixed"/>
        <w:tblLook w:val="0420" w:firstRow="1" w:lastRow="0" w:firstColumn="0" w:lastColumn="0" w:noHBand="0" w:noVBand="1"/>
      </w:tblPr>
      <w:tblGrid>
        <w:gridCol w:w="3120"/>
        <w:gridCol w:w="3810"/>
      </w:tblGrid>
      <w:tr w:rsidR="00F00D32" w:rsidRPr="003C05D5" w14:paraId="0F1C86D7" w14:textId="77777777" w:rsidTr="007A51B3">
        <w:trPr>
          <w:cnfStyle w:val="100000000000" w:firstRow="1" w:lastRow="0" w:firstColumn="0" w:lastColumn="0" w:oddVBand="0" w:evenVBand="0" w:oddHBand="0" w:evenHBand="0" w:firstRowFirstColumn="0" w:firstRowLastColumn="0" w:lastRowFirstColumn="0" w:lastRowLastColumn="0"/>
          <w:tblHeader/>
        </w:trPr>
        <w:tc>
          <w:tcPr>
            <w:tcW w:w="3120" w:type="dxa"/>
          </w:tcPr>
          <w:p w14:paraId="377D414B" w14:textId="77777777" w:rsidR="00F00D32" w:rsidRPr="003C05D5" w:rsidRDefault="00D71B58" w:rsidP="009764E4">
            <w:pPr>
              <w:pStyle w:val="tableheaderwhite"/>
              <w:spacing w:before="20" w:after="20"/>
              <w:rPr>
                <w:sz w:val="22"/>
                <w:szCs w:val="22"/>
              </w:rPr>
            </w:pPr>
            <w:r w:rsidRPr="003C05D5">
              <w:rPr>
                <w:sz w:val="22"/>
                <w:szCs w:val="22"/>
              </w:rPr>
              <w:t>Standard</w:t>
            </w:r>
          </w:p>
        </w:tc>
        <w:tc>
          <w:tcPr>
            <w:tcW w:w="3810" w:type="dxa"/>
          </w:tcPr>
          <w:p w14:paraId="5B3EB116" w14:textId="77777777" w:rsidR="00F00D32" w:rsidRPr="003C05D5" w:rsidRDefault="00D71B58" w:rsidP="009764E4">
            <w:pPr>
              <w:pStyle w:val="tableheaderwhite"/>
              <w:spacing w:before="20" w:after="20"/>
              <w:rPr>
                <w:sz w:val="22"/>
                <w:szCs w:val="22"/>
              </w:rPr>
            </w:pPr>
            <w:r w:rsidRPr="003C05D5">
              <w:rPr>
                <w:sz w:val="22"/>
                <w:szCs w:val="22"/>
              </w:rPr>
              <w:t>Minimum Hours</w:t>
            </w:r>
          </w:p>
        </w:tc>
      </w:tr>
      <w:tr w:rsidR="00F00D32" w:rsidRPr="003C05D5" w14:paraId="6374785D" w14:textId="77777777" w:rsidTr="00403E99">
        <w:trPr>
          <w:cnfStyle w:val="000000100000" w:firstRow="0" w:lastRow="0" w:firstColumn="0" w:lastColumn="0" w:oddVBand="0" w:evenVBand="0" w:oddHBand="1" w:evenHBand="0" w:firstRowFirstColumn="0" w:firstRowLastColumn="0" w:lastRowFirstColumn="0" w:lastRowLastColumn="0"/>
          <w:trHeight w:val="598"/>
        </w:trPr>
        <w:tc>
          <w:tcPr>
            <w:tcW w:w="3120" w:type="dxa"/>
          </w:tcPr>
          <w:p w14:paraId="546DA485" w14:textId="77777777" w:rsidR="00F00D32" w:rsidRPr="00827B94" w:rsidRDefault="00F00D32" w:rsidP="00F00D32">
            <w:pPr>
              <w:pStyle w:val="TableText"/>
            </w:pPr>
            <w:r w:rsidRPr="00827B94">
              <w:t>DBT Standard 01</w:t>
            </w:r>
          </w:p>
          <w:p w14:paraId="0D4D67EC" w14:textId="77777777" w:rsidR="00F00D32" w:rsidRPr="00827B94" w:rsidRDefault="00F00D32" w:rsidP="00F00D32">
            <w:pPr>
              <w:pStyle w:val="TableText"/>
            </w:pPr>
            <w:r w:rsidRPr="00827B94">
              <w:t xml:space="preserve">Individual Client </w:t>
            </w:r>
          </w:p>
        </w:tc>
        <w:tc>
          <w:tcPr>
            <w:tcW w:w="3810" w:type="dxa"/>
            <w:vAlign w:val="center"/>
          </w:tcPr>
          <w:p w14:paraId="6D9887E5" w14:textId="77777777" w:rsidR="00F00D32" w:rsidRPr="00827B94" w:rsidRDefault="00F00D32" w:rsidP="00403E99">
            <w:pPr>
              <w:pStyle w:val="TableTextRight"/>
              <w:jc w:val="center"/>
            </w:pPr>
            <w:r w:rsidRPr="00827B94">
              <w:rPr>
                <w:b/>
              </w:rPr>
              <w:t>4 hours</w:t>
            </w:r>
          </w:p>
          <w:p w14:paraId="0FA2611E" w14:textId="77777777" w:rsidR="00F00D32" w:rsidRPr="00827B94" w:rsidRDefault="00F00D32" w:rsidP="00403E99">
            <w:pPr>
              <w:pStyle w:val="TableTextRight"/>
              <w:jc w:val="center"/>
              <w:rPr>
                <w:rStyle w:val="TableTextBold"/>
                <w:b w:val="0"/>
              </w:rPr>
            </w:pPr>
            <w:r w:rsidRPr="00827B94">
              <w:t>Assuming max caseload of 4</w:t>
            </w:r>
          </w:p>
        </w:tc>
      </w:tr>
      <w:tr w:rsidR="00F00D32" w:rsidRPr="003C05D5" w14:paraId="7520EDA6" w14:textId="77777777" w:rsidTr="00403E99">
        <w:tc>
          <w:tcPr>
            <w:tcW w:w="3120" w:type="dxa"/>
          </w:tcPr>
          <w:p w14:paraId="063A7808" w14:textId="77777777" w:rsidR="00F00D32" w:rsidRPr="00827B94" w:rsidRDefault="00F00D32" w:rsidP="00F00D32">
            <w:pPr>
              <w:pStyle w:val="TableBullet"/>
              <w:keepNext w:val="0"/>
              <w:numPr>
                <w:ilvl w:val="0"/>
                <w:numId w:val="0"/>
              </w:numPr>
              <w:ind w:left="130" w:hanging="130"/>
            </w:pPr>
            <w:r w:rsidRPr="00827B94">
              <w:t xml:space="preserve">DBT Standard 02 </w:t>
            </w:r>
          </w:p>
          <w:p w14:paraId="0C1B8222" w14:textId="77777777" w:rsidR="00F00D32" w:rsidRPr="00827B94" w:rsidRDefault="00F00D32" w:rsidP="00F00D32">
            <w:pPr>
              <w:pStyle w:val="TableBullet"/>
              <w:keepNext w:val="0"/>
              <w:numPr>
                <w:ilvl w:val="0"/>
                <w:numId w:val="0"/>
              </w:numPr>
              <w:ind w:left="130" w:hanging="130"/>
            </w:pPr>
            <w:r w:rsidRPr="00827B94">
              <w:t>Consultation Teams</w:t>
            </w:r>
          </w:p>
        </w:tc>
        <w:tc>
          <w:tcPr>
            <w:tcW w:w="3810" w:type="dxa"/>
            <w:vAlign w:val="center"/>
          </w:tcPr>
          <w:p w14:paraId="165C00CF" w14:textId="77777777" w:rsidR="00F00D32" w:rsidRPr="00827B94" w:rsidRDefault="00F00D32" w:rsidP="00403E99">
            <w:pPr>
              <w:pStyle w:val="TableTextRight"/>
              <w:jc w:val="center"/>
              <w:rPr>
                <w:b/>
              </w:rPr>
            </w:pPr>
            <w:r w:rsidRPr="00827B94">
              <w:rPr>
                <w:b/>
              </w:rPr>
              <w:t>2 Hours</w:t>
            </w:r>
          </w:p>
          <w:p w14:paraId="6297D05A" w14:textId="77777777" w:rsidR="00F00D32" w:rsidRPr="00827B94" w:rsidRDefault="00F00D32" w:rsidP="00403E99">
            <w:pPr>
              <w:pStyle w:val="tabletextcenter"/>
            </w:pPr>
            <w:r w:rsidRPr="00827B94">
              <w:t>Does not include one-on-one consultation between JRRC/JRCA staff and their supervisors</w:t>
            </w:r>
          </w:p>
        </w:tc>
      </w:tr>
      <w:tr w:rsidR="00F00D32" w:rsidRPr="003C05D5" w14:paraId="4E87F97D" w14:textId="77777777" w:rsidTr="00362B0E">
        <w:trPr>
          <w:cnfStyle w:val="000000100000" w:firstRow="0" w:lastRow="0" w:firstColumn="0" w:lastColumn="0" w:oddVBand="0" w:evenVBand="0" w:oddHBand="1" w:evenHBand="0" w:firstRowFirstColumn="0" w:firstRowLastColumn="0" w:lastRowFirstColumn="0" w:lastRowLastColumn="0"/>
          <w:cantSplit/>
        </w:trPr>
        <w:tc>
          <w:tcPr>
            <w:tcW w:w="3120" w:type="dxa"/>
          </w:tcPr>
          <w:p w14:paraId="0B49FB29" w14:textId="77777777" w:rsidR="00F00D32" w:rsidRPr="00827B94" w:rsidRDefault="00F00D32" w:rsidP="00F00D32">
            <w:pPr>
              <w:pStyle w:val="TableText"/>
            </w:pPr>
            <w:r w:rsidRPr="00827B94">
              <w:t xml:space="preserve">DBT Standard 03 </w:t>
            </w:r>
          </w:p>
          <w:p w14:paraId="3034FF21" w14:textId="77777777" w:rsidR="00F00D32" w:rsidRPr="00827B94" w:rsidRDefault="00F00D32" w:rsidP="00F00D32">
            <w:pPr>
              <w:pStyle w:val="TableText"/>
            </w:pPr>
            <w:r w:rsidRPr="00827B94">
              <w:t>Milieu Management</w:t>
            </w:r>
          </w:p>
        </w:tc>
        <w:tc>
          <w:tcPr>
            <w:tcW w:w="3810" w:type="dxa"/>
            <w:vAlign w:val="center"/>
          </w:tcPr>
          <w:p w14:paraId="7C2C6768" w14:textId="77777777" w:rsidR="00F00D32" w:rsidRPr="00827B94" w:rsidRDefault="00F00D32" w:rsidP="00403E99">
            <w:pPr>
              <w:pStyle w:val="TableTextBoldCentered"/>
              <w:rPr>
                <w:b w:val="0"/>
              </w:rPr>
            </w:pPr>
            <w:r w:rsidRPr="00827B94">
              <w:rPr>
                <w:b w:val="0"/>
              </w:rPr>
              <w:t>No minimum or maximum hours standards</w:t>
            </w:r>
          </w:p>
        </w:tc>
      </w:tr>
      <w:tr w:rsidR="00F00D32" w:rsidRPr="00CD1826" w14:paraId="57F782E5" w14:textId="77777777" w:rsidTr="00403E99">
        <w:tc>
          <w:tcPr>
            <w:tcW w:w="3120" w:type="dxa"/>
          </w:tcPr>
          <w:p w14:paraId="517B223A" w14:textId="77777777" w:rsidR="00F00D32" w:rsidRPr="00827B94" w:rsidRDefault="00F00D32" w:rsidP="00F00D32">
            <w:pPr>
              <w:pStyle w:val="TableText"/>
            </w:pPr>
            <w:r w:rsidRPr="00827B94">
              <w:t>DBT Standard 04</w:t>
            </w:r>
          </w:p>
          <w:p w14:paraId="7BDCE189" w14:textId="77777777" w:rsidR="00F00D32" w:rsidRPr="00827B94" w:rsidRDefault="00F00D32" w:rsidP="00F00D32">
            <w:pPr>
              <w:pStyle w:val="TableText"/>
            </w:pPr>
            <w:r w:rsidRPr="00827B94">
              <w:t>Skill Acquisition Groups</w:t>
            </w:r>
          </w:p>
        </w:tc>
        <w:tc>
          <w:tcPr>
            <w:tcW w:w="3810" w:type="dxa"/>
            <w:vAlign w:val="center"/>
          </w:tcPr>
          <w:p w14:paraId="63C53622" w14:textId="77777777" w:rsidR="00F00D32" w:rsidRPr="00827B94" w:rsidRDefault="00F00D32" w:rsidP="00403E99">
            <w:pPr>
              <w:pStyle w:val="TableTextRight"/>
              <w:jc w:val="center"/>
              <w:rPr>
                <w:b/>
              </w:rPr>
            </w:pPr>
            <w:r w:rsidRPr="00827B94">
              <w:rPr>
                <w:b/>
              </w:rPr>
              <w:t>2 Hours</w:t>
            </w:r>
          </w:p>
          <w:p w14:paraId="1FBAAFD0" w14:textId="77777777" w:rsidR="00F00D32" w:rsidRPr="00827B94" w:rsidRDefault="00F00D32" w:rsidP="00403E99">
            <w:pPr>
              <w:pStyle w:val="TableTextBoldCentered"/>
              <w:rPr>
                <w:b w:val="0"/>
              </w:rPr>
            </w:pPr>
            <w:r w:rsidRPr="00827B94">
              <w:rPr>
                <w:b w:val="0"/>
              </w:rPr>
              <w:t>Does not include preparation, debriefs with co-facilitator per requirements, or entering notes in ACT</w:t>
            </w:r>
          </w:p>
        </w:tc>
      </w:tr>
      <w:tr w:rsidR="00F00D32" w:rsidRPr="00CD1826" w14:paraId="33DCAE36" w14:textId="77777777" w:rsidTr="00403E99">
        <w:trPr>
          <w:cnfStyle w:val="000000100000" w:firstRow="0" w:lastRow="0" w:firstColumn="0" w:lastColumn="0" w:oddVBand="0" w:evenVBand="0" w:oddHBand="1" w:evenHBand="0" w:firstRowFirstColumn="0" w:firstRowLastColumn="0" w:lastRowFirstColumn="0" w:lastRowLastColumn="0"/>
        </w:trPr>
        <w:tc>
          <w:tcPr>
            <w:tcW w:w="3120" w:type="dxa"/>
          </w:tcPr>
          <w:p w14:paraId="4D657E35" w14:textId="77777777" w:rsidR="00F00D32" w:rsidRPr="00827B94" w:rsidRDefault="00F00D32" w:rsidP="00F00D32">
            <w:pPr>
              <w:pStyle w:val="TableText"/>
            </w:pPr>
            <w:r w:rsidRPr="00827B94">
              <w:t xml:space="preserve">DBT Standard 05 </w:t>
            </w:r>
          </w:p>
          <w:p w14:paraId="49A78A20" w14:textId="77777777" w:rsidR="00F00D32" w:rsidRPr="00827B94" w:rsidRDefault="00F00D32" w:rsidP="00F00D32">
            <w:pPr>
              <w:pStyle w:val="TableText"/>
            </w:pPr>
            <w:r w:rsidRPr="00827B94">
              <w:t>Skills Generalization Groups</w:t>
            </w:r>
          </w:p>
        </w:tc>
        <w:tc>
          <w:tcPr>
            <w:tcW w:w="3810" w:type="dxa"/>
            <w:vAlign w:val="center"/>
          </w:tcPr>
          <w:p w14:paraId="3B6AC36B" w14:textId="77777777" w:rsidR="00F00D32" w:rsidRPr="00827B94" w:rsidRDefault="00F00D32" w:rsidP="00403E99">
            <w:pPr>
              <w:pStyle w:val="TableTextRight"/>
              <w:jc w:val="center"/>
            </w:pPr>
            <w:r w:rsidRPr="00827B94">
              <w:rPr>
                <w:b/>
              </w:rPr>
              <w:t>1 Hour</w:t>
            </w:r>
          </w:p>
          <w:p w14:paraId="09D7B8E4" w14:textId="77777777" w:rsidR="00F00D32" w:rsidRPr="00827B94" w:rsidRDefault="0020523C" w:rsidP="00403E99">
            <w:pPr>
              <w:pStyle w:val="TableTextBoldCentered"/>
              <w:rPr>
                <w:b w:val="0"/>
              </w:rPr>
            </w:pPr>
            <w:r w:rsidRPr="00827B94">
              <w:rPr>
                <w:b w:val="0"/>
              </w:rPr>
              <w:t>Does not include</w:t>
            </w:r>
            <w:r w:rsidR="00F00D32" w:rsidRPr="00827B94">
              <w:rPr>
                <w:b w:val="0"/>
              </w:rPr>
              <w:t xml:space="preserve"> preparation or entering notes in ACT</w:t>
            </w:r>
          </w:p>
        </w:tc>
      </w:tr>
      <w:tr w:rsidR="00F00D32" w:rsidRPr="00CD1826" w14:paraId="4E01E539" w14:textId="77777777" w:rsidTr="00403E99">
        <w:tc>
          <w:tcPr>
            <w:tcW w:w="3120" w:type="dxa"/>
          </w:tcPr>
          <w:p w14:paraId="34142DFA" w14:textId="77777777" w:rsidR="00F00D32" w:rsidRPr="00827B94" w:rsidRDefault="0020523C" w:rsidP="00F00D32">
            <w:pPr>
              <w:pStyle w:val="TableText"/>
            </w:pPr>
            <w:r w:rsidRPr="00827B94">
              <w:t>Protected Time o</w:t>
            </w:r>
            <w:r w:rsidR="00F00D32" w:rsidRPr="00827B94">
              <w:t>ff the Floor</w:t>
            </w:r>
          </w:p>
        </w:tc>
        <w:tc>
          <w:tcPr>
            <w:tcW w:w="3810" w:type="dxa"/>
            <w:vAlign w:val="center"/>
          </w:tcPr>
          <w:p w14:paraId="053499EE" w14:textId="77777777" w:rsidR="00F00D32" w:rsidRPr="00827B94" w:rsidRDefault="00F00D32" w:rsidP="00403E99">
            <w:pPr>
              <w:pStyle w:val="TableTextBoldCentered"/>
            </w:pPr>
            <w:r w:rsidRPr="00827B94">
              <w:t>8 Hours</w:t>
            </w:r>
          </w:p>
        </w:tc>
      </w:tr>
      <w:tr w:rsidR="00F00D32" w:rsidRPr="00CD1826" w14:paraId="0245252F" w14:textId="77777777" w:rsidTr="00403E99">
        <w:trPr>
          <w:cnfStyle w:val="000000100000" w:firstRow="0" w:lastRow="0" w:firstColumn="0" w:lastColumn="0" w:oddVBand="0" w:evenVBand="0" w:oddHBand="1" w:evenHBand="0" w:firstRowFirstColumn="0" w:firstRowLastColumn="0" w:lastRowFirstColumn="0" w:lastRowLastColumn="0"/>
        </w:trPr>
        <w:tc>
          <w:tcPr>
            <w:tcW w:w="3120" w:type="dxa"/>
          </w:tcPr>
          <w:p w14:paraId="39C3AA87" w14:textId="77777777" w:rsidR="00F00D32" w:rsidRPr="00827B94" w:rsidRDefault="00F00D32" w:rsidP="00F00D32">
            <w:pPr>
              <w:pStyle w:val="TableText"/>
            </w:pPr>
            <w:r w:rsidRPr="00827B94">
              <w:rPr>
                <w:b/>
              </w:rPr>
              <w:t>TOTAL</w:t>
            </w:r>
          </w:p>
        </w:tc>
        <w:tc>
          <w:tcPr>
            <w:tcW w:w="3810" w:type="dxa"/>
            <w:vAlign w:val="center"/>
          </w:tcPr>
          <w:p w14:paraId="2271C952" w14:textId="77777777" w:rsidR="00F00D32" w:rsidRPr="00827B94" w:rsidRDefault="00F00D32" w:rsidP="00403E99">
            <w:pPr>
              <w:pStyle w:val="TableTextBoldCentered"/>
            </w:pPr>
            <w:r w:rsidRPr="00827B94">
              <w:t>17 Hours</w:t>
            </w:r>
          </w:p>
        </w:tc>
      </w:tr>
    </w:tbl>
    <w:p w14:paraId="31B0401C" w14:textId="77777777" w:rsidR="00C65EA1" w:rsidRDefault="006D41D8" w:rsidP="00403E99">
      <w:pPr>
        <w:spacing w:before="120" w:after="60"/>
      </w:pPr>
      <w:r w:rsidRPr="00403E99">
        <w:t>Tho</w:t>
      </w:r>
      <w:r w:rsidR="0020523C" w:rsidRPr="00403E99">
        <w:t xml:space="preserve">rough documentation through </w:t>
      </w:r>
      <w:r w:rsidRPr="00403E99">
        <w:t xml:space="preserve">all phases </w:t>
      </w:r>
      <w:r w:rsidR="001D6D03" w:rsidRPr="00403E99">
        <w:t xml:space="preserve">of </w:t>
      </w:r>
      <w:r w:rsidRPr="00403E99">
        <w:t>youth</w:t>
      </w:r>
      <w:r w:rsidR="001D6D03" w:rsidRPr="00403E99">
        <w:t xml:space="preserve"> time at the JR facilities</w:t>
      </w:r>
      <w:r w:rsidR="0068229E">
        <w:t xml:space="preserve"> – </w:t>
      </w:r>
      <w:r w:rsidR="0020523C" w:rsidRPr="00403E99">
        <w:t>from pre-screening through re</w:t>
      </w:r>
      <w:r w:rsidRPr="00403E99">
        <w:t>entry</w:t>
      </w:r>
      <w:r w:rsidR="0068229E">
        <w:t xml:space="preserve"> – </w:t>
      </w:r>
      <w:r w:rsidRPr="00403E99">
        <w:t>is foundational for effective case management.</w:t>
      </w:r>
      <w:r w:rsidR="009D3ED2">
        <w:t xml:space="preserve"> The Automated Client Tracking (ACT) system</w:t>
      </w:r>
      <w:r w:rsidRPr="00403E99">
        <w:t xml:space="preserve"> </w:t>
      </w:r>
      <w:r w:rsidR="00403E99" w:rsidRPr="00403E99">
        <w:t xml:space="preserve">has at least </w:t>
      </w:r>
      <w:r w:rsidR="0020523C" w:rsidRPr="00403E99">
        <w:t>six</w:t>
      </w:r>
      <w:r w:rsidRPr="00403E99">
        <w:t xml:space="preserve"> different types of contact and updates case managers </w:t>
      </w:r>
      <w:r w:rsidR="0068229E">
        <w:t xml:space="preserve">must </w:t>
      </w:r>
      <w:r w:rsidRPr="00403E99">
        <w:t>report</w:t>
      </w:r>
      <w:r w:rsidR="0020523C" w:rsidRPr="00403E99">
        <w:t>,</w:t>
      </w:r>
      <w:r w:rsidRPr="00403E99">
        <w:t xml:space="preserve"> including </w:t>
      </w:r>
      <w:r w:rsidR="006760A5">
        <w:t>Reentry Team Meetings (</w:t>
      </w:r>
      <w:r w:rsidRPr="00403E99">
        <w:t>RTMs</w:t>
      </w:r>
      <w:r w:rsidR="006760A5">
        <w:t>)</w:t>
      </w:r>
      <w:r w:rsidRPr="00403E99">
        <w:t>, Treatment Planning &amp; Progress, Family Contact, Youth Contact, Collateral Contacts, and Groups. In addition, case managers are trained to maintain additional documentation such as Client Behav</w:t>
      </w:r>
      <w:r w:rsidR="0020523C" w:rsidRPr="00403E99">
        <w:t>ior Assessments (every 30 days),</w:t>
      </w:r>
      <w:r w:rsidRPr="00403E99">
        <w:t xml:space="preserve"> Cli</w:t>
      </w:r>
      <w:r w:rsidR="0020523C" w:rsidRPr="00403E99">
        <w:t>ent Earned Release Date (CERD) r</w:t>
      </w:r>
      <w:r w:rsidRPr="00403E99">
        <w:t>eviews, and documentation of other specialized treatment</w:t>
      </w:r>
      <w:r w:rsidR="0020523C" w:rsidRPr="00403E99">
        <w:t>s</w:t>
      </w:r>
      <w:r w:rsidRPr="00403E99">
        <w:t xml:space="preserve"> provided</w:t>
      </w:r>
      <w:r w:rsidR="00403E99" w:rsidRPr="00403E99">
        <w:t>.</w:t>
      </w:r>
      <w:r w:rsidRPr="00403E99">
        <w:rPr>
          <w:vertAlign w:val="superscript"/>
        </w:rPr>
        <w:footnoteReference w:id="68"/>
      </w:r>
      <w:r w:rsidR="001D6D03" w:rsidRPr="00403E99">
        <w:t xml:space="preserve"> As seen </w:t>
      </w:r>
      <w:r w:rsidR="0068229E">
        <w:t xml:space="preserve">previously, </w:t>
      </w:r>
      <w:r w:rsidR="001D6D03" w:rsidRPr="00403E99">
        <w:t xml:space="preserve">in </w:t>
      </w:r>
      <w:r w:rsidR="009D3ED2">
        <w:t>Exhibit 5-4</w:t>
      </w:r>
      <w:r w:rsidR="001D6D03" w:rsidRPr="00403E99">
        <w:t>, cou</w:t>
      </w:r>
      <w:r w:rsidR="0020523C" w:rsidRPr="00403E99">
        <w:t>nselors across all</w:t>
      </w:r>
      <w:r w:rsidR="00706AA7" w:rsidRPr="00403E99">
        <w:t xml:space="preserve"> facilities are spending</w:t>
      </w:r>
      <w:r w:rsidR="0068229E">
        <w:t xml:space="preserve"> an average of </w:t>
      </w:r>
      <w:r w:rsidR="001E3988" w:rsidRPr="00403E99">
        <w:t>9.3</w:t>
      </w:r>
      <w:r w:rsidR="00403E99">
        <w:t xml:space="preserve">% </w:t>
      </w:r>
      <w:r w:rsidR="001E3988" w:rsidRPr="00403E99">
        <w:t>of their time</w:t>
      </w:r>
      <w:r w:rsidR="0020523C" w:rsidRPr="00403E99">
        <w:t xml:space="preserve"> on documentation, which equates to </w:t>
      </w:r>
      <w:r w:rsidR="0068229E">
        <w:t xml:space="preserve">approximately </w:t>
      </w:r>
      <w:r w:rsidR="0020523C" w:rsidRPr="00403E99">
        <w:t xml:space="preserve">four </w:t>
      </w:r>
      <w:r w:rsidR="001E3988" w:rsidRPr="00403E99">
        <w:t xml:space="preserve">hours in a </w:t>
      </w:r>
      <w:r w:rsidR="0068229E">
        <w:t>forty</w:t>
      </w:r>
      <w:r w:rsidR="001E3988" w:rsidRPr="00403E99">
        <w:t xml:space="preserve">-hour </w:t>
      </w:r>
      <w:r w:rsidR="00FD2536" w:rsidRPr="00403E99">
        <w:t>workweek</w:t>
      </w:r>
      <w:r w:rsidR="001E3988" w:rsidRPr="00403E99">
        <w:t>. In interviews with c</w:t>
      </w:r>
      <w:r w:rsidRPr="00403E99">
        <w:t>ounselor</w:t>
      </w:r>
      <w:r w:rsidR="001E3988" w:rsidRPr="00403E99">
        <w:t>s, many</w:t>
      </w:r>
      <w:r w:rsidRPr="00403E99">
        <w:t xml:space="preserve"> shared they often do their case notes while covering the floor</w:t>
      </w:r>
      <w:r w:rsidR="0020523C" w:rsidRPr="00403E99">
        <w:t xml:space="preserve">, </w:t>
      </w:r>
      <w:r w:rsidRPr="00403E99">
        <w:t>pick</w:t>
      </w:r>
      <w:r w:rsidR="0020523C" w:rsidRPr="00403E99">
        <w:t xml:space="preserve"> </w:t>
      </w:r>
      <w:r w:rsidRPr="00403E99">
        <w:t>up graveyard shifts to complete them</w:t>
      </w:r>
      <w:r w:rsidR="0020523C" w:rsidRPr="00403E99">
        <w:t>,</w:t>
      </w:r>
      <w:r w:rsidRPr="00403E99">
        <w:t xml:space="preserve"> or short-cut the quality and thoroughness </w:t>
      </w:r>
      <w:r w:rsidR="0020523C" w:rsidRPr="00403E99">
        <w:t xml:space="preserve">of notes </w:t>
      </w:r>
      <w:r w:rsidRPr="00403E99">
        <w:t>to</w:t>
      </w:r>
      <w:r w:rsidR="0020523C" w:rsidRPr="00403E99">
        <w:t xml:space="preserve"> pay attention to the youth while</w:t>
      </w:r>
      <w:r w:rsidRPr="00403E99">
        <w:t xml:space="preserve"> supervising the milieu. </w:t>
      </w:r>
      <w:r w:rsidR="001D7106" w:rsidRPr="00403E99">
        <w:t>Additional information on our finding</w:t>
      </w:r>
      <w:r w:rsidR="0020523C" w:rsidRPr="00403E99">
        <w:t>s</w:t>
      </w:r>
      <w:r w:rsidR="001D7106" w:rsidRPr="00403E99">
        <w:t xml:space="preserve"> regarding case management </w:t>
      </w:r>
      <w:r w:rsidR="0020523C" w:rsidRPr="00403E99">
        <w:t xml:space="preserve">appears </w:t>
      </w:r>
      <w:r w:rsidR="001E3988" w:rsidRPr="00403E99">
        <w:t xml:space="preserve">in </w:t>
      </w:r>
      <w:r w:rsidR="001D7106" w:rsidRPr="00403E99">
        <w:t>Section</w:t>
      </w:r>
      <w:r w:rsidR="005202CA" w:rsidRPr="00403E99">
        <w:t xml:space="preserve"> </w:t>
      </w:r>
      <w:r w:rsidR="00DD4F6B">
        <w:t>5</w:t>
      </w:r>
      <w:r w:rsidR="005202CA" w:rsidRPr="00403E99">
        <w:t>.2.5</w:t>
      </w:r>
    </w:p>
    <w:p w14:paraId="51984951" w14:textId="77777777" w:rsidR="00021344" w:rsidRDefault="00403E99" w:rsidP="006D41D8">
      <w:pPr>
        <w:spacing w:before="60" w:after="60"/>
      </w:pPr>
      <w:r>
        <w:t xml:space="preserve">Some </w:t>
      </w:r>
      <w:r w:rsidR="006654C5" w:rsidRPr="00403E99">
        <w:t xml:space="preserve">of the institutions and community facilities have unique programming, which requires additional staff supervision. For example, </w:t>
      </w:r>
      <w:r w:rsidRPr="00403E99">
        <w:t>Naselle</w:t>
      </w:r>
      <w:r w:rsidR="006654C5" w:rsidRPr="00403E99">
        <w:t xml:space="preserve">, in collaboration with the Department of Natural Resources (DNR) offers a forestry work program in which youth are trained to assist with fighting fires and fight fires during the height of firefighting season. This program requires staff supervision and during </w:t>
      </w:r>
      <w:r w:rsidRPr="00403E99">
        <w:t>fire-fighting</w:t>
      </w:r>
      <w:r w:rsidR="006654C5" w:rsidRPr="00403E99">
        <w:t xml:space="preserve"> season can have staff off campus for multiple days.</w:t>
      </w:r>
      <w:r w:rsidR="004736C7" w:rsidRPr="00403E99">
        <w:t xml:space="preserve"> </w:t>
      </w:r>
      <w:r w:rsidR="00510A38">
        <w:t xml:space="preserve">Echo Glen has the Canine Connections program, where youth can train dogs, which is proven to provide therapeutic benefits for youth. </w:t>
      </w:r>
      <w:r w:rsidR="004736C7" w:rsidRPr="00403E99">
        <w:t>At Green Hill, youth have opportunities to work on campus including working in the kitchen, landscaping, and maintenance.</w:t>
      </w:r>
      <w:r w:rsidR="006654C5" w:rsidRPr="00403E99">
        <w:t xml:space="preserve"> At the Sunrise Community Facility, youth all attend the Job Corps Program to receive training in select trades</w:t>
      </w:r>
      <w:r w:rsidR="00006D5B">
        <w:t xml:space="preserve"> </w:t>
      </w:r>
      <w:r w:rsidR="00006D5B">
        <w:lastRenderedPageBreak/>
        <w:t>or attend the Skills Center in Moses Lake</w:t>
      </w:r>
      <w:r w:rsidR="006654C5" w:rsidRPr="00403E99">
        <w:t xml:space="preserve">. Staff must </w:t>
      </w:r>
      <w:r w:rsidR="00510A38">
        <w:t xml:space="preserve">supervise </w:t>
      </w:r>
      <w:r w:rsidR="006654C5" w:rsidRPr="00403E99">
        <w:t xml:space="preserve">youth while </w:t>
      </w:r>
      <w:r w:rsidR="00510A38">
        <w:t xml:space="preserve">they </w:t>
      </w:r>
      <w:r w:rsidR="006654C5" w:rsidRPr="00403E99">
        <w:t>attend the</w:t>
      </w:r>
      <w:r w:rsidR="00510A38">
        <w:t>se</w:t>
      </w:r>
      <w:r w:rsidR="006654C5" w:rsidRPr="00403E99">
        <w:t xml:space="preserve"> program</w:t>
      </w:r>
      <w:r w:rsidR="00510A38">
        <w:t>s</w:t>
      </w:r>
      <w:r w:rsidR="00D04DFD">
        <w:t>,</w:t>
      </w:r>
      <w:r w:rsidR="00006D5B">
        <w:t xml:space="preserve"> </w:t>
      </w:r>
      <w:r w:rsidR="00D04DFD">
        <w:t xml:space="preserve">many of them </w:t>
      </w:r>
      <w:r w:rsidR="00006D5B">
        <w:t>off campus</w:t>
      </w:r>
      <w:r w:rsidR="004736C7" w:rsidRPr="00403E99">
        <w:t>.</w:t>
      </w:r>
      <w:r w:rsidR="006654C5" w:rsidRPr="00403E99">
        <w:t xml:space="preserve"> </w:t>
      </w:r>
    </w:p>
    <w:p w14:paraId="5A417C6B" w14:textId="77777777" w:rsidR="00B21FE8" w:rsidRPr="001F55E6" w:rsidRDefault="00021344" w:rsidP="006D41D8">
      <w:pPr>
        <w:spacing w:before="60" w:after="60"/>
      </w:pPr>
      <w:r w:rsidRPr="001F55E6">
        <w:t xml:space="preserve">For youth at the community facilities who are working or attending a private or public school, counselors </w:t>
      </w:r>
      <w:r w:rsidR="009B7A58" w:rsidRPr="001F55E6">
        <w:t>also provide ongoing monitoring which requires additional staff supervision.</w:t>
      </w:r>
      <w:r w:rsidRPr="001F55E6">
        <w:t xml:space="preserve"> Monitoring includes developing written agreements between the employer or school and the juvenile regarding monitoring and supervision requirements; </w:t>
      </w:r>
      <w:r w:rsidR="001F55E6" w:rsidRPr="001F55E6">
        <w:t xml:space="preserve">making </w:t>
      </w:r>
      <w:r w:rsidRPr="001F55E6">
        <w:t xml:space="preserve">and </w:t>
      </w:r>
      <w:r w:rsidR="001F55E6" w:rsidRPr="001F55E6">
        <w:t xml:space="preserve">documenting </w:t>
      </w:r>
      <w:r w:rsidRPr="001F55E6">
        <w:t xml:space="preserve">periodic and random accountability checks while the youth is in school or at work; and regularly </w:t>
      </w:r>
      <w:r w:rsidR="001F55E6" w:rsidRPr="001F55E6">
        <w:t xml:space="preserve">contacting </w:t>
      </w:r>
      <w:r w:rsidRPr="001F55E6">
        <w:t xml:space="preserve">the employer, teacher, or school counselor to </w:t>
      </w:r>
      <w:r w:rsidR="00BC0E8E" w:rsidRPr="001F55E6">
        <w:t>discuss</w:t>
      </w:r>
      <w:r w:rsidRPr="001F55E6">
        <w:t xml:space="preserve"> school or job performance related issues.</w:t>
      </w:r>
      <w:r w:rsidRPr="001F55E6">
        <w:rPr>
          <w:rStyle w:val="FootnoteReference"/>
        </w:rPr>
        <w:footnoteReference w:id="69"/>
      </w:r>
    </w:p>
    <w:p w14:paraId="1D4F0677" w14:textId="77777777" w:rsidR="00026D39" w:rsidRPr="006C5BFB" w:rsidRDefault="001F03DE" w:rsidP="00026D39">
      <w:pPr>
        <w:pStyle w:val="Heading3"/>
        <w:rPr>
          <w:color w:val="FF0000"/>
        </w:rPr>
      </w:pPr>
      <w:bookmarkStart w:id="49" w:name="_Toc531597496"/>
      <w:r w:rsidRPr="001F03DE">
        <w:t>Overtime</w:t>
      </w:r>
      <w:bookmarkEnd w:id="49"/>
      <w:r w:rsidRPr="001F03DE">
        <w:t xml:space="preserve"> </w:t>
      </w:r>
    </w:p>
    <w:p w14:paraId="7BB7C4CA" w14:textId="77777777" w:rsidR="00026D39" w:rsidRPr="00A1181A" w:rsidRDefault="008A3E3F" w:rsidP="006C5BFB">
      <w:pPr>
        <w:pStyle w:val="RFPtext"/>
        <w:pBdr>
          <w:top w:val="dotted" w:sz="2" w:space="0" w:color="666666"/>
        </w:pBdr>
        <w:rPr>
          <w:b/>
          <w:color w:val="auto"/>
          <w:sz w:val="24"/>
        </w:rPr>
      </w:pPr>
      <w:r w:rsidRPr="00A1181A">
        <w:rPr>
          <w:b/>
          <w:color w:val="auto"/>
          <w:sz w:val="24"/>
        </w:rPr>
        <w:t>T</w:t>
      </w:r>
      <w:r w:rsidR="00026D39" w:rsidRPr="00A1181A">
        <w:rPr>
          <w:b/>
          <w:color w:val="auto"/>
          <w:sz w:val="24"/>
        </w:rPr>
        <w:t xml:space="preserve">he facilities </w:t>
      </w:r>
      <w:r w:rsidR="005C1EA6" w:rsidRPr="00A1181A">
        <w:rPr>
          <w:b/>
          <w:color w:val="auto"/>
          <w:sz w:val="24"/>
        </w:rPr>
        <w:t xml:space="preserve">use </w:t>
      </w:r>
      <w:r w:rsidR="00D370EA" w:rsidRPr="00A1181A">
        <w:rPr>
          <w:b/>
          <w:color w:val="auto"/>
          <w:sz w:val="24"/>
        </w:rPr>
        <w:t xml:space="preserve">significant overtime </w:t>
      </w:r>
      <w:r w:rsidR="005C1EA6" w:rsidRPr="00A1181A">
        <w:rPr>
          <w:b/>
          <w:color w:val="auto"/>
          <w:sz w:val="24"/>
        </w:rPr>
        <w:t xml:space="preserve">among permanent and on-call staff </w:t>
      </w:r>
      <w:r w:rsidR="00D370EA" w:rsidRPr="00A1181A">
        <w:rPr>
          <w:b/>
          <w:color w:val="auto"/>
          <w:sz w:val="24"/>
        </w:rPr>
        <w:t xml:space="preserve">to meet youth needs, </w:t>
      </w:r>
      <w:r w:rsidR="005C1EA6" w:rsidRPr="00A1181A">
        <w:rPr>
          <w:b/>
          <w:color w:val="auto"/>
          <w:sz w:val="24"/>
        </w:rPr>
        <w:t xml:space="preserve">which has </w:t>
      </w:r>
      <w:r w:rsidR="00026D39" w:rsidRPr="00A1181A">
        <w:rPr>
          <w:b/>
          <w:color w:val="auto"/>
          <w:sz w:val="24"/>
        </w:rPr>
        <w:t>budgetary impacts. Factors driving the use of overtime include: insufficient stable full-time permanent staff due to high turnover, difficulty in filling vacancies, lots of staff</w:t>
      </w:r>
      <w:r w:rsidR="000311A3" w:rsidRPr="00A1181A">
        <w:rPr>
          <w:b/>
          <w:color w:val="auto"/>
          <w:sz w:val="24"/>
        </w:rPr>
        <w:t xml:space="preserve"> calling in sick, s</w:t>
      </w:r>
      <w:r w:rsidR="00026D39" w:rsidRPr="00A1181A">
        <w:rPr>
          <w:b/>
          <w:color w:val="auto"/>
          <w:sz w:val="24"/>
        </w:rPr>
        <w:t>taff on light duty, and no time budgeted for training.</w:t>
      </w:r>
    </w:p>
    <w:p w14:paraId="5405771D" w14:textId="77777777" w:rsidR="001F03DE" w:rsidRDefault="001F03DE" w:rsidP="001F03DE">
      <w:r>
        <w:t>JR facilities require staffing 24 hours a day, every day of the year. When one staff member does not come to work, another staff person must take their place, which often results in voluntary and, in some cases, mandatory overtime. During staff interviews, we learned overtime has increased significantly in the last several years. Many staff felt there is “excessive” and “unnecessary” overtime and stated regular and frequent mandatory ov</w:t>
      </w:r>
      <w:r w:rsidR="00F74869">
        <w:t>ertime has become commonplace in some JR facilities.</w:t>
      </w:r>
      <w:r w:rsidR="00566444">
        <w:t xml:space="preserve"> </w:t>
      </w:r>
    </w:p>
    <w:p w14:paraId="70B76594" w14:textId="77777777" w:rsidR="001F03DE" w:rsidRDefault="001F03DE" w:rsidP="001F03DE">
      <w:r w:rsidRPr="005C1EA6">
        <w:t xml:space="preserve">To understand the extent of overtime at JR facilities, we </w:t>
      </w:r>
      <w:r w:rsidR="00062214" w:rsidRPr="005C1EA6">
        <w:t xml:space="preserve">analyzed an extract of </w:t>
      </w:r>
      <w:r w:rsidR="009172F0">
        <w:t>the Department of Social and Health Services (DSHS) Human Resources Management System (</w:t>
      </w:r>
      <w:r w:rsidR="00062214" w:rsidRPr="005C1EA6">
        <w:t>HRMS</w:t>
      </w:r>
      <w:r w:rsidR="009172F0">
        <w:t>)</w:t>
      </w:r>
      <w:r w:rsidR="00062214" w:rsidRPr="005C1EA6">
        <w:t xml:space="preserve"> </w:t>
      </w:r>
      <w:r w:rsidRPr="005C1EA6">
        <w:t>administrative data provided by RA</w:t>
      </w:r>
      <w:r w:rsidR="00062214" w:rsidRPr="005C1EA6">
        <w:t xml:space="preserve"> </w:t>
      </w:r>
      <w:r w:rsidRPr="005C1EA6">
        <w:t xml:space="preserve">that </w:t>
      </w:r>
      <w:r w:rsidR="00062214" w:rsidRPr="005C1EA6">
        <w:t xml:space="preserve">included </w:t>
      </w:r>
      <w:r w:rsidRPr="005C1EA6">
        <w:t>the total regular and overtime hours worked by both permanent and on-call staff members.</w:t>
      </w:r>
      <w:r w:rsidR="00062214" w:rsidRPr="005C1EA6">
        <w:t xml:space="preserve"> </w:t>
      </w:r>
      <w:r w:rsidR="00631320">
        <w:t xml:space="preserve">The data were for the time period June 2017 through May </w:t>
      </w:r>
      <w:r w:rsidR="00BD6E0B">
        <w:t>2018</w:t>
      </w:r>
      <w:r w:rsidR="00631320">
        <w:t xml:space="preserve">, the 12 most recent months for which data were available. </w:t>
      </w:r>
      <w:r w:rsidR="00062214" w:rsidRPr="005C1EA6">
        <w:t xml:space="preserve">For this analysis, we included the </w:t>
      </w:r>
      <w:r w:rsidR="009172F0">
        <w:t>J</w:t>
      </w:r>
      <w:r w:rsidR="009D3ED2">
        <w:t>uvenile Rehabilitation Residential Counselors (J</w:t>
      </w:r>
      <w:r w:rsidR="009172F0">
        <w:t>RRC</w:t>
      </w:r>
      <w:r w:rsidR="009D3ED2">
        <w:t>s</w:t>
      </w:r>
      <w:r w:rsidR="009172F0">
        <w:t>,</w:t>
      </w:r>
      <w:r w:rsidR="009D3ED2">
        <w:t>) Juvenile Rehabilitation Counselor Assistants (</w:t>
      </w:r>
      <w:r w:rsidR="00062214" w:rsidRPr="005C1EA6">
        <w:t>JRCA</w:t>
      </w:r>
      <w:r w:rsidR="009D3ED2">
        <w:t>s)</w:t>
      </w:r>
      <w:r w:rsidR="00062214" w:rsidRPr="005C1EA6">
        <w:t>, and J</w:t>
      </w:r>
      <w:r w:rsidR="009D3ED2">
        <w:t>uvenile Rehabilitation Security Officer 1s (J</w:t>
      </w:r>
      <w:r w:rsidR="00062214" w:rsidRPr="005C1EA6">
        <w:t xml:space="preserve">RSO </w:t>
      </w:r>
      <w:r w:rsidR="009D3ED2">
        <w:t xml:space="preserve">1) </w:t>
      </w:r>
      <w:r w:rsidR="00062214" w:rsidRPr="005C1EA6">
        <w:t xml:space="preserve">positions, as </w:t>
      </w:r>
      <w:r w:rsidR="009D3ED2">
        <w:t>direct services</w:t>
      </w:r>
      <w:r w:rsidR="007E5090" w:rsidRPr="005C1EA6">
        <w:t xml:space="preserve"> st</w:t>
      </w:r>
      <w:r w:rsidR="00D370EA" w:rsidRPr="005C1EA6">
        <w:t>aff are the focus of this study</w:t>
      </w:r>
      <w:r w:rsidR="007E5090" w:rsidRPr="005C1EA6">
        <w:t xml:space="preserve"> and </w:t>
      </w:r>
      <w:r w:rsidR="00C65EA1" w:rsidRPr="005C1EA6">
        <w:t>these positions</w:t>
      </w:r>
      <w:r w:rsidR="007E5090" w:rsidRPr="005C1EA6">
        <w:t xml:space="preserve"> </w:t>
      </w:r>
      <w:r w:rsidR="00062214" w:rsidRPr="005C1EA6">
        <w:t>accrue the greatest amount of overtime</w:t>
      </w:r>
      <w:r w:rsidR="007E5090" w:rsidRPr="005C1EA6">
        <w:t>.</w:t>
      </w:r>
      <w:r w:rsidRPr="005C1EA6">
        <w:t xml:space="preserve"> </w:t>
      </w:r>
      <w:r w:rsidR="00AE63DD" w:rsidRPr="005C1EA6">
        <w:t xml:space="preserve">Exhibit </w:t>
      </w:r>
      <w:r w:rsidR="00DD4F6B">
        <w:t>5</w:t>
      </w:r>
      <w:r w:rsidR="00AE63DD" w:rsidRPr="005C1EA6">
        <w:t>-7</w:t>
      </w:r>
      <w:r w:rsidR="006C5BFB" w:rsidRPr="005C1EA6">
        <w:t xml:space="preserve"> </w:t>
      </w:r>
      <w:r w:rsidRPr="005C1EA6">
        <w:t xml:space="preserve">summarizes </w:t>
      </w:r>
      <w:r w:rsidR="00D370EA" w:rsidRPr="005C1EA6">
        <w:t>this information</w:t>
      </w:r>
      <w:r w:rsidR="00062214" w:rsidRPr="005C1EA6">
        <w:t xml:space="preserve"> by </w:t>
      </w:r>
      <w:r w:rsidRPr="005C1EA6">
        <w:t>facility.</w:t>
      </w:r>
    </w:p>
    <w:p w14:paraId="46C0DAFF" w14:textId="77777777" w:rsidR="00D521B9" w:rsidRDefault="00AE63DD" w:rsidP="00513631">
      <w:pPr>
        <w:pStyle w:val="Caption"/>
        <w:keepLines/>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7</w:t>
      </w:r>
      <w:r w:rsidR="00710F1C">
        <w:rPr>
          <w:noProof/>
        </w:rPr>
        <w:fldChar w:fldCharType="end"/>
      </w:r>
      <w:r w:rsidR="00E251C1">
        <w:t>.</w:t>
      </w:r>
      <w:r w:rsidR="006C5BFB">
        <w:t xml:space="preserve"> </w:t>
      </w:r>
      <w:r w:rsidR="00D521B9">
        <w:t xml:space="preserve">Use of Overtime Among Permanent and On-call Staff </w:t>
      </w:r>
    </w:p>
    <w:tbl>
      <w:tblPr>
        <w:tblStyle w:val="HyzerTable1"/>
        <w:tblW w:w="0" w:type="auto"/>
        <w:tblLook w:val="04A0" w:firstRow="1" w:lastRow="0" w:firstColumn="1" w:lastColumn="0" w:noHBand="0" w:noVBand="1"/>
      </w:tblPr>
      <w:tblGrid>
        <w:gridCol w:w="1879"/>
        <w:gridCol w:w="1872"/>
        <w:gridCol w:w="1876"/>
        <w:gridCol w:w="1869"/>
        <w:gridCol w:w="1864"/>
      </w:tblGrid>
      <w:tr w:rsidR="00827B94" w:rsidRPr="00F732D1" w14:paraId="6986ECFF" w14:textId="77777777" w:rsidTr="005C1EA6">
        <w:trPr>
          <w:cnfStyle w:val="100000000000" w:firstRow="1" w:lastRow="0" w:firstColumn="0" w:lastColumn="0" w:oddVBand="0" w:evenVBand="0" w:oddHBand="0" w:evenHBand="0" w:firstRowFirstColumn="0" w:firstRowLastColumn="0" w:lastRowFirstColumn="0" w:lastRowLastColumn="0"/>
          <w:tblHeader/>
        </w:trPr>
        <w:tc>
          <w:tcPr>
            <w:tcW w:w="1879" w:type="dxa"/>
          </w:tcPr>
          <w:p w14:paraId="6F9E48C4" w14:textId="77777777" w:rsidR="00827B94" w:rsidRPr="00F732D1" w:rsidRDefault="00827B94" w:rsidP="00513631">
            <w:pPr>
              <w:keepNext/>
              <w:keepLines/>
            </w:pPr>
          </w:p>
        </w:tc>
        <w:tc>
          <w:tcPr>
            <w:tcW w:w="1872" w:type="dxa"/>
          </w:tcPr>
          <w:p w14:paraId="265A8921"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Regular Time</w:t>
            </w:r>
          </w:p>
          <w:p w14:paraId="7A4B8FA0"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(hours) </w:t>
            </w:r>
          </w:p>
        </w:tc>
        <w:tc>
          <w:tcPr>
            <w:tcW w:w="1876" w:type="dxa"/>
          </w:tcPr>
          <w:p w14:paraId="3FD1E8C2"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Overtime </w:t>
            </w:r>
          </w:p>
          <w:p w14:paraId="72DB2939"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(hours)</w:t>
            </w:r>
          </w:p>
        </w:tc>
        <w:tc>
          <w:tcPr>
            <w:tcW w:w="1869" w:type="dxa"/>
          </w:tcPr>
          <w:p w14:paraId="5CC96C3D"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Total</w:t>
            </w:r>
          </w:p>
          <w:p w14:paraId="364A35CE"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(hours)</w:t>
            </w:r>
          </w:p>
        </w:tc>
        <w:tc>
          <w:tcPr>
            <w:tcW w:w="1864" w:type="dxa"/>
          </w:tcPr>
          <w:p w14:paraId="57FEEAEA" w14:textId="77777777" w:rsidR="00827B94" w:rsidRPr="00F732D1" w:rsidRDefault="00827B94" w:rsidP="00513631">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OT as % of Total </w:t>
            </w:r>
          </w:p>
        </w:tc>
      </w:tr>
      <w:tr w:rsidR="00827B94" w:rsidRPr="00F732D1" w14:paraId="0CA34A07" w14:textId="77777777" w:rsidTr="1FF1B213">
        <w:trPr>
          <w:cnfStyle w:val="000000100000" w:firstRow="0" w:lastRow="0" w:firstColumn="0" w:lastColumn="0" w:oddVBand="0" w:evenVBand="0" w:oddHBand="1" w:evenHBand="0" w:firstRowFirstColumn="0" w:firstRowLastColumn="0" w:lastRowFirstColumn="0" w:lastRowLastColumn="0"/>
        </w:trPr>
        <w:tc>
          <w:tcPr>
            <w:tcW w:w="1879" w:type="dxa"/>
            <w:shd w:val="clear" w:color="auto" w:fill="A6A6A6" w:themeFill="background1" w:themeFillShade="A6"/>
          </w:tcPr>
          <w:p w14:paraId="783ED23E" w14:textId="77777777" w:rsidR="00827B94" w:rsidRPr="00F732D1" w:rsidRDefault="00827B94" w:rsidP="00513631">
            <w:pPr>
              <w:keepNext/>
              <w:keepLines/>
              <w:spacing w:before="40" w:after="40"/>
              <w:rPr>
                <w:rFonts w:ascii="Arial Narrow" w:hAnsi="Arial Narrow"/>
                <w:b/>
                <w:sz w:val="20"/>
                <w:szCs w:val="20"/>
              </w:rPr>
            </w:pPr>
            <w:r w:rsidRPr="00F732D1">
              <w:rPr>
                <w:rFonts w:ascii="Arial Narrow" w:hAnsi="Arial Narrow"/>
                <w:b/>
                <w:sz w:val="20"/>
                <w:szCs w:val="20"/>
              </w:rPr>
              <w:t xml:space="preserve">Permanent Staff </w:t>
            </w:r>
          </w:p>
        </w:tc>
        <w:tc>
          <w:tcPr>
            <w:tcW w:w="1872" w:type="dxa"/>
            <w:shd w:val="clear" w:color="auto" w:fill="A6A6A6" w:themeFill="background1" w:themeFillShade="A6"/>
          </w:tcPr>
          <w:p w14:paraId="1D148C09" w14:textId="77777777" w:rsidR="00827B94" w:rsidRPr="00F732D1" w:rsidRDefault="00827B94" w:rsidP="00513631">
            <w:pPr>
              <w:pStyle w:val="TableText"/>
              <w:keepNext/>
              <w:keepLines/>
              <w:jc w:val="center"/>
              <w:rPr>
                <w:b/>
              </w:rPr>
            </w:pPr>
            <w:r w:rsidRPr="00F732D1">
              <w:rPr>
                <w:b/>
              </w:rPr>
              <w:t>653,178</w:t>
            </w:r>
          </w:p>
        </w:tc>
        <w:tc>
          <w:tcPr>
            <w:tcW w:w="1876" w:type="dxa"/>
            <w:shd w:val="clear" w:color="auto" w:fill="A6A6A6" w:themeFill="background1" w:themeFillShade="A6"/>
          </w:tcPr>
          <w:p w14:paraId="384D0452" w14:textId="77777777" w:rsidR="00827B94" w:rsidRPr="00F732D1" w:rsidRDefault="00827B94" w:rsidP="00513631">
            <w:pPr>
              <w:pStyle w:val="TableText"/>
              <w:keepNext/>
              <w:keepLines/>
              <w:jc w:val="center"/>
              <w:rPr>
                <w:b/>
              </w:rPr>
            </w:pPr>
            <w:r w:rsidRPr="00F732D1">
              <w:rPr>
                <w:b/>
              </w:rPr>
              <w:t>46,962</w:t>
            </w:r>
          </w:p>
        </w:tc>
        <w:tc>
          <w:tcPr>
            <w:tcW w:w="1869" w:type="dxa"/>
            <w:shd w:val="clear" w:color="auto" w:fill="A6A6A6" w:themeFill="background1" w:themeFillShade="A6"/>
          </w:tcPr>
          <w:p w14:paraId="7DAB8977" w14:textId="77777777" w:rsidR="00827B94" w:rsidRPr="00F732D1" w:rsidRDefault="00827B94" w:rsidP="00513631">
            <w:pPr>
              <w:pStyle w:val="TableText"/>
              <w:keepNext/>
              <w:keepLines/>
              <w:jc w:val="center"/>
              <w:rPr>
                <w:b/>
              </w:rPr>
            </w:pPr>
            <w:r w:rsidRPr="00F732D1">
              <w:rPr>
                <w:b/>
              </w:rPr>
              <w:t>700,140</w:t>
            </w:r>
          </w:p>
        </w:tc>
        <w:tc>
          <w:tcPr>
            <w:tcW w:w="1864" w:type="dxa"/>
            <w:shd w:val="clear" w:color="auto" w:fill="A6A6A6" w:themeFill="background1" w:themeFillShade="A6"/>
          </w:tcPr>
          <w:p w14:paraId="38C5859A" w14:textId="77777777" w:rsidR="00827B94" w:rsidRPr="00F732D1" w:rsidRDefault="00827B94" w:rsidP="00513631">
            <w:pPr>
              <w:pStyle w:val="TableText"/>
              <w:keepNext/>
              <w:keepLines/>
              <w:jc w:val="center"/>
              <w:rPr>
                <w:b/>
              </w:rPr>
            </w:pPr>
            <w:r w:rsidRPr="00F732D1">
              <w:rPr>
                <w:b/>
              </w:rPr>
              <w:t>6.7%</w:t>
            </w:r>
          </w:p>
        </w:tc>
      </w:tr>
      <w:tr w:rsidR="00827B94" w:rsidRPr="00F732D1" w14:paraId="76A9613E" w14:textId="77777777" w:rsidTr="00827B94">
        <w:tc>
          <w:tcPr>
            <w:tcW w:w="1879" w:type="dxa"/>
          </w:tcPr>
          <w:p w14:paraId="6F5BA34A" w14:textId="77777777" w:rsidR="00827B94" w:rsidRPr="00F732D1" w:rsidRDefault="00827B94" w:rsidP="00513631">
            <w:pPr>
              <w:keepNext/>
              <w:keepLines/>
              <w:spacing w:before="40" w:after="40"/>
              <w:rPr>
                <w:rFonts w:ascii="Arial Narrow" w:hAnsi="Arial Narrow"/>
                <w:sz w:val="20"/>
                <w:szCs w:val="20"/>
              </w:rPr>
            </w:pPr>
            <w:r w:rsidRPr="00F732D1">
              <w:rPr>
                <w:rFonts w:ascii="Arial Narrow" w:hAnsi="Arial Narrow"/>
                <w:sz w:val="20"/>
                <w:szCs w:val="20"/>
              </w:rPr>
              <w:t xml:space="preserve">Echo Glen </w:t>
            </w:r>
          </w:p>
        </w:tc>
        <w:tc>
          <w:tcPr>
            <w:tcW w:w="1872" w:type="dxa"/>
          </w:tcPr>
          <w:p w14:paraId="2994494B" w14:textId="77777777" w:rsidR="00827B94" w:rsidRPr="00F732D1" w:rsidRDefault="00827B94" w:rsidP="00513631">
            <w:pPr>
              <w:pStyle w:val="TableText"/>
              <w:keepNext/>
              <w:keepLines/>
              <w:jc w:val="center"/>
            </w:pPr>
            <w:r w:rsidRPr="000A00EC">
              <w:t>173,071</w:t>
            </w:r>
          </w:p>
        </w:tc>
        <w:tc>
          <w:tcPr>
            <w:tcW w:w="1876" w:type="dxa"/>
          </w:tcPr>
          <w:p w14:paraId="38CC7C04" w14:textId="77777777" w:rsidR="00827B94" w:rsidRPr="00F732D1" w:rsidRDefault="00827B94" w:rsidP="00513631">
            <w:pPr>
              <w:pStyle w:val="TableText"/>
              <w:keepNext/>
              <w:keepLines/>
              <w:jc w:val="center"/>
            </w:pPr>
            <w:r w:rsidRPr="000A00EC">
              <w:t>22,429</w:t>
            </w:r>
          </w:p>
        </w:tc>
        <w:tc>
          <w:tcPr>
            <w:tcW w:w="1869" w:type="dxa"/>
          </w:tcPr>
          <w:p w14:paraId="17BE8105" w14:textId="77777777" w:rsidR="00827B94" w:rsidRPr="00F732D1" w:rsidRDefault="00827B94" w:rsidP="00513631">
            <w:pPr>
              <w:pStyle w:val="TableText"/>
              <w:keepNext/>
              <w:keepLines/>
              <w:jc w:val="center"/>
            </w:pPr>
            <w:r w:rsidRPr="000A00EC">
              <w:t>195,500</w:t>
            </w:r>
          </w:p>
        </w:tc>
        <w:tc>
          <w:tcPr>
            <w:tcW w:w="1864" w:type="dxa"/>
          </w:tcPr>
          <w:p w14:paraId="02684EF3" w14:textId="77777777" w:rsidR="00827B94" w:rsidRPr="00F732D1" w:rsidRDefault="00827B94" w:rsidP="00513631">
            <w:pPr>
              <w:pStyle w:val="TableText"/>
              <w:keepNext/>
              <w:keepLines/>
              <w:jc w:val="center"/>
            </w:pPr>
            <w:r w:rsidRPr="000A00EC">
              <w:t>11.5%</w:t>
            </w:r>
          </w:p>
        </w:tc>
      </w:tr>
      <w:tr w:rsidR="00827B94" w:rsidRPr="00F732D1" w14:paraId="118E0661" w14:textId="77777777" w:rsidTr="00827B94">
        <w:trPr>
          <w:cnfStyle w:val="000000100000" w:firstRow="0" w:lastRow="0" w:firstColumn="0" w:lastColumn="0" w:oddVBand="0" w:evenVBand="0" w:oddHBand="1" w:evenHBand="0" w:firstRowFirstColumn="0" w:firstRowLastColumn="0" w:lastRowFirstColumn="0" w:lastRowLastColumn="0"/>
        </w:trPr>
        <w:tc>
          <w:tcPr>
            <w:tcW w:w="1879" w:type="dxa"/>
          </w:tcPr>
          <w:p w14:paraId="5B0484BB"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t>Green Hill</w:t>
            </w:r>
          </w:p>
        </w:tc>
        <w:tc>
          <w:tcPr>
            <w:tcW w:w="1872" w:type="dxa"/>
          </w:tcPr>
          <w:p w14:paraId="5764D86B" w14:textId="77777777" w:rsidR="00827B94" w:rsidRPr="00F732D1" w:rsidRDefault="00827B94" w:rsidP="00827B94">
            <w:pPr>
              <w:pStyle w:val="TableText"/>
              <w:jc w:val="center"/>
            </w:pPr>
            <w:r w:rsidRPr="000A00EC">
              <w:t>258,627</w:t>
            </w:r>
          </w:p>
        </w:tc>
        <w:tc>
          <w:tcPr>
            <w:tcW w:w="1876" w:type="dxa"/>
          </w:tcPr>
          <w:p w14:paraId="52CF5C95" w14:textId="77777777" w:rsidR="00827B94" w:rsidRPr="00F732D1" w:rsidRDefault="00827B94" w:rsidP="00827B94">
            <w:pPr>
              <w:pStyle w:val="TableText"/>
              <w:jc w:val="center"/>
            </w:pPr>
            <w:r w:rsidRPr="000A00EC">
              <w:t>8,802</w:t>
            </w:r>
          </w:p>
        </w:tc>
        <w:tc>
          <w:tcPr>
            <w:tcW w:w="1869" w:type="dxa"/>
          </w:tcPr>
          <w:p w14:paraId="781FA68E" w14:textId="77777777" w:rsidR="00827B94" w:rsidRPr="00F732D1" w:rsidRDefault="00827B94" w:rsidP="00827B94">
            <w:pPr>
              <w:pStyle w:val="TableText"/>
              <w:jc w:val="center"/>
            </w:pPr>
            <w:r w:rsidRPr="000A00EC">
              <w:t>267,429</w:t>
            </w:r>
          </w:p>
        </w:tc>
        <w:tc>
          <w:tcPr>
            <w:tcW w:w="1864" w:type="dxa"/>
          </w:tcPr>
          <w:p w14:paraId="71457B09" w14:textId="77777777" w:rsidR="00827B94" w:rsidRPr="00F732D1" w:rsidRDefault="00827B94" w:rsidP="00827B94">
            <w:pPr>
              <w:pStyle w:val="TableText"/>
              <w:jc w:val="center"/>
            </w:pPr>
            <w:r w:rsidRPr="000A00EC">
              <w:t>3.3%</w:t>
            </w:r>
          </w:p>
        </w:tc>
      </w:tr>
      <w:tr w:rsidR="00827B94" w:rsidRPr="00F732D1" w14:paraId="6E926AA4" w14:textId="77777777" w:rsidTr="00827B94">
        <w:tc>
          <w:tcPr>
            <w:tcW w:w="1879" w:type="dxa"/>
          </w:tcPr>
          <w:p w14:paraId="10975F54"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t>Naselle</w:t>
            </w:r>
          </w:p>
        </w:tc>
        <w:tc>
          <w:tcPr>
            <w:tcW w:w="1872" w:type="dxa"/>
          </w:tcPr>
          <w:p w14:paraId="1A30D3D0" w14:textId="77777777" w:rsidR="00827B94" w:rsidRPr="00F732D1" w:rsidRDefault="00827B94" w:rsidP="00827B94">
            <w:pPr>
              <w:pStyle w:val="TableText"/>
              <w:jc w:val="center"/>
            </w:pPr>
            <w:r w:rsidRPr="000A00EC">
              <w:t>82,416</w:t>
            </w:r>
          </w:p>
        </w:tc>
        <w:tc>
          <w:tcPr>
            <w:tcW w:w="1876" w:type="dxa"/>
          </w:tcPr>
          <w:p w14:paraId="5E3A922D" w14:textId="77777777" w:rsidR="00827B94" w:rsidRPr="00F732D1" w:rsidRDefault="00827B94" w:rsidP="00827B94">
            <w:pPr>
              <w:pStyle w:val="TableText"/>
              <w:jc w:val="center"/>
            </w:pPr>
            <w:r w:rsidRPr="000A00EC">
              <w:t>9,444</w:t>
            </w:r>
          </w:p>
        </w:tc>
        <w:tc>
          <w:tcPr>
            <w:tcW w:w="1869" w:type="dxa"/>
          </w:tcPr>
          <w:p w14:paraId="0806AA5C" w14:textId="77777777" w:rsidR="00827B94" w:rsidRPr="00F732D1" w:rsidRDefault="00827B94" w:rsidP="00827B94">
            <w:pPr>
              <w:pStyle w:val="TableText"/>
              <w:jc w:val="center"/>
            </w:pPr>
            <w:r w:rsidRPr="000A00EC">
              <w:t>91,860</w:t>
            </w:r>
          </w:p>
        </w:tc>
        <w:tc>
          <w:tcPr>
            <w:tcW w:w="1864" w:type="dxa"/>
          </w:tcPr>
          <w:p w14:paraId="02C22F04" w14:textId="77777777" w:rsidR="00827B94" w:rsidRPr="00F732D1" w:rsidRDefault="00827B94" w:rsidP="00827B94">
            <w:pPr>
              <w:pStyle w:val="TableText"/>
              <w:jc w:val="center"/>
            </w:pPr>
            <w:r w:rsidRPr="000A00EC">
              <w:t>10.3%</w:t>
            </w:r>
          </w:p>
        </w:tc>
      </w:tr>
      <w:tr w:rsidR="00827B94" w:rsidRPr="00F732D1" w14:paraId="48DC3DD8" w14:textId="77777777" w:rsidTr="00827B94">
        <w:trPr>
          <w:cnfStyle w:val="000000100000" w:firstRow="0" w:lastRow="0" w:firstColumn="0" w:lastColumn="0" w:oddVBand="0" w:evenVBand="0" w:oddHBand="1" w:evenHBand="0" w:firstRowFirstColumn="0" w:firstRowLastColumn="0" w:lastRowFirstColumn="0" w:lastRowLastColumn="0"/>
        </w:trPr>
        <w:tc>
          <w:tcPr>
            <w:tcW w:w="1879" w:type="dxa"/>
          </w:tcPr>
          <w:p w14:paraId="02120CA5"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t xml:space="preserve">Community Facilities </w:t>
            </w:r>
          </w:p>
        </w:tc>
        <w:tc>
          <w:tcPr>
            <w:tcW w:w="1872" w:type="dxa"/>
          </w:tcPr>
          <w:p w14:paraId="097BD21D" w14:textId="77777777" w:rsidR="00827B94" w:rsidRPr="00F732D1" w:rsidRDefault="00827B94" w:rsidP="00827B94">
            <w:pPr>
              <w:pStyle w:val="TableText"/>
              <w:jc w:val="center"/>
            </w:pPr>
            <w:r w:rsidRPr="000A00EC">
              <w:t>139,065</w:t>
            </w:r>
          </w:p>
        </w:tc>
        <w:tc>
          <w:tcPr>
            <w:tcW w:w="1876" w:type="dxa"/>
          </w:tcPr>
          <w:p w14:paraId="6E38508A" w14:textId="77777777" w:rsidR="00827B94" w:rsidRPr="00F732D1" w:rsidRDefault="00827B94" w:rsidP="00827B94">
            <w:pPr>
              <w:pStyle w:val="TableText"/>
              <w:jc w:val="center"/>
            </w:pPr>
            <w:r w:rsidRPr="000A00EC">
              <w:t>6,287</w:t>
            </w:r>
          </w:p>
        </w:tc>
        <w:tc>
          <w:tcPr>
            <w:tcW w:w="1869" w:type="dxa"/>
          </w:tcPr>
          <w:p w14:paraId="0176C333" w14:textId="77777777" w:rsidR="00827B94" w:rsidRPr="00F732D1" w:rsidRDefault="00827B94" w:rsidP="00827B94">
            <w:pPr>
              <w:pStyle w:val="TableText"/>
              <w:jc w:val="center"/>
            </w:pPr>
            <w:r w:rsidRPr="000A00EC">
              <w:t>145,351</w:t>
            </w:r>
          </w:p>
        </w:tc>
        <w:tc>
          <w:tcPr>
            <w:tcW w:w="1864" w:type="dxa"/>
          </w:tcPr>
          <w:p w14:paraId="442B36A5" w14:textId="77777777" w:rsidR="00827B94" w:rsidRPr="00F732D1" w:rsidRDefault="00827B94" w:rsidP="00827B94">
            <w:pPr>
              <w:pStyle w:val="TableText"/>
              <w:jc w:val="center"/>
            </w:pPr>
            <w:r w:rsidRPr="000A00EC">
              <w:t>4.3%</w:t>
            </w:r>
          </w:p>
        </w:tc>
      </w:tr>
      <w:tr w:rsidR="00827B94" w:rsidRPr="00F732D1" w14:paraId="1BD93A55" w14:textId="77777777" w:rsidTr="1FF1B213">
        <w:tc>
          <w:tcPr>
            <w:tcW w:w="1879" w:type="dxa"/>
            <w:shd w:val="clear" w:color="auto" w:fill="A6A6A6" w:themeFill="background1" w:themeFillShade="A6"/>
          </w:tcPr>
          <w:p w14:paraId="443D6DF9" w14:textId="77777777" w:rsidR="00827B94" w:rsidRPr="00F732D1" w:rsidRDefault="00827B94" w:rsidP="00827B94">
            <w:pPr>
              <w:spacing w:before="40" w:after="40"/>
              <w:rPr>
                <w:rFonts w:ascii="Arial Narrow" w:hAnsi="Arial Narrow"/>
                <w:b/>
                <w:sz w:val="20"/>
                <w:szCs w:val="20"/>
              </w:rPr>
            </w:pPr>
            <w:r w:rsidRPr="00F732D1">
              <w:rPr>
                <w:rFonts w:ascii="Arial Narrow" w:hAnsi="Arial Narrow"/>
                <w:b/>
                <w:sz w:val="20"/>
                <w:szCs w:val="20"/>
              </w:rPr>
              <w:t>On-Call Staff</w:t>
            </w:r>
          </w:p>
        </w:tc>
        <w:tc>
          <w:tcPr>
            <w:tcW w:w="1872" w:type="dxa"/>
            <w:shd w:val="clear" w:color="auto" w:fill="A6A6A6" w:themeFill="background1" w:themeFillShade="A6"/>
          </w:tcPr>
          <w:p w14:paraId="03B0AF85" w14:textId="77777777" w:rsidR="00827B94" w:rsidRPr="00F732D1" w:rsidRDefault="00827B94" w:rsidP="00827B94">
            <w:pPr>
              <w:pStyle w:val="TableText"/>
              <w:jc w:val="center"/>
              <w:rPr>
                <w:b/>
              </w:rPr>
            </w:pPr>
            <w:r w:rsidRPr="00F732D1">
              <w:rPr>
                <w:b/>
              </w:rPr>
              <w:t>153,875</w:t>
            </w:r>
          </w:p>
        </w:tc>
        <w:tc>
          <w:tcPr>
            <w:tcW w:w="1876" w:type="dxa"/>
            <w:shd w:val="clear" w:color="auto" w:fill="A6A6A6" w:themeFill="background1" w:themeFillShade="A6"/>
          </w:tcPr>
          <w:p w14:paraId="2C4A2E6D" w14:textId="77777777" w:rsidR="00827B94" w:rsidRPr="00F732D1" w:rsidRDefault="00827B94" w:rsidP="00827B94">
            <w:pPr>
              <w:pStyle w:val="TableText"/>
              <w:jc w:val="center"/>
              <w:rPr>
                <w:b/>
              </w:rPr>
            </w:pPr>
            <w:r w:rsidRPr="00F732D1">
              <w:rPr>
                <w:b/>
              </w:rPr>
              <w:t>17,679</w:t>
            </w:r>
          </w:p>
        </w:tc>
        <w:tc>
          <w:tcPr>
            <w:tcW w:w="1869" w:type="dxa"/>
            <w:shd w:val="clear" w:color="auto" w:fill="A6A6A6" w:themeFill="background1" w:themeFillShade="A6"/>
          </w:tcPr>
          <w:p w14:paraId="34E3CC69" w14:textId="77777777" w:rsidR="00827B94" w:rsidRPr="00F732D1" w:rsidRDefault="00827B94" w:rsidP="00827B94">
            <w:pPr>
              <w:pStyle w:val="TableText"/>
              <w:jc w:val="center"/>
              <w:rPr>
                <w:b/>
              </w:rPr>
            </w:pPr>
            <w:r w:rsidRPr="00F732D1">
              <w:rPr>
                <w:b/>
              </w:rPr>
              <w:t>171,554</w:t>
            </w:r>
          </w:p>
        </w:tc>
        <w:tc>
          <w:tcPr>
            <w:tcW w:w="1864" w:type="dxa"/>
            <w:shd w:val="clear" w:color="auto" w:fill="A6A6A6" w:themeFill="background1" w:themeFillShade="A6"/>
          </w:tcPr>
          <w:p w14:paraId="2225B68E" w14:textId="77777777" w:rsidR="00827B94" w:rsidRPr="00F732D1" w:rsidRDefault="00827B94" w:rsidP="00827B94">
            <w:pPr>
              <w:pStyle w:val="TableText"/>
              <w:jc w:val="center"/>
              <w:rPr>
                <w:b/>
              </w:rPr>
            </w:pPr>
            <w:r w:rsidRPr="00F732D1">
              <w:rPr>
                <w:b/>
              </w:rPr>
              <w:t>10.3%</w:t>
            </w:r>
          </w:p>
        </w:tc>
      </w:tr>
      <w:tr w:rsidR="00827B94" w:rsidRPr="00F732D1" w14:paraId="08FD0F98" w14:textId="77777777" w:rsidTr="00827B94">
        <w:trPr>
          <w:cnfStyle w:val="000000100000" w:firstRow="0" w:lastRow="0" w:firstColumn="0" w:lastColumn="0" w:oddVBand="0" w:evenVBand="0" w:oddHBand="1" w:evenHBand="0" w:firstRowFirstColumn="0" w:firstRowLastColumn="0" w:lastRowFirstColumn="0" w:lastRowLastColumn="0"/>
        </w:trPr>
        <w:tc>
          <w:tcPr>
            <w:tcW w:w="1879" w:type="dxa"/>
          </w:tcPr>
          <w:p w14:paraId="779F9310"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t xml:space="preserve">Echo Glen </w:t>
            </w:r>
          </w:p>
        </w:tc>
        <w:tc>
          <w:tcPr>
            <w:tcW w:w="1872" w:type="dxa"/>
          </w:tcPr>
          <w:p w14:paraId="3FD9B1E4" w14:textId="77777777" w:rsidR="00827B94" w:rsidRPr="00F732D1" w:rsidRDefault="00827B94" w:rsidP="00827B94">
            <w:pPr>
              <w:pStyle w:val="TableText"/>
              <w:jc w:val="center"/>
            </w:pPr>
            <w:r w:rsidRPr="000A00EC">
              <w:t>41,616</w:t>
            </w:r>
          </w:p>
        </w:tc>
        <w:tc>
          <w:tcPr>
            <w:tcW w:w="1876" w:type="dxa"/>
          </w:tcPr>
          <w:p w14:paraId="1D8A5305" w14:textId="77777777" w:rsidR="00827B94" w:rsidRPr="00F732D1" w:rsidRDefault="00827B94" w:rsidP="00827B94">
            <w:pPr>
              <w:pStyle w:val="TableText"/>
              <w:jc w:val="center"/>
            </w:pPr>
            <w:r w:rsidRPr="000A00EC">
              <w:t>9,934</w:t>
            </w:r>
          </w:p>
        </w:tc>
        <w:tc>
          <w:tcPr>
            <w:tcW w:w="1869" w:type="dxa"/>
          </w:tcPr>
          <w:p w14:paraId="5E9F9C77" w14:textId="77777777" w:rsidR="00827B94" w:rsidRPr="00F732D1" w:rsidRDefault="00827B94" w:rsidP="00827B94">
            <w:pPr>
              <w:pStyle w:val="TableText"/>
              <w:jc w:val="center"/>
            </w:pPr>
            <w:r w:rsidRPr="000A00EC">
              <w:t>51,550</w:t>
            </w:r>
          </w:p>
        </w:tc>
        <w:tc>
          <w:tcPr>
            <w:tcW w:w="1864" w:type="dxa"/>
          </w:tcPr>
          <w:p w14:paraId="2C425D2B" w14:textId="77777777" w:rsidR="00827B94" w:rsidRPr="00F732D1" w:rsidRDefault="00827B94" w:rsidP="00827B94">
            <w:pPr>
              <w:pStyle w:val="TableText"/>
              <w:jc w:val="center"/>
            </w:pPr>
            <w:r w:rsidRPr="000A00EC">
              <w:t>19.3%</w:t>
            </w:r>
          </w:p>
        </w:tc>
      </w:tr>
      <w:tr w:rsidR="00827B94" w:rsidRPr="00F732D1" w14:paraId="16331DCF" w14:textId="77777777" w:rsidTr="00827B94">
        <w:tc>
          <w:tcPr>
            <w:tcW w:w="1879" w:type="dxa"/>
          </w:tcPr>
          <w:p w14:paraId="6F4BECF1"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t>Green Hill</w:t>
            </w:r>
          </w:p>
        </w:tc>
        <w:tc>
          <w:tcPr>
            <w:tcW w:w="1872" w:type="dxa"/>
          </w:tcPr>
          <w:p w14:paraId="4ECDD8A1" w14:textId="77777777" w:rsidR="00827B94" w:rsidRPr="00F732D1" w:rsidRDefault="00827B94" w:rsidP="00827B94">
            <w:pPr>
              <w:pStyle w:val="TableText"/>
              <w:jc w:val="center"/>
            </w:pPr>
            <w:r w:rsidRPr="000A00EC">
              <w:t>51,027</w:t>
            </w:r>
          </w:p>
        </w:tc>
        <w:tc>
          <w:tcPr>
            <w:tcW w:w="1876" w:type="dxa"/>
          </w:tcPr>
          <w:p w14:paraId="49FC74BA" w14:textId="77777777" w:rsidR="00827B94" w:rsidRPr="00F732D1" w:rsidRDefault="00827B94" w:rsidP="00827B94">
            <w:pPr>
              <w:pStyle w:val="TableText"/>
              <w:jc w:val="center"/>
            </w:pPr>
            <w:r w:rsidRPr="000A00EC">
              <w:t>3,124</w:t>
            </w:r>
          </w:p>
        </w:tc>
        <w:tc>
          <w:tcPr>
            <w:tcW w:w="1869" w:type="dxa"/>
          </w:tcPr>
          <w:p w14:paraId="7516CE0C" w14:textId="77777777" w:rsidR="00827B94" w:rsidRPr="00F732D1" w:rsidRDefault="00827B94" w:rsidP="00827B94">
            <w:pPr>
              <w:pStyle w:val="TableText"/>
              <w:jc w:val="center"/>
            </w:pPr>
            <w:r w:rsidRPr="000A00EC">
              <w:t>54,151</w:t>
            </w:r>
          </w:p>
        </w:tc>
        <w:tc>
          <w:tcPr>
            <w:tcW w:w="1864" w:type="dxa"/>
          </w:tcPr>
          <w:p w14:paraId="06EB9155" w14:textId="77777777" w:rsidR="00827B94" w:rsidRPr="00F732D1" w:rsidRDefault="00827B94" w:rsidP="00827B94">
            <w:pPr>
              <w:pStyle w:val="TableText"/>
              <w:jc w:val="center"/>
            </w:pPr>
            <w:r w:rsidRPr="000A00EC">
              <w:t>5.8%</w:t>
            </w:r>
          </w:p>
        </w:tc>
      </w:tr>
      <w:tr w:rsidR="00827B94" w:rsidRPr="00F732D1" w14:paraId="056E5710" w14:textId="77777777" w:rsidTr="00827B94">
        <w:trPr>
          <w:cnfStyle w:val="000000100000" w:firstRow="0" w:lastRow="0" w:firstColumn="0" w:lastColumn="0" w:oddVBand="0" w:evenVBand="0" w:oddHBand="1" w:evenHBand="0" w:firstRowFirstColumn="0" w:firstRowLastColumn="0" w:lastRowFirstColumn="0" w:lastRowLastColumn="0"/>
        </w:trPr>
        <w:tc>
          <w:tcPr>
            <w:tcW w:w="1879" w:type="dxa"/>
          </w:tcPr>
          <w:p w14:paraId="420B3CF4"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t>Naselle</w:t>
            </w:r>
          </w:p>
        </w:tc>
        <w:tc>
          <w:tcPr>
            <w:tcW w:w="1872" w:type="dxa"/>
          </w:tcPr>
          <w:p w14:paraId="442E43AB" w14:textId="77777777" w:rsidR="00827B94" w:rsidRPr="00F732D1" w:rsidRDefault="00827B94" w:rsidP="00827B94">
            <w:pPr>
              <w:pStyle w:val="TableText"/>
              <w:jc w:val="center"/>
            </w:pPr>
            <w:r w:rsidRPr="000A00EC">
              <w:t>23,886</w:t>
            </w:r>
          </w:p>
        </w:tc>
        <w:tc>
          <w:tcPr>
            <w:tcW w:w="1876" w:type="dxa"/>
          </w:tcPr>
          <w:p w14:paraId="3DE6C798" w14:textId="77777777" w:rsidR="00827B94" w:rsidRPr="00F732D1" w:rsidRDefault="00827B94" w:rsidP="00827B94">
            <w:pPr>
              <w:pStyle w:val="TableText"/>
              <w:jc w:val="center"/>
            </w:pPr>
            <w:r w:rsidRPr="000A00EC">
              <w:t>2,843</w:t>
            </w:r>
          </w:p>
        </w:tc>
        <w:tc>
          <w:tcPr>
            <w:tcW w:w="1869" w:type="dxa"/>
          </w:tcPr>
          <w:p w14:paraId="5983EF34" w14:textId="77777777" w:rsidR="00827B94" w:rsidRPr="00F732D1" w:rsidRDefault="00827B94" w:rsidP="00827B94">
            <w:pPr>
              <w:pStyle w:val="TableText"/>
              <w:jc w:val="center"/>
            </w:pPr>
            <w:r w:rsidRPr="000A00EC">
              <w:t>26,729</w:t>
            </w:r>
          </w:p>
        </w:tc>
        <w:tc>
          <w:tcPr>
            <w:tcW w:w="1864" w:type="dxa"/>
          </w:tcPr>
          <w:p w14:paraId="357C87B1" w14:textId="77777777" w:rsidR="00827B94" w:rsidRPr="00F732D1" w:rsidRDefault="00827B94" w:rsidP="00827B94">
            <w:pPr>
              <w:pStyle w:val="TableText"/>
              <w:jc w:val="center"/>
            </w:pPr>
            <w:r w:rsidRPr="000A00EC">
              <w:t>10.6%</w:t>
            </w:r>
          </w:p>
        </w:tc>
      </w:tr>
      <w:tr w:rsidR="00827B94" w:rsidRPr="00F732D1" w14:paraId="6DEFE591" w14:textId="77777777" w:rsidTr="00827B94">
        <w:tc>
          <w:tcPr>
            <w:tcW w:w="1879" w:type="dxa"/>
          </w:tcPr>
          <w:p w14:paraId="750EB868" w14:textId="77777777" w:rsidR="00827B94" w:rsidRPr="00F732D1" w:rsidRDefault="00827B94" w:rsidP="00827B94">
            <w:pPr>
              <w:spacing w:before="40" w:after="40"/>
              <w:rPr>
                <w:rFonts w:ascii="Arial Narrow" w:hAnsi="Arial Narrow"/>
                <w:sz w:val="20"/>
                <w:szCs w:val="20"/>
              </w:rPr>
            </w:pPr>
            <w:r w:rsidRPr="00F732D1">
              <w:rPr>
                <w:rFonts w:ascii="Arial Narrow" w:hAnsi="Arial Narrow"/>
                <w:sz w:val="20"/>
                <w:szCs w:val="20"/>
              </w:rPr>
              <w:lastRenderedPageBreak/>
              <w:t xml:space="preserve">Community Facilities </w:t>
            </w:r>
          </w:p>
        </w:tc>
        <w:tc>
          <w:tcPr>
            <w:tcW w:w="1872" w:type="dxa"/>
          </w:tcPr>
          <w:p w14:paraId="50C56571" w14:textId="77777777" w:rsidR="00827B94" w:rsidRPr="00F732D1" w:rsidRDefault="00827B94" w:rsidP="00827B94">
            <w:pPr>
              <w:pStyle w:val="TableText"/>
              <w:jc w:val="center"/>
            </w:pPr>
            <w:r w:rsidRPr="000A00EC">
              <w:t>37,347</w:t>
            </w:r>
          </w:p>
        </w:tc>
        <w:tc>
          <w:tcPr>
            <w:tcW w:w="1876" w:type="dxa"/>
          </w:tcPr>
          <w:p w14:paraId="3FD17D0A" w14:textId="77777777" w:rsidR="00827B94" w:rsidRPr="00F732D1" w:rsidRDefault="00827B94" w:rsidP="00827B94">
            <w:pPr>
              <w:pStyle w:val="TableText"/>
              <w:jc w:val="center"/>
            </w:pPr>
            <w:r w:rsidRPr="000A00EC">
              <w:t>1,777</w:t>
            </w:r>
          </w:p>
        </w:tc>
        <w:tc>
          <w:tcPr>
            <w:tcW w:w="1869" w:type="dxa"/>
          </w:tcPr>
          <w:p w14:paraId="62B6AC11" w14:textId="77777777" w:rsidR="00827B94" w:rsidRPr="00F732D1" w:rsidRDefault="00827B94" w:rsidP="00827B94">
            <w:pPr>
              <w:pStyle w:val="TableText"/>
              <w:jc w:val="center"/>
            </w:pPr>
            <w:r w:rsidRPr="000A00EC">
              <w:t>39,124</w:t>
            </w:r>
          </w:p>
        </w:tc>
        <w:tc>
          <w:tcPr>
            <w:tcW w:w="1864" w:type="dxa"/>
          </w:tcPr>
          <w:p w14:paraId="14F3F44D" w14:textId="77777777" w:rsidR="00827B94" w:rsidRPr="00F732D1" w:rsidRDefault="00827B94" w:rsidP="00827B94">
            <w:pPr>
              <w:pStyle w:val="TableText"/>
              <w:jc w:val="center"/>
            </w:pPr>
            <w:r w:rsidRPr="000A00EC">
              <w:t>4.5%</w:t>
            </w:r>
          </w:p>
        </w:tc>
      </w:tr>
      <w:tr w:rsidR="00827B94" w:rsidRPr="00F732D1" w14:paraId="0C429C7E" w14:textId="77777777" w:rsidTr="1FF1B213">
        <w:trPr>
          <w:cnfStyle w:val="000000100000" w:firstRow="0" w:lastRow="0" w:firstColumn="0" w:lastColumn="0" w:oddVBand="0" w:evenVBand="0" w:oddHBand="1" w:evenHBand="0" w:firstRowFirstColumn="0" w:firstRowLastColumn="0" w:lastRowFirstColumn="0" w:lastRowLastColumn="0"/>
        </w:trPr>
        <w:tc>
          <w:tcPr>
            <w:tcW w:w="1879" w:type="dxa"/>
            <w:shd w:val="clear" w:color="auto" w:fill="A6A6A6" w:themeFill="background1" w:themeFillShade="A6"/>
          </w:tcPr>
          <w:p w14:paraId="2746E357" w14:textId="77777777" w:rsidR="00827B94" w:rsidRPr="00F732D1" w:rsidRDefault="00827B94" w:rsidP="00827B94">
            <w:pPr>
              <w:spacing w:before="40" w:after="40"/>
              <w:rPr>
                <w:rFonts w:ascii="Arial Narrow" w:hAnsi="Arial Narrow"/>
                <w:b/>
                <w:sz w:val="20"/>
                <w:szCs w:val="20"/>
              </w:rPr>
            </w:pPr>
            <w:r w:rsidRPr="00F732D1">
              <w:rPr>
                <w:rFonts w:ascii="Arial Narrow" w:hAnsi="Arial Narrow"/>
                <w:b/>
                <w:sz w:val="20"/>
                <w:szCs w:val="20"/>
              </w:rPr>
              <w:t>Total Perm &amp; On-Call</w:t>
            </w:r>
          </w:p>
        </w:tc>
        <w:tc>
          <w:tcPr>
            <w:tcW w:w="1872" w:type="dxa"/>
            <w:shd w:val="clear" w:color="auto" w:fill="A6A6A6" w:themeFill="background1" w:themeFillShade="A6"/>
          </w:tcPr>
          <w:p w14:paraId="658C373A" w14:textId="77777777" w:rsidR="00827B94" w:rsidRPr="00F732D1" w:rsidRDefault="00827B94" w:rsidP="00827B94">
            <w:pPr>
              <w:pStyle w:val="TableText"/>
              <w:jc w:val="center"/>
              <w:rPr>
                <w:b/>
              </w:rPr>
            </w:pPr>
            <w:r w:rsidRPr="00F732D1">
              <w:rPr>
                <w:b/>
              </w:rPr>
              <w:t>807,053</w:t>
            </w:r>
          </w:p>
        </w:tc>
        <w:tc>
          <w:tcPr>
            <w:tcW w:w="1876" w:type="dxa"/>
            <w:shd w:val="clear" w:color="auto" w:fill="A6A6A6" w:themeFill="background1" w:themeFillShade="A6"/>
          </w:tcPr>
          <w:p w14:paraId="4F2F95DE" w14:textId="77777777" w:rsidR="00827B94" w:rsidRPr="00F732D1" w:rsidRDefault="00827B94" w:rsidP="00827B94">
            <w:pPr>
              <w:pStyle w:val="TableText"/>
              <w:jc w:val="center"/>
              <w:rPr>
                <w:b/>
              </w:rPr>
            </w:pPr>
            <w:r w:rsidRPr="00F732D1">
              <w:rPr>
                <w:b/>
              </w:rPr>
              <w:t>64,640</w:t>
            </w:r>
          </w:p>
        </w:tc>
        <w:tc>
          <w:tcPr>
            <w:tcW w:w="1869" w:type="dxa"/>
            <w:shd w:val="clear" w:color="auto" w:fill="A6A6A6" w:themeFill="background1" w:themeFillShade="A6"/>
          </w:tcPr>
          <w:p w14:paraId="6F9551C4" w14:textId="77777777" w:rsidR="00827B94" w:rsidRPr="00F732D1" w:rsidRDefault="00827B94" w:rsidP="00827B94">
            <w:pPr>
              <w:pStyle w:val="TableText"/>
              <w:jc w:val="center"/>
              <w:rPr>
                <w:b/>
              </w:rPr>
            </w:pPr>
            <w:r w:rsidRPr="00F732D1">
              <w:rPr>
                <w:b/>
              </w:rPr>
              <w:t>871,693</w:t>
            </w:r>
          </w:p>
        </w:tc>
        <w:tc>
          <w:tcPr>
            <w:tcW w:w="1864" w:type="dxa"/>
            <w:shd w:val="clear" w:color="auto" w:fill="A6A6A6" w:themeFill="background1" w:themeFillShade="A6"/>
          </w:tcPr>
          <w:p w14:paraId="4E6ED087" w14:textId="77777777" w:rsidR="00827B94" w:rsidRPr="00F732D1" w:rsidRDefault="00827B94" w:rsidP="00827B94">
            <w:pPr>
              <w:pStyle w:val="TableText"/>
              <w:jc w:val="center"/>
              <w:rPr>
                <w:b/>
              </w:rPr>
            </w:pPr>
            <w:r w:rsidRPr="00F732D1">
              <w:rPr>
                <w:b/>
              </w:rPr>
              <w:t>7.4%</w:t>
            </w:r>
          </w:p>
        </w:tc>
      </w:tr>
      <w:tr w:rsidR="00827B94" w:rsidRPr="00F732D1" w14:paraId="6FEF0138" w14:textId="77777777" w:rsidTr="00827B94">
        <w:tc>
          <w:tcPr>
            <w:tcW w:w="1879" w:type="dxa"/>
          </w:tcPr>
          <w:p w14:paraId="727A5241" w14:textId="77777777" w:rsidR="00827B94" w:rsidRPr="00F732D1" w:rsidRDefault="00827B94" w:rsidP="00827B94">
            <w:pPr>
              <w:spacing w:before="40" w:after="40"/>
              <w:rPr>
                <w:rFonts w:ascii="Arial Narrow" w:hAnsi="Arial Narrow"/>
                <w:b/>
                <w:sz w:val="20"/>
                <w:szCs w:val="20"/>
              </w:rPr>
            </w:pPr>
            <w:r w:rsidRPr="00F732D1">
              <w:rPr>
                <w:rFonts w:ascii="Arial Narrow" w:hAnsi="Arial Narrow"/>
                <w:sz w:val="20"/>
                <w:szCs w:val="20"/>
              </w:rPr>
              <w:t xml:space="preserve">Echo Glen </w:t>
            </w:r>
          </w:p>
        </w:tc>
        <w:tc>
          <w:tcPr>
            <w:tcW w:w="1872" w:type="dxa"/>
          </w:tcPr>
          <w:p w14:paraId="59B28890" w14:textId="77777777" w:rsidR="00827B94" w:rsidRPr="00F732D1" w:rsidRDefault="00827B94" w:rsidP="00827B94">
            <w:pPr>
              <w:pStyle w:val="TableText"/>
              <w:jc w:val="center"/>
              <w:rPr>
                <w:b/>
              </w:rPr>
            </w:pPr>
            <w:r w:rsidRPr="000A00EC">
              <w:t>214,687</w:t>
            </w:r>
          </w:p>
        </w:tc>
        <w:tc>
          <w:tcPr>
            <w:tcW w:w="1876" w:type="dxa"/>
          </w:tcPr>
          <w:p w14:paraId="312DED61" w14:textId="77777777" w:rsidR="00827B94" w:rsidRPr="00F732D1" w:rsidRDefault="00827B94" w:rsidP="00827B94">
            <w:pPr>
              <w:pStyle w:val="TableText"/>
              <w:jc w:val="center"/>
              <w:rPr>
                <w:b/>
              </w:rPr>
            </w:pPr>
            <w:r w:rsidRPr="000A00EC">
              <w:t>32,362</w:t>
            </w:r>
          </w:p>
        </w:tc>
        <w:tc>
          <w:tcPr>
            <w:tcW w:w="1869" w:type="dxa"/>
          </w:tcPr>
          <w:p w14:paraId="49F87FC0" w14:textId="77777777" w:rsidR="00827B94" w:rsidRPr="00F732D1" w:rsidRDefault="00827B94" w:rsidP="00827B94">
            <w:pPr>
              <w:pStyle w:val="TableText"/>
              <w:jc w:val="center"/>
              <w:rPr>
                <w:b/>
              </w:rPr>
            </w:pPr>
            <w:r w:rsidRPr="000A00EC">
              <w:t>247,049</w:t>
            </w:r>
          </w:p>
        </w:tc>
        <w:tc>
          <w:tcPr>
            <w:tcW w:w="1864" w:type="dxa"/>
          </w:tcPr>
          <w:p w14:paraId="5D49B699" w14:textId="77777777" w:rsidR="00827B94" w:rsidRPr="00F732D1" w:rsidRDefault="00827B94" w:rsidP="00827B94">
            <w:pPr>
              <w:pStyle w:val="TableText"/>
              <w:jc w:val="center"/>
              <w:rPr>
                <w:b/>
              </w:rPr>
            </w:pPr>
            <w:r w:rsidRPr="000A00EC">
              <w:t>13.1%</w:t>
            </w:r>
          </w:p>
        </w:tc>
      </w:tr>
      <w:tr w:rsidR="00827B94" w:rsidRPr="00F732D1" w14:paraId="5B5E8077" w14:textId="77777777" w:rsidTr="00827B94">
        <w:trPr>
          <w:cnfStyle w:val="000000100000" w:firstRow="0" w:lastRow="0" w:firstColumn="0" w:lastColumn="0" w:oddVBand="0" w:evenVBand="0" w:oddHBand="1" w:evenHBand="0" w:firstRowFirstColumn="0" w:firstRowLastColumn="0" w:lastRowFirstColumn="0" w:lastRowLastColumn="0"/>
        </w:trPr>
        <w:tc>
          <w:tcPr>
            <w:tcW w:w="1879" w:type="dxa"/>
          </w:tcPr>
          <w:p w14:paraId="3F0EA1ED" w14:textId="77777777" w:rsidR="00827B94" w:rsidRPr="00F732D1" w:rsidRDefault="00827B94" w:rsidP="00827B94">
            <w:pPr>
              <w:spacing w:before="40" w:after="40"/>
              <w:rPr>
                <w:rFonts w:ascii="Arial Narrow" w:hAnsi="Arial Narrow"/>
                <w:b/>
                <w:sz w:val="20"/>
                <w:szCs w:val="20"/>
              </w:rPr>
            </w:pPr>
            <w:r w:rsidRPr="00F732D1">
              <w:rPr>
                <w:rFonts w:ascii="Arial Narrow" w:hAnsi="Arial Narrow"/>
                <w:sz w:val="20"/>
                <w:szCs w:val="20"/>
              </w:rPr>
              <w:t>Green Hill</w:t>
            </w:r>
          </w:p>
        </w:tc>
        <w:tc>
          <w:tcPr>
            <w:tcW w:w="1872" w:type="dxa"/>
          </w:tcPr>
          <w:p w14:paraId="2F66E02F" w14:textId="77777777" w:rsidR="00827B94" w:rsidRPr="00F732D1" w:rsidRDefault="00827B94" w:rsidP="00827B94">
            <w:pPr>
              <w:pStyle w:val="TableText"/>
              <w:jc w:val="center"/>
              <w:rPr>
                <w:b/>
              </w:rPr>
            </w:pPr>
            <w:r w:rsidRPr="000A00EC">
              <w:t>309,653</w:t>
            </w:r>
          </w:p>
        </w:tc>
        <w:tc>
          <w:tcPr>
            <w:tcW w:w="1876" w:type="dxa"/>
          </w:tcPr>
          <w:p w14:paraId="18B331CF" w14:textId="77777777" w:rsidR="00827B94" w:rsidRPr="00F732D1" w:rsidRDefault="00827B94" w:rsidP="00827B94">
            <w:pPr>
              <w:pStyle w:val="TableText"/>
              <w:jc w:val="center"/>
              <w:rPr>
                <w:b/>
              </w:rPr>
            </w:pPr>
            <w:r w:rsidRPr="000A00EC">
              <w:t>11,927</w:t>
            </w:r>
          </w:p>
        </w:tc>
        <w:tc>
          <w:tcPr>
            <w:tcW w:w="1869" w:type="dxa"/>
          </w:tcPr>
          <w:p w14:paraId="2D8A97A9" w14:textId="77777777" w:rsidR="00827B94" w:rsidRPr="00F732D1" w:rsidRDefault="00827B94" w:rsidP="00827B94">
            <w:pPr>
              <w:pStyle w:val="TableText"/>
              <w:jc w:val="center"/>
              <w:rPr>
                <w:b/>
              </w:rPr>
            </w:pPr>
            <w:r w:rsidRPr="000A00EC">
              <w:t>321,580</w:t>
            </w:r>
          </w:p>
        </w:tc>
        <w:tc>
          <w:tcPr>
            <w:tcW w:w="1864" w:type="dxa"/>
          </w:tcPr>
          <w:p w14:paraId="38E8F07B" w14:textId="77777777" w:rsidR="00827B94" w:rsidRPr="00F732D1" w:rsidRDefault="00827B94" w:rsidP="00827B94">
            <w:pPr>
              <w:pStyle w:val="TableText"/>
              <w:jc w:val="center"/>
              <w:rPr>
                <w:b/>
              </w:rPr>
            </w:pPr>
            <w:r w:rsidRPr="000A00EC">
              <w:t>3.7%</w:t>
            </w:r>
          </w:p>
        </w:tc>
      </w:tr>
      <w:tr w:rsidR="00827B94" w:rsidRPr="00F732D1" w14:paraId="362F3DB4" w14:textId="77777777" w:rsidTr="00827B94">
        <w:tc>
          <w:tcPr>
            <w:tcW w:w="1879" w:type="dxa"/>
          </w:tcPr>
          <w:p w14:paraId="537330A4" w14:textId="77777777" w:rsidR="00827B94" w:rsidRPr="00F732D1" w:rsidRDefault="00827B94" w:rsidP="00827B94">
            <w:pPr>
              <w:spacing w:before="40" w:after="40"/>
              <w:rPr>
                <w:rFonts w:ascii="Arial Narrow" w:hAnsi="Arial Narrow"/>
                <w:b/>
                <w:sz w:val="20"/>
                <w:szCs w:val="20"/>
              </w:rPr>
            </w:pPr>
            <w:r w:rsidRPr="00F732D1">
              <w:rPr>
                <w:rFonts w:ascii="Arial Narrow" w:hAnsi="Arial Narrow"/>
                <w:sz w:val="20"/>
                <w:szCs w:val="20"/>
              </w:rPr>
              <w:t>Naselle</w:t>
            </w:r>
          </w:p>
        </w:tc>
        <w:tc>
          <w:tcPr>
            <w:tcW w:w="1872" w:type="dxa"/>
          </w:tcPr>
          <w:p w14:paraId="051DF480" w14:textId="77777777" w:rsidR="00827B94" w:rsidRPr="00F732D1" w:rsidRDefault="00827B94" w:rsidP="00827B94">
            <w:pPr>
              <w:pStyle w:val="TableText"/>
              <w:jc w:val="center"/>
              <w:rPr>
                <w:b/>
              </w:rPr>
            </w:pPr>
            <w:r w:rsidRPr="000A00EC">
              <w:t>106,301</w:t>
            </w:r>
          </w:p>
        </w:tc>
        <w:tc>
          <w:tcPr>
            <w:tcW w:w="1876" w:type="dxa"/>
          </w:tcPr>
          <w:p w14:paraId="69397BB5" w14:textId="77777777" w:rsidR="00827B94" w:rsidRPr="00F732D1" w:rsidRDefault="00827B94" w:rsidP="00827B94">
            <w:pPr>
              <w:pStyle w:val="TableText"/>
              <w:jc w:val="center"/>
              <w:rPr>
                <w:b/>
              </w:rPr>
            </w:pPr>
            <w:r w:rsidRPr="000A00EC">
              <w:t>12,288</w:t>
            </w:r>
          </w:p>
        </w:tc>
        <w:tc>
          <w:tcPr>
            <w:tcW w:w="1869" w:type="dxa"/>
          </w:tcPr>
          <w:p w14:paraId="5D4BCB35" w14:textId="77777777" w:rsidR="00827B94" w:rsidRPr="00F732D1" w:rsidRDefault="00827B94" w:rsidP="00827B94">
            <w:pPr>
              <w:pStyle w:val="TableText"/>
              <w:jc w:val="center"/>
              <w:rPr>
                <w:b/>
              </w:rPr>
            </w:pPr>
            <w:r w:rsidRPr="000A00EC">
              <w:t>118,589</w:t>
            </w:r>
          </w:p>
        </w:tc>
        <w:tc>
          <w:tcPr>
            <w:tcW w:w="1864" w:type="dxa"/>
          </w:tcPr>
          <w:p w14:paraId="3FBFA524" w14:textId="77777777" w:rsidR="00827B94" w:rsidRPr="00F732D1" w:rsidRDefault="00827B94" w:rsidP="00827B94">
            <w:pPr>
              <w:pStyle w:val="TableText"/>
              <w:jc w:val="center"/>
              <w:rPr>
                <w:b/>
              </w:rPr>
            </w:pPr>
            <w:r w:rsidRPr="000A00EC">
              <w:t>10.4%</w:t>
            </w:r>
          </w:p>
        </w:tc>
      </w:tr>
      <w:tr w:rsidR="00827B94" w:rsidRPr="00F732D1" w14:paraId="6D5EC29D" w14:textId="77777777" w:rsidTr="00827B94">
        <w:trPr>
          <w:cnfStyle w:val="000000100000" w:firstRow="0" w:lastRow="0" w:firstColumn="0" w:lastColumn="0" w:oddVBand="0" w:evenVBand="0" w:oddHBand="1" w:evenHBand="0" w:firstRowFirstColumn="0" w:firstRowLastColumn="0" w:lastRowFirstColumn="0" w:lastRowLastColumn="0"/>
        </w:trPr>
        <w:tc>
          <w:tcPr>
            <w:tcW w:w="1879" w:type="dxa"/>
          </w:tcPr>
          <w:p w14:paraId="4D5F043F" w14:textId="77777777" w:rsidR="00827B94" w:rsidRPr="00F732D1" w:rsidRDefault="00827B94" w:rsidP="00827B94">
            <w:pPr>
              <w:spacing w:before="40" w:after="40"/>
              <w:rPr>
                <w:rFonts w:ascii="Arial Narrow" w:hAnsi="Arial Narrow"/>
                <w:b/>
                <w:sz w:val="20"/>
                <w:szCs w:val="20"/>
              </w:rPr>
            </w:pPr>
            <w:r w:rsidRPr="00F732D1">
              <w:rPr>
                <w:rFonts w:ascii="Arial Narrow" w:hAnsi="Arial Narrow"/>
                <w:sz w:val="20"/>
                <w:szCs w:val="20"/>
              </w:rPr>
              <w:t xml:space="preserve">Community Facilities </w:t>
            </w:r>
          </w:p>
        </w:tc>
        <w:tc>
          <w:tcPr>
            <w:tcW w:w="1872" w:type="dxa"/>
          </w:tcPr>
          <w:p w14:paraId="5132C744" w14:textId="77777777" w:rsidR="00827B94" w:rsidRPr="00F732D1" w:rsidRDefault="00827B94" w:rsidP="00827B94">
            <w:pPr>
              <w:pStyle w:val="TableText"/>
              <w:jc w:val="center"/>
              <w:rPr>
                <w:b/>
              </w:rPr>
            </w:pPr>
            <w:r w:rsidRPr="000A00EC">
              <w:t>176,411</w:t>
            </w:r>
          </w:p>
        </w:tc>
        <w:tc>
          <w:tcPr>
            <w:tcW w:w="1876" w:type="dxa"/>
          </w:tcPr>
          <w:p w14:paraId="24136880" w14:textId="77777777" w:rsidR="00827B94" w:rsidRPr="00F732D1" w:rsidRDefault="00827B94" w:rsidP="00827B94">
            <w:pPr>
              <w:pStyle w:val="TableText"/>
              <w:jc w:val="center"/>
              <w:rPr>
                <w:b/>
              </w:rPr>
            </w:pPr>
            <w:r w:rsidRPr="000A00EC">
              <w:t>8,064</w:t>
            </w:r>
          </w:p>
        </w:tc>
        <w:tc>
          <w:tcPr>
            <w:tcW w:w="1869" w:type="dxa"/>
          </w:tcPr>
          <w:p w14:paraId="179CC674" w14:textId="77777777" w:rsidR="00827B94" w:rsidRPr="00F732D1" w:rsidRDefault="00827B94" w:rsidP="00827B94">
            <w:pPr>
              <w:pStyle w:val="TableText"/>
              <w:jc w:val="center"/>
              <w:rPr>
                <w:b/>
              </w:rPr>
            </w:pPr>
            <w:r w:rsidRPr="000A00EC">
              <w:t>184,475</w:t>
            </w:r>
          </w:p>
        </w:tc>
        <w:tc>
          <w:tcPr>
            <w:tcW w:w="1864" w:type="dxa"/>
          </w:tcPr>
          <w:p w14:paraId="7475FC58" w14:textId="77777777" w:rsidR="00827B94" w:rsidRPr="00F732D1" w:rsidRDefault="00827B94" w:rsidP="00827B94">
            <w:pPr>
              <w:pStyle w:val="TableText"/>
              <w:jc w:val="center"/>
              <w:rPr>
                <w:b/>
              </w:rPr>
            </w:pPr>
            <w:r w:rsidRPr="000A00EC">
              <w:t>4.4%</w:t>
            </w:r>
          </w:p>
        </w:tc>
      </w:tr>
    </w:tbl>
    <w:p w14:paraId="675CEA9B" w14:textId="77777777" w:rsidR="00DC5C16" w:rsidRPr="00DC5C16" w:rsidRDefault="00DC5C16" w:rsidP="00DC5C16">
      <w:pPr>
        <w:pStyle w:val="TableText"/>
        <w:rPr>
          <w:i/>
        </w:rPr>
      </w:pPr>
      <w:r>
        <w:rPr>
          <w:i/>
        </w:rPr>
        <w:t>Source Data</w:t>
      </w:r>
      <w:r w:rsidRPr="00DC5C16">
        <w:rPr>
          <w:i/>
        </w:rPr>
        <w:t xml:space="preserve">: June 2017 – May 2018 </w:t>
      </w:r>
    </w:p>
    <w:p w14:paraId="72A139F6" w14:textId="77777777" w:rsidR="00654AC7" w:rsidRDefault="00654AC7" w:rsidP="00654AC7">
      <w:r w:rsidRPr="005C1EA6">
        <w:t xml:space="preserve">As seen in Exhibit </w:t>
      </w:r>
      <w:r w:rsidR="00DD4F6B">
        <w:t>5</w:t>
      </w:r>
      <w:r w:rsidRPr="005C1EA6">
        <w:t>-7, the total use of overtime among all staff (permanent and on-call) is 64,640 hours, which represents 7.4</w:t>
      </w:r>
      <w:r>
        <w:t xml:space="preserve">% </w:t>
      </w:r>
      <w:r w:rsidRPr="005C1EA6">
        <w:t xml:space="preserve">of all hours worked by JR staff. This represents a significant cost outlay for </w:t>
      </w:r>
      <w:r w:rsidR="009C5781">
        <w:t xml:space="preserve">JR </w:t>
      </w:r>
      <w:r>
        <w:t xml:space="preserve">as overtime </w:t>
      </w:r>
      <w:r w:rsidRPr="005C1EA6">
        <w:t>hours are paid at 1.5 times the regular wage</w:t>
      </w:r>
      <w:r>
        <w:t xml:space="preserve">. It is important to note, however, the overtime reflected in the exhibit includes both “regular” overtime, when a staff member works above 40 hours per week, as well as holiday overtime, which is when a staff member works a shift on a holiday. Holiday overtime is unavoidable and will be an expense JR incurs under any </w:t>
      </w:r>
      <w:r w:rsidR="005D560D">
        <w:t xml:space="preserve">residential </w:t>
      </w:r>
      <w:r>
        <w:t>staffing model</w:t>
      </w:r>
      <w:r w:rsidR="00A3786D">
        <w:t xml:space="preserve">. </w:t>
      </w:r>
    </w:p>
    <w:p w14:paraId="2E3983A9" w14:textId="77777777" w:rsidR="00654AC7" w:rsidRPr="00DE387B" w:rsidRDefault="00654AC7" w:rsidP="00654AC7">
      <w:r>
        <w:t xml:space="preserve">There are additional findings upon looking more closely at the facility-level data. There is significant variation in use of overtime across the facilities, with Echo Glen and Naselle having the highest use </w:t>
      </w:r>
      <w:r w:rsidR="00806652">
        <w:t xml:space="preserve">of </w:t>
      </w:r>
      <w:r>
        <w:t xml:space="preserve">overtime at 13.1% and 10.4%, respectively, of all hours worked. This suggests a higher prevalence of staff calling out and missing shifts in those facilities, which is consistent with interview data. In interviews and focus groups, staff from Echo Glen and Naselle emphasized staff call out for mental health days, to look for other jobs, and for other reasons. This has numerous impacts on staff capacity, creating a need for mandatory holdovers, </w:t>
      </w:r>
      <w:r w:rsidRPr="00DE387B">
        <w:t xml:space="preserve">depressing staff morale, and leading to greater staff burnout. </w:t>
      </w:r>
    </w:p>
    <w:p w14:paraId="6F7CB672" w14:textId="77777777" w:rsidR="00654AC7" w:rsidRPr="00DE387B" w:rsidRDefault="00DE387B" w:rsidP="00741BE1">
      <w:r>
        <w:t>Green Hill</w:t>
      </w:r>
      <w:r w:rsidR="00803661">
        <w:t xml:space="preserve"> </w:t>
      </w:r>
      <w:r w:rsidR="00654AC7" w:rsidRPr="00DE387B">
        <w:t>has the lowest relative use of overtime among all facilities</w:t>
      </w:r>
      <w:r w:rsidR="00F74869" w:rsidRPr="00DE387B">
        <w:t xml:space="preserve">. We learned, however, </w:t>
      </w:r>
      <w:r w:rsidR="00806652" w:rsidRPr="00DE387B">
        <w:t>that Green Hill</w:t>
      </w:r>
      <w:r w:rsidR="00654AC7" w:rsidRPr="00DE387B">
        <w:t xml:space="preserve"> </w:t>
      </w:r>
      <w:r w:rsidR="00F74869" w:rsidRPr="00DE387B">
        <w:t>has a significant number of staff taking unplanned leave. Green Hill does</w:t>
      </w:r>
      <w:r w:rsidR="005456CD">
        <w:t xml:space="preserve"> not typically</w:t>
      </w:r>
      <w:r w:rsidR="00F74869" w:rsidRPr="00DE387B">
        <w:t xml:space="preserve"> </w:t>
      </w:r>
      <w:r w:rsidR="00803661">
        <w:t>use mandatory overtime. Rather, if there is not enough staff to manage the milieu,</w:t>
      </w:r>
      <w:r w:rsidR="00F74869" w:rsidRPr="00DE387B">
        <w:t xml:space="preserve"> </w:t>
      </w:r>
      <w:r w:rsidR="00803661">
        <w:t xml:space="preserve">Green Hill modifies their programming. Modified programming results in </w:t>
      </w:r>
      <w:r w:rsidRPr="00DE387B">
        <w:t xml:space="preserve">youth </w:t>
      </w:r>
      <w:r w:rsidR="00803661">
        <w:t>having</w:t>
      </w:r>
      <w:r w:rsidR="00F74869" w:rsidRPr="00DE387B">
        <w:t xml:space="preserve"> half the time out of their rooms. </w:t>
      </w:r>
      <w:r w:rsidR="00654AC7" w:rsidRPr="00DE387B">
        <w:t xml:space="preserve">This </w:t>
      </w:r>
      <w:r w:rsidRPr="00DE387B">
        <w:t xml:space="preserve">also often </w:t>
      </w:r>
      <w:r w:rsidR="00654AC7" w:rsidRPr="00DE387B">
        <w:t>may result in youth</w:t>
      </w:r>
      <w:r w:rsidR="00806652" w:rsidRPr="00DE387B">
        <w:t xml:space="preserve"> not being able to participate in cultural, recreational or other programs,</w:t>
      </w:r>
      <w:r w:rsidR="00654AC7" w:rsidRPr="00DE387B">
        <w:t xml:space="preserve"> depending on the shifts and timeframes when </w:t>
      </w:r>
      <w:r w:rsidRPr="00DE387B">
        <w:t>staffing levels require</w:t>
      </w:r>
      <w:r w:rsidR="00806652" w:rsidRPr="00DE387B">
        <w:t xml:space="preserve"> a reduction.</w:t>
      </w:r>
    </w:p>
    <w:p w14:paraId="1E701B44" w14:textId="77777777" w:rsidR="00062214" w:rsidRPr="00DE387B" w:rsidRDefault="00A15878" w:rsidP="001F03DE">
      <w:r w:rsidRPr="00DE387B">
        <w:t>A</w:t>
      </w:r>
      <w:r w:rsidR="007E5090" w:rsidRPr="00DE387B">
        <w:t xml:space="preserve">ll </w:t>
      </w:r>
      <w:r w:rsidR="00062214" w:rsidRPr="00DE387B">
        <w:t xml:space="preserve">three institutions and the community facilities (collectively) </w:t>
      </w:r>
      <w:r w:rsidR="007E5090" w:rsidRPr="00DE387B">
        <w:t xml:space="preserve">saw </w:t>
      </w:r>
      <w:r w:rsidR="00062214" w:rsidRPr="00DE387B">
        <w:t xml:space="preserve">a higher incidence of overtime </w:t>
      </w:r>
      <w:r w:rsidR="007E5090" w:rsidRPr="00DE387B">
        <w:t xml:space="preserve">use </w:t>
      </w:r>
      <w:r w:rsidR="00062214" w:rsidRPr="00DE387B">
        <w:t xml:space="preserve">among on-call staff. </w:t>
      </w:r>
      <w:r w:rsidR="007E5090" w:rsidRPr="00DE387B">
        <w:t xml:space="preserve">At both Echo Glen and Naselle, overtime accounts for more than 10% of all on-call staff hours. </w:t>
      </w:r>
      <w:r w:rsidR="00062214" w:rsidRPr="00DE387B">
        <w:t>This has even more serious budget implications for JR, because on-call staff who work enough to gather overtime may, over time, qualify for benefits</w:t>
      </w:r>
      <w:r w:rsidR="004C75A6" w:rsidRPr="00DE387B">
        <w:t xml:space="preserve">. </w:t>
      </w:r>
    </w:p>
    <w:p w14:paraId="4DD2D040" w14:textId="77777777" w:rsidR="00026D39" w:rsidRPr="009C5781" w:rsidRDefault="00C163A8" w:rsidP="00026D39">
      <w:pPr>
        <w:pStyle w:val="Heading4"/>
        <w:rPr>
          <w:color w:val="auto"/>
        </w:rPr>
      </w:pPr>
      <w:r w:rsidRPr="009C5781">
        <w:rPr>
          <w:color w:val="auto"/>
        </w:rPr>
        <w:t xml:space="preserve">Reasons for Overtime </w:t>
      </w:r>
    </w:p>
    <w:p w14:paraId="2B8C0B35" w14:textId="77777777" w:rsidR="00026D39" w:rsidRDefault="00026D39" w:rsidP="00026D39">
      <w:pPr>
        <w:pStyle w:val="PullQuote"/>
        <w:framePr w:wrap="around" w:hAnchor="page" w:x="7389" w:y="351"/>
      </w:pPr>
      <w:r>
        <w:t xml:space="preserve"> “Lack of permanent staff is the primary reason for excessive use of overtime</w:t>
      </w:r>
      <w:r w:rsidR="00CF45E6">
        <w:t>.</w:t>
      </w:r>
      <w:r>
        <w:t>”</w:t>
      </w:r>
    </w:p>
    <w:p w14:paraId="3696AF92" w14:textId="77777777" w:rsidR="00026D39" w:rsidRPr="00B355ED" w:rsidRDefault="00026D39" w:rsidP="00026D39">
      <w:pPr>
        <w:pStyle w:val="PullQuote"/>
        <w:framePr w:wrap="around" w:hAnchor="page" w:x="7389" w:y="351"/>
        <w:jc w:val="right"/>
      </w:pPr>
      <w:r>
        <w:t>— Staff</w:t>
      </w:r>
    </w:p>
    <w:p w14:paraId="4DDA3A2C" w14:textId="77777777" w:rsidR="007D7C2E" w:rsidRDefault="00C163A8" w:rsidP="007D7C2E">
      <w:r>
        <w:t xml:space="preserve">During interviews, staff </w:t>
      </w:r>
      <w:r w:rsidR="007D7C2E">
        <w:t>identified a number of factors driving the use of overtime. The most prevalent reason given for overtime is</w:t>
      </w:r>
      <w:r w:rsidR="009C7DE4">
        <w:t xml:space="preserve"> </w:t>
      </w:r>
      <w:r w:rsidR="00DD4F6B">
        <w:t xml:space="preserve">the lack of </w:t>
      </w:r>
      <w:r w:rsidR="007D7C2E">
        <w:t xml:space="preserve">sufficient </w:t>
      </w:r>
      <w:r w:rsidR="00AA4EE1">
        <w:t>permanent staff to meet</w:t>
      </w:r>
      <w:r w:rsidR="007D7C2E">
        <w:t xml:space="preserve"> minimum staffing requirements</w:t>
      </w:r>
      <w:r w:rsidR="005C1EA6">
        <w:t xml:space="preserve">. In part, this is due </w:t>
      </w:r>
      <w:r w:rsidR="007D7C2E">
        <w:t xml:space="preserve">to high turnover </w:t>
      </w:r>
      <w:r w:rsidR="00CF45E6">
        <w:t xml:space="preserve">and difficulty in filling </w:t>
      </w:r>
      <w:r w:rsidR="007D7C2E">
        <w:t xml:space="preserve">vacancies. </w:t>
      </w:r>
      <w:r w:rsidR="00CF45E6">
        <w:t>S</w:t>
      </w:r>
      <w:r>
        <w:t xml:space="preserve">ome staff noted </w:t>
      </w:r>
      <w:r w:rsidR="007D7C2E">
        <w:t xml:space="preserve">a high </w:t>
      </w:r>
      <w:r>
        <w:t xml:space="preserve">rate of </w:t>
      </w:r>
      <w:r w:rsidR="007D7C2E">
        <w:t xml:space="preserve">staff calling in sick, staff on “light duty,” </w:t>
      </w:r>
      <w:r>
        <w:t xml:space="preserve">and </w:t>
      </w:r>
      <w:r w:rsidR="007D7C2E">
        <w:t xml:space="preserve">staff </w:t>
      </w:r>
      <w:r>
        <w:t xml:space="preserve">members </w:t>
      </w:r>
      <w:r w:rsidR="00815FDA">
        <w:t xml:space="preserve">being </w:t>
      </w:r>
      <w:r>
        <w:t>away for training</w:t>
      </w:r>
      <w:r w:rsidR="007D7C2E">
        <w:t xml:space="preserve">. </w:t>
      </w:r>
      <w:r w:rsidR="00420FA2">
        <w:t xml:space="preserve">In interviews with managers, we heard a lot of staff are “calling out sick at the last minute.” Some </w:t>
      </w:r>
      <w:r w:rsidR="00420FA2">
        <w:lastRenderedPageBreak/>
        <w:t>managers felt the Paid Sick Leave Law (Initiative 1433),</w:t>
      </w:r>
      <w:r w:rsidR="00420FA2">
        <w:rPr>
          <w:rStyle w:val="FootnoteReference"/>
        </w:rPr>
        <w:footnoteReference w:id="70"/>
      </w:r>
      <w:r w:rsidR="00420FA2">
        <w:t xml:space="preserve"> has led to improper use of sick leave by staff.  The law expands the reasons for the use of sick leave and managers can no longer hold staff accountable for using sick leave as it is now protected from retaliation/discrimination, like FMLA. Management cannot interfere or deny the use of sick leave; treat sick leave as a negative factor in an evaluation, promotion or termination; count sick leave as an absence that may result in discipline; or take adverse action against and employee for using sick leave.</w:t>
      </w:r>
      <w:r w:rsidR="00420FA2">
        <w:rPr>
          <w:rStyle w:val="FootnoteReference"/>
        </w:rPr>
        <w:footnoteReference w:id="71"/>
      </w:r>
    </w:p>
    <w:p w14:paraId="47F6846C" w14:textId="77777777" w:rsidR="007D7C2E" w:rsidRDefault="00C163A8" w:rsidP="007D7C2E">
      <w:r>
        <w:t>S</w:t>
      </w:r>
      <w:r w:rsidR="007D7C2E">
        <w:t>taff indicated high levels o</w:t>
      </w:r>
      <w:r w:rsidR="00CF45E6">
        <w:t xml:space="preserve">f overtime are leading to chronic </w:t>
      </w:r>
      <w:r w:rsidR="007D7C2E">
        <w:t>stress and burnout</w:t>
      </w:r>
      <w:r w:rsidR="005C1EA6">
        <w:t xml:space="preserve">, which, in </w:t>
      </w:r>
      <w:r w:rsidR="007D7C2E">
        <w:t xml:space="preserve">turn, </w:t>
      </w:r>
      <w:r w:rsidR="005C1EA6">
        <w:t xml:space="preserve">leads </w:t>
      </w:r>
      <w:r w:rsidR="007D7C2E">
        <w:t xml:space="preserve">to increased absenteeism. For example, a staff person may have to work a double </w:t>
      </w:r>
      <w:r w:rsidR="00CF45E6">
        <w:t xml:space="preserve">shift </w:t>
      </w:r>
      <w:r w:rsidR="007D7C2E">
        <w:t>on Monday, but by Thursday they are sick from fatigue</w:t>
      </w:r>
      <w:r w:rsidR="00CF45E6">
        <w:t>,</w:t>
      </w:r>
      <w:r w:rsidR="007D7C2E">
        <w:t xml:space="preserve"> so they do not report for work</w:t>
      </w:r>
      <w:r w:rsidR="005C1EA6">
        <w:t xml:space="preserve">, requiring another staff member to then </w:t>
      </w:r>
      <w:r w:rsidR="007D7C2E">
        <w:t xml:space="preserve">work a double to cover </w:t>
      </w:r>
      <w:r w:rsidR="005C1EA6">
        <w:t xml:space="preserve">the </w:t>
      </w:r>
      <w:r w:rsidR="007D7C2E">
        <w:t xml:space="preserve">shift. Staff also </w:t>
      </w:r>
      <w:r w:rsidR="005C1EA6">
        <w:t xml:space="preserve">noted </w:t>
      </w:r>
      <w:r w:rsidR="007D7C2E">
        <w:t xml:space="preserve">working with the youth is highly demanding and they need time to rest. Further, being exhausted impacts staff’s ability </w:t>
      </w:r>
      <w:r w:rsidR="009C7DE4">
        <w:t xml:space="preserve">to </w:t>
      </w:r>
      <w:r w:rsidR="00432703">
        <w:t xml:space="preserve">maintain safety in the </w:t>
      </w:r>
      <w:r w:rsidR="005C1EA6">
        <w:t>milieu</w:t>
      </w:r>
      <w:r w:rsidR="007D7C2E">
        <w:t xml:space="preserve"> and implement the </w:t>
      </w:r>
      <w:r w:rsidR="00AF70EE">
        <w:t>Rehabilitation Model</w:t>
      </w:r>
      <w:r w:rsidR="007D7C2E">
        <w:t xml:space="preserve">. Many staff indicated they are not able to have a healthy work-life balance. </w:t>
      </w:r>
      <w:r w:rsidR="005C1EA6">
        <w:t xml:space="preserve">Some staff felt </w:t>
      </w:r>
      <w:r w:rsidR="007D7C2E">
        <w:t>management does n</w:t>
      </w:r>
      <w:r w:rsidR="009273BE">
        <w:t>ot respect their lives</w:t>
      </w:r>
      <w:r w:rsidR="007D7C2E">
        <w:t xml:space="preserve"> outside of work</w:t>
      </w:r>
      <w:r w:rsidR="005C1EA6">
        <w:t xml:space="preserve"> </w:t>
      </w:r>
      <w:r w:rsidR="007D7C2E">
        <w:t xml:space="preserve">and </w:t>
      </w:r>
      <w:r w:rsidR="005C1EA6">
        <w:t xml:space="preserve">do not </w:t>
      </w:r>
      <w:r w:rsidR="007D7C2E">
        <w:t>understand the importance of a healthy work-life balance.</w:t>
      </w:r>
      <w:r w:rsidR="00635E40">
        <w:t xml:space="preserve"> Some indicated that allowing alternate work schedules (e.g., 4/10s) would help improve work-life balance. </w:t>
      </w:r>
    </w:p>
    <w:p w14:paraId="5743064A" w14:textId="77777777" w:rsidR="007D7C2E" w:rsidRPr="009C5781" w:rsidRDefault="007D7C2E" w:rsidP="00026D39">
      <w:pPr>
        <w:pStyle w:val="Heading4"/>
        <w:rPr>
          <w:color w:val="auto"/>
        </w:rPr>
      </w:pPr>
      <w:r w:rsidRPr="009C5781">
        <w:rPr>
          <w:color w:val="auto"/>
        </w:rPr>
        <w:t>Mandatory Holdovers</w:t>
      </w:r>
    </w:p>
    <w:p w14:paraId="415523AB" w14:textId="77777777" w:rsidR="00230A3E" w:rsidRDefault="00230A3E" w:rsidP="00230A3E">
      <w:pPr>
        <w:pStyle w:val="PullQuote"/>
        <w:framePr w:wrap="around" w:hAnchor="page" w:x="7561" w:y="-1578"/>
      </w:pPr>
      <w:r>
        <w:t>“Lots of people are working tons of overtime. They come to my unit after they have worked 8 hours in their unit and they are zombies.”</w:t>
      </w:r>
    </w:p>
    <w:p w14:paraId="7A462857" w14:textId="77777777" w:rsidR="00230A3E" w:rsidRPr="00B355ED" w:rsidRDefault="00230A3E" w:rsidP="00230A3E">
      <w:pPr>
        <w:pStyle w:val="PullQuote"/>
        <w:framePr w:wrap="around" w:hAnchor="page" w:x="7561" w:y="-1578"/>
        <w:jc w:val="right"/>
      </w:pPr>
      <w:r>
        <w:t>— Staff</w:t>
      </w:r>
    </w:p>
    <w:p w14:paraId="70868DE9" w14:textId="77777777" w:rsidR="007D7C2E" w:rsidRPr="00AE63DD" w:rsidRDefault="00C163A8" w:rsidP="007D7C2E">
      <w:r w:rsidRPr="004962BA">
        <w:t xml:space="preserve">We obtained information about </w:t>
      </w:r>
      <w:r w:rsidR="007D7C2E" w:rsidRPr="004962BA">
        <w:t>mandatory shift holdovers</w:t>
      </w:r>
      <w:r w:rsidRPr="004962BA">
        <w:t xml:space="preserve"> from the staff survey</w:t>
      </w:r>
      <w:r w:rsidR="007D7C2E" w:rsidRPr="004962BA">
        <w:t xml:space="preserve">. </w:t>
      </w:r>
      <w:r w:rsidR="00AE63DD" w:rsidRPr="004962BA">
        <w:t xml:space="preserve">Exhibit </w:t>
      </w:r>
      <w:r w:rsidR="00DD4F6B">
        <w:t>5</w:t>
      </w:r>
      <w:r w:rsidR="00AE63DD" w:rsidRPr="004962BA">
        <w:t>-8</w:t>
      </w:r>
      <w:r w:rsidR="007D7C2E" w:rsidRPr="004962BA">
        <w:t xml:space="preserve"> provides a picture of the extent of mandatory holdovers by facility and by position. </w:t>
      </w:r>
      <w:r w:rsidR="00BA34CF" w:rsidRPr="004962BA">
        <w:t>A</w:t>
      </w:r>
      <w:r w:rsidR="00B24988">
        <w:t xml:space="preserve"> mandatory holdover is </w:t>
      </w:r>
      <w:r w:rsidR="00635E40">
        <w:t xml:space="preserve">when </w:t>
      </w:r>
      <w:r w:rsidR="00BA34CF" w:rsidRPr="004962BA">
        <w:t xml:space="preserve">an employee </w:t>
      </w:r>
      <w:r w:rsidR="00635E40">
        <w:t xml:space="preserve">must remain at their post after their scheduled shift ends, in order to </w:t>
      </w:r>
      <w:r w:rsidR="00BA34CF" w:rsidRPr="004962BA">
        <w:t>maintain minimum staffing</w:t>
      </w:r>
      <w:r w:rsidR="00635E40">
        <w:t xml:space="preserve"> levels</w:t>
      </w:r>
      <w:r w:rsidR="00BA34CF" w:rsidRPr="004962BA">
        <w:t xml:space="preserve">. </w:t>
      </w:r>
      <w:r w:rsidR="00635E40">
        <w:t xml:space="preserve">This often occurs when the staff member in the next shift calls in sick unexpectedly. </w:t>
      </w:r>
      <w:r w:rsidR="007D7C2E" w:rsidRPr="004962BA">
        <w:t>The perc</w:t>
      </w:r>
      <w:r w:rsidR="00E37EEC" w:rsidRPr="004962BA">
        <w:t>entage of staff experiencing one to two</w:t>
      </w:r>
      <w:r w:rsidR="007D7C2E" w:rsidRPr="004962BA">
        <w:t xml:space="preserve"> mandatory shift holdovers per m</w:t>
      </w:r>
      <w:r w:rsidR="00E37EEC" w:rsidRPr="004962BA">
        <w:t>onth ranges from a high of 67.9</w:t>
      </w:r>
      <w:r w:rsidR="004962BA">
        <w:t xml:space="preserve">% </w:t>
      </w:r>
      <w:r w:rsidR="00E37EEC" w:rsidRPr="004962BA">
        <w:t>at Echo Glen to a low of 11.8</w:t>
      </w:r>
      <w:r w:rsidR="004962BA">
        <w:t>%</w:t>
      </w:r>
      <w:r w:rsidR="00F02BD2">
        <w:t xml:space="preserve"> </w:t>
      </w:r>
      <w:r w:rsidR="007D7C2E" w:rsidRPr="004962BA">
        <w:t>at Green Hill</w:t>
      </w:r>
      <w:r w:rsidR="00E37EEC" w:rsidRPr="004962BA">
        <w:t>. More than half of the staff at</w:t>
      </w:r>
      <w:r w:rsidR="007D7C2E" w:rsidRPr="004962BA">
        <w:t xml:space="preserve"> the c</w:t>
      </w:r>
      <w:r w:rsidR="00E37EEC" w:rsidRPr="004962BA">
        <w:t>o</w:t>
      </w:r>
      <w:r w:rsidR="00C57FD9" w:rsidRPr="004962BA">
        <w:t>mmunity facilities (51.9%</w:t>
      </w:r>
      <w:r w:rsidR="00E37EEC" w:rsidRPr="004962BA">
        <w:t>) typically experienced one to two</w:t>
      </w:r>
      <w:r w:rsidR="007D7C2E" w:rsidRPr="004962BA">
        <w:t xml:space="preserve"> mandatory holdovers in a</w:t>
      </w:r>
      <w:r w:rsidR="00F02BD2">
        <w:t xml:space="preserve">n average </w:t>
      </w:r>
      <w:r w:rsidR="007D7C2E" w:rsidRPr="004962BA">
        <w:t>month.</w:t>
      </w:r>
    </w:p>
    <w:p w14:paraId="74FF0AAB" w14:textId="77777777" w:rsidR="007D7C2E" w:rsidRPr="00131649" w:rsidRDefault="00AE63DD" w:rsidP="00026D39">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8</w:t>
      </w:r>
      <w:r w:rsidR="00710F1C">
        <w:rPr>
          <w:noProof/>
        </w:rPr>
        <w:fldChar w:fldCharType="end"/>
      </w:r>
      <w:r w:rsidR="00E251C1">
        <w:t xml:space="preserve">. </w:t>
      </w:r>
      <w:r w:rsidR="007D7C2E">
        <w:t>Mandatory Shift Holdovers, Per Month, by Facility</w:t>
      </w:r>
    </w:p>
    <w:tbl>
      <w:tblPr>
        <w:tblStyle w:val="HyzerTable"/>
        <w:tblW w:w="9653" w:type="dxa"/>
        <w:tblLayout w:type="fixed"/>
        <w:tblLook w:val="0420" w:firstRow="1" w:lastRow="0" w:firstColumn="0" w:lastColumn="0" w:noHBand="0" w:noVBand="1"/>
      </w:tblPr>
      <w:tblGrid>
        <w:gridCol w:w="1548"/>
        <w:gridCol w:w="582"/>
        <w:gridCol w:w="990"/>
        <w:gridCol w:w="630"/>
        <w:gridCol w:w="990"/>
        <w:gridCol w:w="810"/>
        <w:gridCol w:w="900"/>
        <w:gridCol w:w="630"/>
        <w:gridCol w:w="900"/>
        <w:gridCol w:w="630"/>
        <w:gridCol w:w="1043"/>
      </w:tblGrid>
      <w:tr w:rsidR="007D7C2E" w:rsidRPr="00CD1826" w14:paraId="4A27CFD7" w14:textId="77777777" w:rsidTr="1FF1B213">
        <w:trPr>
          <w:cnfStyle w:val="100000000000" w:firstRow="1" w:lastRow="0" w:firstColumn="0" w:lastColumn="0" w:oddVBand="0" w:evenVBand="0" w:oddHBand="0" w:evenHBand="0" w:firstRowFirstColumn="0" w:firstRowLastColumn="0" w:lastRowFirstColumn="0" w:lastRowLastColumn="0"/>
          <w:tblHeader/>
        </w:trPr>
        <w:tc>
          <w:tcPr>
            <w:tcW w:w="1548" w:type="dxa"/>
            <w:vMerge w:val="restart"/>
            <w:vAlign w:val="center"/>
          </w:tcPr>
          <w:p w14:paraId="77493907" w14:textId="77777777" w:rsidR="007D7C2E" w:rsidRPr="00F02BD2" w:rsidRDefault="007D7C2E" w:rsidP="00026D39">
            <w:pPr>
              <w:pStyle w:val="tableheaderwhite"/>
              <w:keepNext/>
              <w:rPr>
                <w:sz w:val="22"/>
              </w:rPr>
            </w:pPr>
            <w:r w:rsidRPr="1FF1B213">
              <w:rPr>
                <w:sz w:val="22"/>
                <w:szCs w:val="22"/>
              </w:rPr>
              <w:t>Facility</w:t>
            </w:r>
          </w:p>
        </w:tc>
        <w:tc>
          <w:tcPr>
            <w:tcW w:w="8105" w:type="dxa"/>
            <w:gridSpan w:val="10"/>
            <w:tcBorders>
              <w:bottom w:val="single" w:sz="2" w:space="0" w:color="808080" w:themeColor="text1" w:themeTint="7F"/>
            </w:tcBorders>
            <w:vAlign w:val="center"/>
          </w:tcPr>
          <w:p w14:paraId="4F1DCBEF" w14:textId="77777777" w:rsidR="007D7C2E" w:rsidRPr="00F02BD2" w:rsidRDefault="007D7C2E" w:rsidP="00026D39">
            <w:pPr>
              <w:pStyle w:val="tableheaderwhite"/>
              <w:keepNext/>
              <w:rPr>
                <w:sz w:val="22"/>
              </w:rPr>
            </w:pPr>
            <w:r w:rsidRPr="1FF1B213">
              <w:rPr>
                <w:sz w:val="22"/>
                <w:szCs w:val="22"/>
              </w:rPr>
              <w:t>Mandatory Shift Holdovers Per Month</w:t>
            </w:r>
            <w:r w:rsidR="00593DF3" w:rsidRPr="1FF1B213">
              <w:rPr>
                <w:sz w:val="22"/>
                <w:szCs w:val="22"/>
              </w:rPr>
              <w:t>*</w:t>
            </w:r>
          </w:p>
          <w:p w14:paraId="45257C8C" w14:textId="77777777" w:rsidR="007D7C2E" w:rsidRPr="00F02BD2" w:rsidRDefault="007D7C2E" w:rsidP="00026D39">
            <w:pPr>
              <w:pStyle w:val="tableheaderwhite"/>
              <w:keepNext/>
              <w:rPr>
                <w:sz w:val="22"/>
              </w:rPr>
            </w:pPr>
          </w:p>
        </w:tc>
      </w:tr>
      <w:tr w:rsidR="007D7C2E" w:rsidRPr="00CD1826" w14:paraId="4945DD64" w14:textId="77777777" w:rsidTr="001C3BE2">
        <w:trPr>
          <w:cnfStyle w:val="100000000000" w:firstRow="1" w:lastRow="0" w:firstColumn="0" w:lastColumn="0" w:oddVBand="0" w:evenVBand="0" w:oddHBand="0" w:evenHBand="0" w:firstRowFirstColumn="0" w:firstRowLastColumn="0" w:lastRowFirstColumn="0" w:lastRowLastColumn="0"/>
          <w:tblHeader/>
        </w:trPr>
        <w:tc>
          <w:tcPr>
            <w:tcW w:w="1548" w:type="dxa"/>
            <w:vMerge/>
            <w:tcBorders>
              <w:bottom w:val="single" w:sz="2" w:space="0" w:color="808080"/>
            </w:tcBorders>
          </w:tcPr>
          <w:p w14:paraId="745D41CB" w14:textId="77777777" w:rsidR="007D7C2E" w:rsidRPr="00F02BD2" w:rsidRDefault="007D7C2E" w:rsidP="00026D39">
            <w:pPr>
              <w:pStyle w:val="TableText"/>
              <w:keepNext/>
              <w:rPr>
                <w:sz w:val="22"/>
                <w:szCs w:val="22"/>
              </w:rPr>
            </w:pPr>
          </w:p>
        </w:tc>
        <w:tc>
          <w:tcPr>
            <w:tcW w:w="1572" w:type="dxa"/>
            <w:gridSpan w:val="2"/>
            <w:tcBorders>
              <w:top w:val="single" w:sz="2" w:space="0" w:color="808080" w:themeColor="text1" w:themeTint="7F"/>
              <w:bottom w:val="single" w:sz="2" w:space="0" w:color="808080" w:themeColor="text1" w:themeTint="7F"/>
            </w:tcBorders>
            <w:shd w:val="clear" w:color="auto" w:fill="C6D9F1" w:themeFill="text2" w:themeFillTint="33"/>
          </w:tcPr>
          <w:p w14:paraId="38B20F05" w14:textId="77777777" w:rsidR="007D7C2E" w:rsidRPr="00F02BD2" w:rsidRDefault="007D7C2E" w:rsidP="00026D39">
            <w:pPr>
              <w:pStyle w:val="TableText"/>
              <w:keepNext/>
              <w:jc w:val="center"/>
              <w:rPr>
                <w:rStyle w:val="TableTextBold"/>
                <w:sz w:val="22"/>
                <w:szCs w:val="24"/>
              </w:rPr>
            </w:pPr>
            <w:r w:rsidRPr="00F02BD2">
              <w:rPr>
                <w:rStyle w:val="TableTextBold"/>
                <w:sz w:val="22"/>
                <w:szCs w:val="24"/>
              </w:rPr>
              <w:t>1-2 Times</w:t>
            </w:r>
          </w:p>
        </w:tc>
        <w:tc>
          <w:tcPr>
            <w:tcW w:w="1620" w:type="dxa"/>
            <w:gridSpan w:val="2"/>
            <w:tcBorders>
              <w:top w:val="single" w:sz="2" w:space="0" w:color="808080" w:themeColor="text1" w:themeTint="7F"/>
              <w:bottom w:val="single" w:sz="2" w:space="0" w:color="808080" w:themeColor="text1" w:themeTint="7F"/>
            </w:tcBorders>
            <w:shd w:val="clear" w:color="auto" w:fill="C6D9F1" w:themeFill="text2" w:themeFillTint="33"/>
          </w:tcPr>
          <w:p w14:paraId="21F6F97A" w14:textId="77777777" w:rsidR="007D7C2E" w:rsidRPr="00F02BD2" w:rsidRDefault="007D7C2E" w:rsidP="00026D39">
            <w:pPr>
              <w:pStyle w:val="TableText"/>
              <w:keepNext/>
              <w:jc w:val="center"/>
              <w:rPr>
                <w:rStyle w:val="TableTextBold"/>
                <w:sz w:val="22"/>
                <w:szCs w:val="24"/>
              </w:rPr>
            </w:pPr>
            <w:r w:rsidRPr="00F02BD2">
              <w:rPr>
                <w:rStyle w:val="TableTextBold"/>
                <w:sz w:val="22"/>
                <w:szCs w:val="24"/>
              </w:rPr>
              <w:t>3-6 Times</w:t>
            </w:r>
          </w:p>
        </w:tc>
        <w:tc>
          <w:tcPr>
            <w:tcW w:w="1710" w:type="dxa"/>
            <w:gridSpan w:val="2"/>
            <w:tcBorders>
              <w:top w:val="single" w:sz="2" w:space="0" w:color="808080" w:themeColor="text1" w:themeTint="7F"/>
              <w:bottom w:val="single" w:sz="2" w:space="0" w:color="808080" w:themeColor="text1" w:themeTint="7F"/>
            </w:tcBorders>
            <w:shd w:val="clear" w:color="auto" w:fill="C6D9F1" w:themeFill="text2" w:themeFillTint="33"/>
          </w:tcPr>
          <w:p w14:paraId="1ACD7BD0" w14:textId="77777777" w:rsidR="007D7C2E" w:rsidRPr="00F02BD2" w:rsidRDefault="007D7C2E" w:rsidP="00026D39">
            <w:pPr>
              <w:pStyle w:val="TableText"/>
              <w:keepNext/>
              <w:jc w:val="center"/>
              <w:rPr>
                <w:rStyle w:val="TableTextBold"/>
                <w:sz w:val="22"/>
                <w:szCs w:val="24"/>
              </w:rPr>
            </w:pPr>
            <w:r w:rsidRPr="00F02BD2">
              <w:rPr>
                <w:rStyle w:val="TableTextBold"/>
                <w:sz w:val="22"/>
                <w:szCs w:val="24"/>
              </w:rPr>
              <w:t>7-10 Times</w:t>
            </w:r>
          </w:p>
        </w:tc>
        <w:tc>
          <w:tcPr>
            <w:tcW w:w="1530" w:type="dxa"/>
            <w:gridSpan w:val="2"/>
            <w:tcBorders>
              <w:top w:val="single" w:sz="2" w:space="0" w:color="808080" w:themeColor="text1" w:themeTint="7F"/>
              <w:bottom w:val="single" w:sz="2" w:space="0" w:color="808080" w:themeColor="text1" w:themeTint="7F"/>
            </w:tcBorders>
            <w:shd w:val="clear" w:color="auto" w:fill="C6D9F1" w:themeFill="text2" w:themeFillTint="33"/>
          </w:tcPr>
          <w:p w14:paraId="5813A0C5" w14:textId="77777777" w:rsidR="007D7C2E" w:rsidRPr="00F02BD2" w:rsidRDefault="007D7C2E" w:rsidP="00026D39">
            <w:pPr>
              <w:pStyle w:val="TableText"/>
              <w:keepNext/>
              <w:jc w:val="center"/>
              <w:rPr>
                <w:rStyle w:val="TableTextBold"/>
                <w:sz w:val="22"/>
                <w:szCs w:val="24"/>
              </w:rPr>
            </w:pPr>
            <w:r w:rsidRPr="00F02BD2">
              <w:rPr>
                <w:rStyle w:val="TableTextBold"/>
                <w:sz w:val="22"/>
                <w:szCs w:val="24"/>
              </w:rPr>
              <w:t>More Than 10 Times</w:t>
            </w:r>
          </w:p>
        </w:tc>
        <w:tc>
          <w:tcPr>
            <w:tcW w:w="1673" w:type="dxa"/>
            <w:gridSpan w:val="2"/>
            <w:tcBorders>
              <w:top w:val="single" w:sz="2" w:space="0" w:color="808080" w:themeColor="text1" w:themeTint="7F"/>
              <w:bottom w:val="single" w:sz="2" w:space="0" w:color="808080" w:themeColor="text1" w:themeTint="7F"/>
            </w:tcBorders>
            <w:shd w:val="clear" w:color="auto" w:fill="C6D9F1" w:themeFill="text2" w:themeFillTint="33"/>
          </w:tcPr>
          <w:p w14:paraId="040B86FA" w14:textId="77777777" w:rsidR="007D7C2E" w:rsidRPr="00F02BD2" w:rsidRDefault="007D7C2E" w:rsidP="00026D39">
            <w:pPr>
              <w:pStyle w:val="TableTextRight"/>
              <w:keepNext/>
              <w:jc w:val="center"/>
              <w:rPr>
                <w:b/>
                <w:sz w:val="22"/>
                <w:szCs w:val="24"/>
              </w:rPr>
            </w:pPr>
            <w:r w:rsidRPr="00F02BD2">
              <w:rPr>
                <w:b/>
                <w:sz w:val="22"/>
                <w:szCs w:val="24"/>
              </w:rPr>
              <w:t>Not Applicable</w:t>
            </w:r>
          </w:p>
        </w:tc>
      </w:tr>
      <w:tr w:rsidR="009F7F6A" w:rsidRPr="00CD1826" w14:paraId="730D2317" w14:textId="77777777" w:rsidTr="1FF1B213">
        <w:trPr>
          <w:cnfStyle w:val="000000100000" w:firstRow="0" w:lastRow="0" w:firstColumn="0" w:lastColumn="0" w:oddVBand="0" w:evenVBand="0" w:oddHBand="1" w:evenHBand="0" w:firstRowFirstColumn="0" w:firstRowLastColumn="0" w:lastRowFirstColumn="0" w:lastRowLastColumn="0"/>
          <w:trHeight w:val="184"/>
        </w:trPr>
        <w:tc>
          <w:tcPr>
            <w:tcW w:w="1548" w:type="dxa"/>
            <w:tcBorders>
              <w:top w:val="single" w:sz="2" w:space="0" w:color="808080" w:themeColor="text1" w:themeTint="7F"/>
              <w:bottom w:val="single" w:sz="2" w:space="0" w:color="808080" w:themeColor="text1" w:themeTint="7F"/>
            </w:tcBorders>
            <w:shd w:val="clear" w:color="auto" w:fill="999999"/>
          </w:tcPr>
          <w:p w14:paraId="184B247D" w14:textId="77777777" w:rsidR="007D7C2E" w:rsidRPr="006812A7" w:rsidRDefault="006812A7" w:rsidP="006812A7">
            <w:pPr>
              <w:pStyle w:val="TableBullet"/>
              <w:numPr>
                <w:ilvl w:val="0"/>
                <w:numId w:val="0"/>
              </w:numPr>
              <w:ind w:left="130" w:hanging="130"/>
              <w:rPr>
                <w:b/>
              </w:rPr>
            </w:pPr>
            <w:r>
              <w:rPr>
                <w:b/>
              </w:rPr>
              <w:t xml:space="preserve"> </w:t>
            </w:r>
            <w:r w:rsidR="007D7C2E" w:rsidRPr="006812A7">
              <w:rPr>
                <w:b/>
              </w:rPr>
              <w:t>Echo Glen</w:t>
            </w:r>
          </w:p>
        </w:tc>
        <w:tc>
          <w:tcPr>
            <w:tcW w:w="582" w:type="dxa"/>
            <w:tcBorders>
              <w:top w:val="single" w:sz="2" w:space="0" w:color="808080" w:themeColor="text1" w:themeTint="7F"/>
              <w:bottom w:val="single" w:sz="2" w:space="0" w:color="808080" w:themeColor="text1" w:themeTint="7F"/>
            </w:tcBorders>
            <w:shd w:val="clear" w:color="auto" w:fill="999999"/>
          </w:tcPr>
          <w:p w14:paraId="15C39D1D" w14:textId="77777777" w:rsidR="007D7C2E" w:rsidRPr="00CD1826" w:rsidRDefault="007D7C2E" w:rsidP="00026D39">
            <w:pPr>
              <w:pStyle w:val="TableTextBoldRight"/>
              <w:keepNext/>
              <w:jc w:val="center"/>
            </w:pPr>
            <w:r w:rsidRPr="009E2EC7">
              <w:t>19</w:t>
            </w:r>
          </w:p>
        </w:tc>
        <w:tc>
          <w:tcPr>
            <w:tcW w:w="990" w:type="dxa"/>
            <w:tcBorders>
              <w:top w:val="single" w:sz="2" w:space="0" w:color="808080" w:themeColor="text1" w:themeTint="7F"/>
              <w:bottom w:val="single" w:sz="2" w:space="0" w:color="808080" w:themeColor="text1" w:themeTint="7F"/>
            </w:tcBorders>
            <w:shd w:val="clear" w:color="auto" w:fill="999999"/>
          </w:tcPr>
          <w:p w14:paraId="0C6F22E0" w14:textId="77777777" w:rsidR="007D7C2E" w:rsidRPr="00CD1826" w:rsidRDefault="007D7C2E" w:rsidP="00026D39">
            <w:pPr>
              <w:pStyle w:val="TableTextBoldRight"/>
              <w:keepNext/>
              <w:jc w:val="center"/>
            </w:pPr>
            <w:r w:rsidRPr="009E2EC7">
              <w:t>67.9%</w:t>
            </w:r>
          </w:p>
        </w:tc>
        <w:tc>
          <w:tcPr>
            <w:tcW w:w="630" w:type="dxa"/>
            <w:tcBorders>
              <w:top w:val="single" w:sz="2" w:space="0" w:color="808080" w:themeColor="text1" w:themeTint="7F"/>
              <w:bottom w:val="single" w:sz="2" w:space="0" w:color="808080" w:themeColor="text1" w:themeTint="7F"/>
            </w:tcBorders>
            <w:shd w:val="clear" w:color="auto" w:fill="999999"/>
          </w:tcPr>
          <w:p w14:paraId="1E99ADD7" w14:textId="77777777" w:rsidR="007D7C2E" w:rsidRPr="00CD1826" w:rsidRDefault="007D7C2E" w:rsidP="00026D39">
            <w:pPr>
              <w:pStyle w:val="TableTextBoldRight"/>
              <w:keepNext/>
              <w:jc w:val="center"/>
            </w:pPr>
            <w:r w:rsidRPr="009E2EC7">
              <w:t>1</w:t>
            </w:r>
          </w:p>
        </w:tc>
        <w:tc>
          <w:tcPr>
            <w:tcW w:w="990" w:type="dxa"/>
            <w:tcBorders>
              <w:top w:val="single" w:sz="2" w:space="0" w:color="808080" w:themeColor="text1" w:themeTint="7F"/>
              <w:bottom w:val="single" w:sz="2" w:space="0" w:color="808080" w:themeColor="text1" w:themeTint="7F"/>
            </w:tcBorders>
            <w:shd w:val="clear" w:color="auto" w:fill="999999"/>
          </w:tcPr>
          <w:p w14:paraId="08AEC901" w14:textId="77777777" w:rsidR="007D7C2E" w:rsidRPr="00CD1826" w:rsidRDefault="007D7C2E" w:rsidP="00026D39">
            <w:pPr>
              <w:pStyle w:val="TableTextBoldRight"/>
              <w:keepNext/>
              <w:jc w:val="center"/>
            </w:pPr>
            <w:r w:rsidRPr="009E2EC7">
              <w:t>3.6%</w:t>
            </w:r>
          </w:p>
        </w:tc>
        <w:tc>
          <w:tcPr>
            <w:tcW w:w="810" w:type="dxa"/>
            <w:tcBorders>
              <w:top w:val="single" w:sz="2" w:space="0" w:color="808080" w:themeColor="text1" w:themeTint="7F"/>
              <w:bottom w:val="single" w:sz="2" w:space="0" w:color="808080" w:themeColor="text1" w:themeTint="7F"/>
            </w:tcBorders>
            <w:shd w:val="clear" w:color="auto" w:fill="999999"/>
          </w:tcPr>
          <w:p w14:paraId="3461F22C" w14:textId="77777777" w:rsidR="007D7C2E" w:rsidRPr="00CD1826" w:rsidRDefault="007D7C2E" w:rsidP="00026D39">
            <w:pPr>
              <w:pStyle w:val="TableTextBoldRight"/>
              <w:keepNext/>
              <w:jc w:val="center"/>
            </w:pPr>
            <w:r w:rsidRPr="009E2EC7">
              <w:t>0</w:t>
            </w:r>
          </w:p>
        </w:tc>
        <w:tc>
          <w:tcPr>
            <w:tcW w:w="900" w:type="dxa"/>
            <w:tcBorders>
              <w:top w:val="single" w:sz="2" w:space="0" w:color="808080" w:themeColor="text1" w:themeTint="7F"/>
              <w:bottom w:val="single" w:sz="2" w:space="0" w:color="808080" w:themeColor="text1" w:themeTint="7F"/>
            </w:tcBorders>
            <w:shd w:val="clear" w:color="auto" w:fill="999999"/>
          </w:tcPr>
          <w:p w14:paraId="2C944E6A" w14:textId="77777777" w:rsidR="007D7C2E" w:rsidRPr="00CD1826" w:rsidRDefault="007D7C2E" w:rsidP="00026D39">
            <w:pPr>
              <w:pStyle w:val="TableTextBoldRight"/>
              <w:keepNext/>
              <w:jc w:val="center"/>
            </w:pPr>
            <w:r w:rsidRPr="009E2EC7">
              <w:t>0.0%</w:t>
            </w:r>
          </w:p>
        </w:tc>
        <w:tc>
          <w:tcPr>
            <w:tcW w:w="630" w:type="dxa"/>
            <w:tcBorders>
              <w:top w:val="single" w:sz="2" w:space="0" w:color="808080" w:themeColor="text1" w:themeTint="7F"/>
              <w:bottom w:val="single" w:sz="2" w:space="0" w:color="808080" w:themeColor="text1" w:themeTint="7F"/>
            </w:tcBorders>
            <w:shd w:val="clear" w:color="auto" w:fill="999999"/>
          </w:tcPr>
          <w:p w14:paraId="5090F679" w14:textId="77777777" w:rsidR="007D7C2E" w:rsidRPr="00CD1826" w:rsidRDefault="007D7C2E" w:rsidP="00026D39">
            <w:pPr>
              <w:pStyle w:val="TableTextBoldRight"/>
              <w:keepNext/>
              <w:jc w:val="center"/>
            </w:pPr>
            <w:r w:rsidRPr="009E2EC7">
              <w:t>1</w:t>
            </w:r>
          </w:p>
        </w:tc>
        <w:tc>
          <w:tcPr>
            <w:tcW w:w="900" w:type="dxa"/>
            <w:tcBorders>
              <w:top w:val="single" w:sz="2" w:space="0" w:color="808080" w:themeColor="text1" w:themeTint="7F"/>
              <w:bottom w:val="single" w:sz="2" w:space="0" w:color="808080" w:themeColor="text1" w:themeTint="7F"/>
            </w:tcBorders>
            <w:shd w:val="clear" w:color="auto" w:fill="999999"/>
          </w:tcPr>
          <w:p w14:paraId="644C621C" w14:textId="77777777" w:rsidR="007D7C2E" w:rsidRPr="00CD1826" w:rsidRDefault="007D7C2E" w:rsidP="00026D39">
            <w:pPr>
              <w:pStyle w:val="TableTextBoldRight"/>
              <w:keepNext/>
              <w:jc w:val="center"/>
            </w:pPr>
            <w:r w:rsidRPr="009E2EC7">
              <w:t>3.6%</w:t>
            </w:r>
          </w:p>
        </w:tc>
        <w:tc>
          <w:tcPr>
            <w:tcW w:w="630" w:type="dxa"/>
            <w:tcBorders>
              <w:top w:val="single" w:sz="2" w:space="0" w:color="808080" w:themeColor="text1" w:themeTint="7F"/>
              <w:bottom w:val="single" w:sz="2" w:space="0" w:color="808080" w:themeColor="text1" w:themeTint="7F"/>
            </w:tcBorders>
            <w:shd w:val="clear" w:color="auto" w:fill="999999"/>
          </w:tcPr>
          <w:p w14:paraId="615CCA6D" w14:textId="77777777" w:rsidR="007D7C2E" w:rsidRPr="00CD1826" w:rsidRDefault="007D7C2E" w:rsidP="00026D39">
            <w:pPr>
              <w:pStyle w:val="TableTextBoldRight"/>
              <w:keepNext/>
              <w:jc w:val="center"/>
            </w:pPr>
            <w:r w:rsidRPr="009E2EC7">
              <w:t>7</w:t>
            </w:r>
          </w:p>
        </w:tc>
        <w:tc>
          <w:tcPr>
            <w:tcW w:w="1043" w:type="dxa"/>
            <w:tcBorders>
              <w:top w:val="single" w:sz="2" w:space="0" w:color="808080" w:themeColor="text1" w:themeTint="7F"/>
              <w:bottom w:val="single" w:sz="2" w:space="0" w:color="808080" w:themeColor="text1" w:themeTint="7F"/>
            </w:tcBorders>
            <w:shd w:val="clear" w:color="auto" w:fill="999999"/>
          </w:tcPr>
          <w:p w14:paraId="3FCE93E9" w14:textId="77777777" w:rsidR="007D7C2E" w:rsidRPr="00CD1826" w:rsidRDefault="007D7C2E" w:rsidP="00026D39">
            <w:pPr>
              <w:pStyle w:val="TableTextBoldRight"/>
              <w:keepNext/>
              <w:jc w:val="center"/>
            </w:pPr>
            <w:r w:rsidRPr="009E2EC7">
              <w:t>25.0%</w:t>
            </w:r>
          </w:p>
        </w:tc>
      </w:tr>
      <w:tr w:rsidR="007D7C2E" w:rsidRPr="00CD1826" w14:paraId="0186B1F7" w14:textId="77777777" w:rsidTr="1FF1B213">
        <w:tc>
          <w:tcPr>
            <w:tcW w:w="1548" w:type="dxa"/>
            <w:tcBorders>
              <w:top w:val="single" w:sz="2" w:space="0" w:color="808080" w:themeColor="text1" w:themeTint="7F"/>
            </w:tcBorders>
          </w:tcPr>
          <w:p w14:paraId="5A081434" w14:textId="77777777" w:rsidR="007D7C2E" w:rsidRPr="00CD1826" w:rsidRDefault="007D7C2E" w:rsidP="00A26D36">
            <w:pPr>
              <w:pStyle w:val="TableText"/>
              <w:ind w:left="180"/>
            </w:pPr>
            <w:r>
              <w:t>JRRC (N=18)</w:t>
            </w:r>
          </w:p>
        </w:tc>
        <w:tc>
          <w:tcPr>
            <w:tcW w:w="582" w:type="dxa"/>
            <w:tcBorders>
              <w:top w:val="single" w:sz="2" w:space="0" w:color="808080" w:themeColor="text1" w:themeTint="7F"/>
            </w:tcBorders>
          </w:tcPr>
          <w:p w14:paraId="02FBE9A2" w14:textId="77777777" w:rsidR="007D7C2E" w:rsidRPr="000F5E80" w:rsidRDefault="007D7C2E" w:rsidP="00A26D36">
            <w:pPr>
              <w:pStyle w:val="TableText"/>
              <w:jc w:val="center"/>
            </w:pPr>
            <w:r w:rsidRPr="009E2EC7">
              <w:t>12</w:t>
            </w:r>
          </w:p>
        </w:tc>
        <w:tc>
          <w:tcPr>
            <w:tcW w:w="990" w:type="dxa"/>
            <w:tcBorders>
              <w:top w:val="single" w:sz="2" w:space="0" w:color="808080" w:themeColor="text1" w:themeTint="7F"/>
            </w:tcBorders>
          </w:tcPr>
          <w:p w14:paraId="153E9E0E" w14:textId="77777777" w:rsidR="007D7C2E" w:rsidRPr="000F5E80" w:rsidRDefault="007D7C2E" w:rsidP="00A26D36">
            <w:pPr>
              <w:pStyle w:val="TableText"/>
              <w:jc w:val="center"/>
            </w:pPr>
            <w:r w:rsidRPr="009E2EC7">
              <w:t>66.7%</w:t>
            </w:r>
          </w:p>
        </w:tc>
        <w:tc>
          <w:tcPr>
            <w:tcW w:w="630" w:type="dxa"/>
            <w:tcBorders>
              <w:top w:val="single" w:sz="2" w:space="0" w:color="808080" w:themeColor="text1" w:themeTint="7F"/>
            </w:tcBorders>
          </w:tcPr>
          <w:p w14:paraId="1E424D64" w14:textId="77777777" w:rsidR="007D7C2E" w:rsidRPr="000F5E80" w:rsidRDefault="007D7C2E" w:rsidP="00A26D36">
            <w:pPr>
              <w:pStyle w:val="TableText"/>
              <w:jc w:val="center"/>
            </w:pPr>
            <w:r w:rsidRPr="009E2EC7">
              <w:t>0</w:t>
            </w:r>
          </w:p>
        </w:tc>
        <w:tc>
          <w:tcPr>
            <w:tcW w:w="990" w:type="dxa"/>
            <w:tcBorders>
              <w:top w:val="single" w:sz="2" w:space="0" w:color="808080" w:themeColor="text1" w:themeTint="7F"/>
            </w:tcBorders>
          </w:tcPr>
          <w:p w14:paraId="709FB8B0" w14:textId="77777777" w:rsidR="007D7C2E" w:rsidRPr="000F5E80" w:rsidRDefault="007D7C2E" w:rsidP="00A26D36">
            <w:pPr>
              <w:pStyle w:val="TableText"/>
              <w:jc w:val="center"/>
            </w:pPr>
            <w:r w:rsidRPr="009E2EC7">
              <w:t>0.0%</w:t>
            </w:r>
          </w:p>
        </w:tc>
        <w:tc>
          <w:tcPr>
            <w:tcW w:w="810" w:type="dxa"/>
            <w:tcBorders>
              <w:top w:val="single" w:sz="2" w:space="0" w:color="808080" w:themeColor="text1" w:themeTint="7F"/>
            </w:tcBorders>
          </w:tcPr>
          <w:p w14:paraId="3A7D1D17" w14:textId="77777777" w:rsidR="007D7C2E" w:rsidRPr="000F5E80" w:rsidRDefault="007D7C2E" w:rsidP="00A26D36">
            <w:pPr>
              <w:pStyle w:val="TableText"/>
              <w:jc w:val="center"/>
            </w:pPr>
            <w:r w:rsidRPr="009E2EC7">
              <w:t>0</w:t>
            </w:r>
          </w:p>
        </w:tc>
        <w:tc>
          <w:tcPr>
            <w:tcW w:w="900" w:type="dxa"/>
            <w:tcBorders>
              <w:top w:val="single" w:sz="2" w:space="0" w:color="808080" w:themeColor="text1" w:themeTint="7F"/>
            </w:tcBorders>
          </w:tcPr>
          <w:p w14:paraId="6CD1DD96" w14:textId="77777777" w:rsidR="007D7C2E" w:rsidRPr="000F5E80" w:rsidRDefault="007D7C2E" w:rsidP="00A26D36">
            <w:pPr>
              <w:pStyle w:val="TableText"/>
              <w:jc w:val="center"/>
            </w:pPr>
            <w:r w:rsidRPr="009E2EC7">
              <w:t>0.0%</w:t>
            </w:r>
          </w:p>
        </w:tc>
        <w:tc>
          <w:tcPr>
            <w:tcW w:w="630" w:type="dxa"/>
            <w:tcBorders>
              <w:top w:val="single" w:sz="2" w:space="0" w:color="808080" w:themeColor="text1" w:themeTint="7F"/>
            </w:tcBorders>
          </w:tcPr>
          <w:p w14:paraId="4A2EA25A" w14:textId="77777777" w:rsidR="007D7C2E" w:rsidRPr="000F5E80" w:rsidRDefault="007D7C2E" w:rsidP="00A26D36">
            <w:pPr>
              <w:pStyle w:val="TableText"/>
              <w:jc w:val="center"/>
            </w:pPr>
            <w:r w:rsidRPr="009E2EC7">
              <w:t>1</w:t>
            </w:r>
          </w:p>
        </w:tc>
        <w:tc>
          <w:tcPr>
            <w:tcW w:w="900" w:type="dxa"/>
            <w:tcBorders>
              <w:top w:val="single" w:sz="2" w:space="0" w:color="808080" w:themeColor="text1" w:themeTint="7F"/>
            </w:tcBorders>
          </w:tcPr>
          <w:p w14:paraId="7A172F08" w14:textId="77777777" w:rsidR="007D7C2E" w:rsidRPr="000F5E80" w:rsidRDefault="007D7C2E" w:rsidP="00A26D36">
            <w:pPr>
              <w:pStyle w:val="TableText"/>
              <w:jc w:val="center"/>
            </w:pPr>
            <w:r w:rsidRPr="009E2EC7">
              <w:t>5.6%</w:t>
            </w:r>
          </w:p>
        </w:tc>
        <w:tc>
          <w:tcPr>
            <w:tcW w:w="630" w:type="dxa"/>
            <w:tcBorders>
              <w:top w:val="single" w:sz="2" w:space="0" w:color="808080" w:themeColor="text1" w:themeTint="7F"/>
            </w:tcBorders>
          </w:tcPr>
          <w:p w14:paraId="66744C07" w14:textId="77777777" w:rsidR="007D7C2E" w:rsidRPr="000F5E80" w:rsidRDefault="007D7C2E" w:rsidP="00A26D36">
            <w:pPr>
              <w:pStyle w:val="TableText"/>
              <w:jc w:val="center"/>
            </w:pPr>
            <w:r w:rsidRPr="009E2EC7">
              <w:t>5</w:t>
            </w:r>
          </w:p>
        </w:tc>
        <w:tc>
          <w:tcPr>
            <w:tcW w:w="1043" w:type="dxa"/>
            <w:tcBorders>
              <w:top w:val="single" w:sz="2" w:space="0" w:color="808080" w:themeColor="text1" w:themeTint="7F"/>
            </w:tcBorders>
          </w:tcPr>
          <w:p w14:paraId="169587C8" w14:textId="77777777" w:rsidR="007D7C2E" w:rsidRPr="000F5E80" w:rsidRDefault="007D7C2E" w:rsidP="00A26D36">
            <w:pPr>
              <w:pStyle w:val="TableText"/>
              <w:jc w:val="center"/>
            </w:pPr>
            <w:r w:rsidRPr="009E2EC7">
              <w:t>27.7%</w:t>
            </w:r>
          </w:p>
        </w:tc>
      </w:tr>
      <w:tr w:rsidR="007D7C2E" w:rsidRPr="00CD1826" w14:paraId="2FF6E0FD" w14:textId="77777777" w:rsidTr="00A26D36">
        <w:trPr>
          <w:cnfStyle w:val="000000100000" w:firstRow="0" w:lastRow="0" w:firstColumn="0" w:lastColumn="0" w:oddVBand="0" w:evenVBand="0" w:oddHBand="1" w:evenHBand="0" w:firstRowFirstColumn="0" w:firstRowLastColumn="0" w:lastRowFirstColumn="0" w:lastRowLastColumn="0"/>
        </w:trPr>
        <w:tc>
          <w:tcPr>
            <w:tcW w:w="1548" w:type="dxa"/>
          </w:tcPr>
          <w:p w14:paraId="27660DF3" w14:textId="77777777" w:rsidR="007D7C2E" w:rsidRDefault="007D7C2E" w:rsidP="00A26D36">
            <w:pPr>
              <w:pStyle w:val="TableText"/>
              <w:ind w:left="180"/>
            </w:pPr>
            <w:r>
              <w:t>JRCA (N=4)</w:t>
            </w:r>
          </w:p>
        </w:tc>
        <w:tc>
          <w:tcPr>
            <w:tcW w:w="582" w:type="dxa"/>
          </w:tcPr>
          <w:p w14:paraId="1131E61E" w14:textId="77777777" w:rsidR="007D7C2E" w:rsidRPr="00CD1826" w:rsidRDefault="007D7C2E" w:rsidP="00A26D36">
            <w:pPr>
              <w:pStyle w:val="TableText"/>
              <w:jc w:val="center"/>
            </w:pPr>
            <w:r w:rsidRPr="009E2EC7">
              <w:t>4</w:t>
            </w:r>
          </w:p>
        </w:tc>
        <w:tc>
          <w:tcPr>
            <w:tcW w:w="990" w:type="dxa"/>
          </w:tcPr>
          <w:p w14:paraId="4255CCC6" w14:textId="77777777" w:rsidR="007D7C2E" w:rsidRPr="00CD1826" w:rsidRDefault="007D7C2E" w:rsidP="00A26D36">
            <w:pPr>
              <w:pStyle w:val="TableText"/>
              <w:jc w:val="center"/>
            </w:pPr>
            <w:r w:rsidRPr="009E2EC7">
              <w:t>100.0%</w:t>
            </w:r>
          </w:p>
        </w:tc>
        <w:tc>
          <w:tcPr>
            <w:tcW w:w="630" w:type="dxa"/>
          </w:tcPr>
          <w:p w14:paraId="709DAF24" w14:textId="77777777" w:rsidR="007D7C2E" w:rsidRPr="00CD1826" w:rsidRDefault="007D7C2E" w:rsidP="00A26D36">
            <w:pPr>
              <w:pStyle w:val="TableText"/>
              <w:jc w:val="center"/>
            </w:pPr>
            <w:r w:rsidRPr="009E2EC7">
              <w:t>0</w:t>
            </w:r>
          </w:p>
        </w:tc>
        <w:tc>
          <w:tcPr>
            <w:tcW w:w="990" w:type="dxa"/>
          </w:tcPr>
          <w:p w14:paraId="6C54ED1D" w14:textId="77777777" w:rsidR="007D7C2E" w:rsidRPr="00CD1826" w:rsidRDefault="007D7C2E" w:rsidP="00A26D36">
            <w:pPr>
              <w:pStyle w:val="TableText"/>
              <w:jc w:val="center"/>
            </w:pPr>
            <w:r w:rsidRPr="009E2EC7">
              <w:t>0.0%</w:t>
            </w:r>
          </w:p>
        </w:tc>
        <w:tc>
          <w:tcPr>
            <w:tcW w:w="810" w:type="dxa"/>
          </w:tcPr>
          <w:p w14:paraId="11196740" w14:textId="77777777" w:rsidR="007D7C2E" w:rsidRPr="00CD1826" w:rsidRDefault="007D7C2E" w:rsidP="00A26D36">
            <w:pPr>
              <w:pStyle w:val="TableText"/>
              <w:jc w:val="center"/>
            </w:pPr>
            <w:r w:rsidRPr="009E2EC7">
              <w:t>0</w:t>
            </w:r>
          </w:p>
        </w:tc>
        <w:tc>
          <w:tcPr>
            <w:tcW w:w="900" w:type="dxa"/>
          </w:tcPr>
          <w:p w14:paraId="169AC384" w14:textId="77777777" w:rsidR="007D7C2E" w:rsidRPr="00CD1826" w:rsidRDefault="007D7C2E" w:rsidP="00A26D36">
            <w:pPr>
              <w:pStyle w:val="TableText"/>
              <w:jc w:val="center"/>
            </w:pPr>
            <w:r w:rsidRPr="009E2EC7">
              <w:t>0.0%</w:t>
            </w:r>
          </w:p>
        </w:tc>
        <w:tc>
          <w:tcPr>
            <w:tcW w:w="630" w:type="dxa"/>
          </w:tcPr>
          <w:p w14:paraId="4A4B5A72" w14:textId="77777777" w:rsidR="007D7C2E" w:rsidRPr="00CD1826" w:rsidRDefault="007D7C2E" w:rsidP="00A26D36">
            <w:pPr>
              <w:pStyle w:val="TableText"/>
              <w:jc w:val="center"/>
            </w:pPr>
            <w:r w:rsidRPr="009E2EC7">
              <w:t>0</w:t>
            </w:r>
          </w:p>
        </w:tc>
        <w:tc>
          <w:tcPr>
            <w:tcW w:w="900" w:type="dxa"/>
          </w:tcPr>
          <w:p w14:paraId="47D9A9CB" w14:textId="77777777" w:rsidR="007D7C2E" w:rsidRPr="00CD1826" w:rsidRDefault="007D7C2E" w:rsidP="00A26D36">
            <w:pPr>
              <w:pStyle w:val="TableText"/>
              <w:jc w:val="center"/>
            </w:pPr>
            <w:r w:rsidRPr="009E2EC7">
              <w:t>0.0%</w:t>
            </w:r>
          </w:p>
        </w:tc>
        <w:tc>
          <w:tcPr>
            <w:tcW w:w="630" w:type="dxa"/>
          </w:tcPr>
          <w:p w14:paraId="0453BD8C" w14:textId="77777777" w:rsidR="007D7C2E" w:rsidRPr="00CD1826" w:rsidRDefault="007D7C2E" w:rsidP="00A26D36">
            <w:pPr>
              <w:pStyle w:val="TableText"/>
              <w:jc w:val="center"/>
            </w:pPr>
            <w:r w:rsidRPr="009E2EC7">
              <w:t>0</w:t>
            </w:r>
          </w:p>
        </w:tc>
        <w:tc>
          <w:tcPr>
            <w:tcW w:w="1043" w:type="dxa"/>
          </w:tcPr>
          <w:p w14:paraId="1B9B4D72" w14:textId="77777777" w:rsidR="007D7C2E" w:rsidRPr="00CD1826" w:rsidRDefault="007D7C2E" w:rsidP="00A26D36">
            <w:pPr>
              <w:pStyle w:val="TableText"/>
              <w:jc w:val="center"/>
            </w:pPr>
            <w:r w:rsidRPr="009E2EC7">
              <w:t>0.0%</w:t>
            </w:r>
          </w:p>
        </w:tc>
      </w:tr>
      <w:tr w:rsidR="007D7C2E" w:rsidRPr="00CD1826" w14:paraId="3EA16CF2" w14:textId="77777777" w:rsidTr="1FF1B213">
        <w:tc>
          <w:tcPr>
            <w:tcW w:w="1548" w:type="dxa"/>
            <w:tcBorders>
              <w:bottom w:val="single" w:sz="2" w:space="0" w:color="808080" w:themeColor="text1" w:themeTint="7F"/>
            </w:tcBorders>
          </w:tcPr>
          <w:p w14:paraId="2D2203D5" w14:textId="77777777" w:rsidR="007D7C2E" w:rsidRDefault="007D7C2E" w:rsidP="00A26D36">
            <w:pPr>
              <w:pStyle w:val="TableText"/>
              <w:ind w:left="180"/>
            </w:pPr>
            <w:r>
              <w:t>JRSO (N=6)</w:t>
            </w:r>
          </w:p>
        </w:tc>
        <w:tc>
          <w:tcPr>
            <w:tcW w:w="582" w:type="dxa"/>
            <w:tcBorders>
              <w:bottom w:val="single" w:sz="2" w:space="0" w:color="808080" w:themeColor="text1" w:themeTint="7F"/>
            </w:tcBorders>
          </w:tcPr>
          <w:p w14:paraId="0CF9C585" w14:textId="77777777" w:rsidR="007D7C2E" w:rsidRPr="00CD1826" w:rsidRDefault="007D7C2E" w:rsidP="00A26D36">
            <w:pPr>
              <w:pStyle w:val="TableText"/>
              <w:jc w:val="center"/>
            </w:pPr>
            <w:r w:rsidRPr="009E2EC7">
              <w:t>3</w:t>
            </w:r>
          </w:p>
        </w:tc>
        <w:tc>
          <w:tcPr>
            <w:tcW w:w="990" w:type="dxa"/>
            <w:tcBorders>
              <w:bottom w:val="single" w:sz="2" w:space="0" w:color="808080" w:themeColor="text1" w:themeTint="7F"/>
            </w:tcBorders>
          </w:tcPr>
          <w:p w14:paraId="651B2933" w14:textId="77777777" w:rsidR="007D7C2E" w:rsidRPr="00CD1826" w:rsidRDefault="007D7C2E" w:rsidP="00A26D36">
            <w:pPr>
              <w:pStyle w:val="TableText"/>
              <w:jc w:val="center"/>
            </w:pPr>
            <w:r w:rsidRPr="009E2EC7">
              <w:t>50.0%</w:t>
            </w:r>
          </w:p>
        </w:tc>
        <w:tc>
          <w:tcPr>
            <w:tcW w:w="630" w:type="dxa"/>
            <w:tcBorders>
              <w:bottom w:val="single" w:sz="2" w:space="0" w:color="808080" w:themeColor="text1" w:themeTint="7F"/>
            </w:tcBorders>
          </w:tcPr>
          <w:p w14:paraId="5E0877F8" w14:textId="77777777" w:rsidR="007D7C2E" w:rsidRPr="00CD1826" w:rsidRDefault="007D7C2E" w:rsidP="00A26D36">
            <w:pPr>
              <w:pStyle w:val="TableText"/>
              <w:jc w:val="center"/>
            </w:pPr>
            <w:r w:rsidRPr="009E2EC7">
              <w:t>1</w:t>
            </w:r>
          </w:p>
        </w:tc>
        <w:tc>
          <w:tcPr>
            <w:tcW w:w="990" w:type="dxa"/>
            <w:tcBorders>
              <w:bottom w:val="single" w:sz="2" w:space="0" w:color="808080" w:themeColor="text1" w:themeTint="7F"/>
            </w:tcBorders>
          </w:tcPr>
          <w:p w14:paraId="05EF5B42" w14:textId="77777777" w:rsidR="007D7C2E" w:rsidRPr="00CD1826" w:rsidRDefault="007D7C2E" w:rsidP="00A26D36">
            <w:pPr>
              <w:pStyle w:val="TableText"/>
              <w:jc w:val="center"/>
            </w:pPr>
            <w:r w:rsidRPr="009E2EC7">
              <w:t>16.7%</w:t>
            </w:r>
          </w:p>
        </w:tc>
        <w:tc>
          <w:tcPr>
            <w:tcW w:w="810" w:type="dxa"/>
            <w:tcBorders>
              <w:bottom w:val="single" w:sz="2" w:space="0" w:color="808080" w:themeColor="text1" w:themeTint="7F"/>
            </w:tcBorders>
          </w:tcPr>
          <w:p w14:paraId="4A8CB79C" w14:textId="77777777" w:rsidR="007D7C2E" w:rsidRPr="00CD1826" w:rsidRDefault="007D7C2E" w:rsidP="00A26D36">
            <w:pPr>
              <w:pStyle w:val="TableText"/>
              <w:jc w:val="center"/>
            </w:pPr>
            <w:r w:rsidRPr="009E2EC7">
              <w:t>0</w:t>
            </w:r>
          </w:p>
        </w:tc>
        <w:tc>
          <w:tcPr>
            <w:tcW w:w="900" w:type="dxa"/>
            <w:tcBorders>
              <w:bottom w:val="single" w:sz="2" w:space="0" w:color="808080" w:themeColor="text1" w:themeTint="7F"/>
            </w:tcBorders>
          </w:tcPr>
          <w:p w14:paraId="136CC433" w14:textId="77777777" w:rsidR="007D7C2E" w:rsidRPr="00CD1826" w:rsidRDefault="007D7C2E" w:rsidP="00A26D36">
            <w:pPr>
              <w:pStyle w:val="TableText"/>
              <w:jc w:val="center"/>
            </w:pPr>
            <w:r w:rsidRPr="009E2EC7">
              <w:t>0.0%</w:t>
            </w:r>
          </w:p>
        </w:tc>
        <w:tc>
          <w:tcPr>
            <w:tcW w:w="630" w:type="dxa"/>
            <w:tcBorders>
              <w:bottom w:val="single" w:sz="2" w:space="0" w:color="808080" w:themeColor="text1" w:themeTint="7F"/>
            </w:tcBorders>
          </w:tcPr>
          <w:p w14:paraId="4EAF9AEA" w14:textId="77777777" w:rsidR="007D7C2E" w:rsidRPr="00CD1826" w:rsidRDefault="007D7C2E" w:rsidP="00A26D36">
            <w:pPr>
              <w:pStyle w:val="TableText"/>
              <w:jc w:val="center"/>
            </w:pPr>
            <w:r w:rsidRPr="009E2EC7">
              <w:t>0</w:t>
            </w:r>
          </w:p>
        </w:tc>
        <w:tc>
          <w:tcPr>
            <w:tcW w:w="900" w:type="dxa"/>
            <w:tcBorders>
              <w:bottom w:val="single" w:sz="2" w:space="0" w:color="808080" w:themeColor="text1" w:themeTint="7F"/>
            </w:tcBorders>
          </w:tcPr>
          <w:p w14:paraId="41D6DA4D" w14:textId="77777777" w:rsidR="007D7C2E" w:rsidRPr="00CD1826" w:rsidRDefault="007D7C2E" w:rsidP="00A26D36">
            <w:pPr>
              <w:pStyle w:val="TableText"/>
              <w:jc w:val="center"/>
            </w:pPr>
            <w:r w:rsidRPr="009E2EC7">
              <w:t>0.0%</w:t>
            </w:r>
          </w:p>
        </w:tc>
        <w:tc>
          <w:tcPr>
            <w:tcW w:w="630" w:type="dxa"/>
            <w:tcBorders>
              <w:bottom w:val="single" w:sz="2" w:space="0" w:color="808080" w:themeColor="text1" w:themeTint="7F"/>
            </w:tcBorders>
          </w:tcPr>
          <w:p w14:paraId="6A8186E6" w14:textId="77777777" w:rsidR="007D7C2E" w:rsidRPr="00CD1826" w:rsidRDefault="007D7C2E" w:rsidP="00A26D36">
            <w:pPr>
              <w:pStyle w:val="TableText"/>
              <w:jc w:val="center"/>
            </w:pPr>
            <w:r w:rsidRPr="009E2EC7">
              <w:t>2</w:t>
            </w:r>
          </w:p>
        </w:tc>
        <w:tc>
          <w:tcPr>
            <w:tcW w:w="1043" w:type="dxa"/>
            <w:tcBorders>
              <w:bottom w:val="single" w:sz="2" w:space="0" w:color="808080" w:themeColor="text1" w:themeTint="7F"/>
            </w:tcBorders>
          </w:tcPr>
          <w:p w14:paraId="062117F9" w14:textId="77777777" w:rsidR="007D7C2E" w:rsidRPr="00CD1826" w:rsidRDefault="007D7C2E" w:rsidP="00A26D36">
            <w:pPr>
              <w:pStyle w:val="TableText"/>
              <w:jc w:val="center"/>
            </w:pPr>
            <w:r w:rsidRPr="009E2EC7">
              <w:t>33.3%</w:t>
            </w:r>
          </w:p>
        </w:tc>
      </w:tr>
      <w:tr w:rsidR="009F7F6A" w:rsidRPr="00CD1826" w14:paraId="2C9668EE" w14:textId="77777777" w:rsidTr="1FF1B213">
        <w:trPr>
          <w:cnfStyle w:val="000000100000" w:firstRow="0" w:lastRow="0" w:firstColumn="0" w:lastColumn="0" w:oddVBand="0" w:evenVBand="0" w:oddHBand="1" w:evenHBand="0" w:firstRowFirstColumn="0" w:firstRowLastColumn="0" w:lastRowFirstColumn="0" w:lastRowLastColumn="0"/>
        </w:trPr>
        <w:tc>
          <w:tcPr>
            <w:tcW w:w="1548" w:type="dxa"/>
            <w:tcBorders>
              <w:top w:val="single" w:sz="2" w:space="0" w:color="808080" w:themeColor="text1" w:themeTint="7F"/>
              <w:bottom w:val="single" w:sz="2" w:space="0" w:color="808080" w:themeColor="text1" w:themeTint="7F"/>
            </w:tcBorders>
            <w:shd w:val="clear" w:color="auto" w:fill="999999"/>
          </w:tcPr>
          <w:p w14:paraId="51DD5050" w14:textId="77777777" w:rsidR="007D7C2E" w:rsidRPr="00E468F8" w:rsidRDefault="007D7C2E" w:rsidP="00A26D36">
            <w:pPr>
              <w:pStyle w:val="TableText"/>
              <w:rPr>
                <w:b/>
              </w:rPr>
            </w:pPr>
            <w:r w:rsidRPr="00E468F8">
              <w:rPr>
                <w:b/>
              </w:rPr>
              <w:t>Green Hill</w:t>
            </w:r>
          </w:p>
        </w:tc>
        <w:tc>
          <w:tcPr>
            <w:tcW w:w="582" w:type="dxa"/>
            <w:tcBorders>
              <w:top w:val="single" w:sz="2" w:space="0" w:color="808080" w:themeColor="text1" w:themeTint="7F"/>
              <w:bottom w:val="single" w:sz="2" w:space="0" w:color="808080" w:themeColor="text1" w:themeTint="7F"/>
            </w:tcBorders>
            <w:shd w:val="clear" w:color="auto" w:fill="999999"/>
          </w:tcPr>
          <w:p w14:paraId="325EE315" w14:textId="77777777" w:rsidR="007D7C2E" w:rsidRPr="006B3EA7" w:rsidRDefault="007D7C2E" w:rsidP="00A26D36">
            <w:pPr>
              <w:pStyle w:val="TableText"/>
              <w:jc w:val="center"/>
              <w:rPr>
                <w:b/>
              </w:rPr>
            </w:pPr>
            <w:r w:rsidRPr="006B3EA7">
              <w:rPr>
                <w:b/>
              </w:rPr>
              <w:t>6</w:t>
            </w:r>
          </w:p>
        </w:tc>
        <w:tc>
          <w:tcPr>
            <w:tcW w:w="990" w:type="dxa"/>
            <w:tcBorders>
              <w:top w:val="single" w:sz="2" w:space="0" w:color="808080" w:themeColor="text1" w:themeTint="7F"/>
              <w:bottom w:val="single" w:sz="2" w:space="0" w:color="808080" w:themeColor="text1" w:themeTint="7F"/>
            </w:tcBorders>
            <w:shd w:val="clear" w:color="auto" w:fill="999999"/>
          </w:tcPr>
          <w:p w14:paraId="7D3A642F" w14:textId="77777777" w:rsidR="007D7C2E" w:rsidRPr="006B3EA7" w:rsidRDefault="007D7C2E" w:rsidP="00A26D36">
            <w:pPr>
              <w:pStyle w:val="TableText"/>
              <w:jc w:val="center"/>
              <w:rPr>
                <w:b/>
              </w:rPr>
            </w:pPr>
            <w:r w:rsidRPr="006B3EA7">
              <w:rPr>
                <w:b/>
              </w:rPr>
              <w:t>11.8%</w:t>
            </w:r>
          </w:p>
        </w:tc>
        <w:tc>
          <w:tcPr>
            <w:tcW w:w="630" w:type="dxa"/>
            <w:tcBorders>
              <w:top w:val="single" w:sz="2" w:space="0" w:color="808080" w:themeColor="text1" w:themeTint="7F"/>
              <w:bottom w:val="single" w:sz="2" w:space="0" w:color="808080" w:themeColor="text1" w:themeTint="7F"/>
            </w:tcBorders>
            <w:shd w:val="clear" w:color="auto" w:fill="999999"/>
          </w:tcPr>
          <w:p w14:paraId="44224AD2" w14:textId="77777777" w:rsidR="007D7C2E" w:rsidRPr="006B3EA7" w:rsidRDefault="007D7C2E" w:rsidP="00A26D36">
            <w:pPr>
              <w:pStyle w:val="TableText"/>
              <w:jc w:val="center"/>
              <w:rPr>
                <w:b/>
              </w:rPr>
            </w:pPr>
            <w:r w:rsidRPr="006B3EA7">
              <w:rPr>
                <w:b/>
              </w:rPr>
              <w:t>6</w:t>
            </w:r>
          </w:p>
        </w:tc>
        <w:tc>
          <w:tcPr>
            <w:tcW w:w="990" w:type="dxa"/>
            <w:tcBorders>
              <w:top w:val="single" w:sz="2" w:space="0" w:color="808080" w:themeColor="text1" w:themeTint="7F"/>
              <w:bottom w:val="single" w:sz="2" w:space="0" w:color="808080" w:themeColor="text1" w:themeTint="7F"/>
            </w:tcBorders>
            <w:shd w:val="clear" w:color="auto" w:fill="999999"/>
          </w:tcPr>
          <w:p w14:paraId="729D3BEB" w14:textId="77777777" w:rsidR="007D7C2E" w:rsidRPr="006B3EA7" w:rsidRDefault="007D7C2E" w:rsidP="00A26D36">
            <w:pPr>
              <w:pStyle w:val="TableText"/>
              <w:jc w:val="center"/>
              <w:rPr>
                <w:b/>
              </w:rPr>
            </w:pPr>
            <w:r w:rsidRPr="006B3EA7">
              <w:rPr>
                <w:b/>
              </w:rPr>
              <w:t>11.8%</w:t>
            </w:r>
          </w:p>
        </w:tc>
        <w:tc>
          <w:tcPr>
            <w:tcW w:w="810" w:type="dxa"/>
            <w:tcBorders>
              <w:top w:val="single" w:sz="2" w:space="0" w:color="808080" w:themeColor="text1" w:themeTint="7F"/>
              <w:bottom w:val="single" w:sz="2" w:space="0" w:color="808080" w:themeColor="text1" w:themeTint="7F"/>
            </w:tcBorders>
            <w:shd w:val="clear" w:color="auto" w:fill="999999"/>
          </w:tcPr>
          <w:p w14:paraId="15109A37" w14:textId="77777777" w:rsidR="007D7C2E" w:rsidRPr="006B3EA7" w:rsidRDefault="007D7C2E" w:rsidP="00A26D36">
            <w:pPr>
              <w:pStyle w:val="TableText"/>
              <w:jc w:val="center"/>
              <w:rPr>
                <w:b/>
              </w:rPr>
            </w:pPr>
            <w:r w:rsidRPr="006B3EA7">
              <w:rPr>
                <w:b/>
              </w:rPr>
              <w:t>0</w:t>
            </w:r>
          </w:p>
        </w:tc>
        <w:tc>
          <w:tcPr>
            <w:tcW w:w="900" w:type="dxa"/>
            <w:tcBorders>
              <w:top w:val="single" w:sz="2" w:space="0" w:color="808080" w:themeColor="text1" w:themeTint="7F"/>
              <w:bottom w:val="single" w:sz="2" w:space="0" w:color="808080" w:themeColor="text1" w:themeTint="7F"/>
            </w:tcBorders>
            <w:shd w:val="clear" w:color="auto" w:fill="999999"/>
          </w:tcPr>
          <w:p w14:paraId="38F8DC90" w14:textId="77777777" w:rsidR="007D7C2E" w:rsidRPr="006B3EA7" w:rsidRDefault="007D7C2E" w:rsidP="00A26D36">
            <w:pPr>
              <w:pStyle w:val="TableText"/>
              <w:jc w:val="center"/>
              <w:rPr>
                <w:b/>
              </w:rPr>
            </w:pPr>
            <w:r w:rsidRPr="006B3EA7">
              <w:rPr>
                <w:b/>
              </w:rPr>
              <w:t>0.0%</w:t>
            </w:r>
          </w:p>
        </w:tc>
        <w:tc>
          <w:tcPr>
            <w:tcW w:w="630" w:type="dxa"/>
            <w:tcBorders>
              <w:top w:val="single" w:sz="2" w:space="0" w:color="808080" w:themeColor="text1" w:themeTint="7F"/>
              <w:bottom w:val="single" w:sz="2" w:space="0" w:color="808080" w:themeColor="text1" w:themeTint="7F"/>
            </w:tcBorders>
            <w:shd w:val="clear" w:color="auto" w:fill="999999"/>
          </w:tcPr>
          <w:p w14:paraId="3E325D13" w14:textId="77777777" w:rsidR="007D7C2E" w:rsidRPr="006B3EA7" w:rsidRDefault="007D7C2E" w:rsidP="00A26D36">
            <w:pPr>
              <w:pStyle w:val="TableText"/>
              <w:jc w:val="center"/>
              <w:rPr>
                <w:b/>
              </w:rPr>
            </w:pPr>
            <w:r w:rsidRPr="006B3EA7">
              <w:rPr>
                <w:b/>
              </w:rPr>
              <w:t>2</w:t>
            </w:r>
          </w:p>
        </w:tc>
        <w:tc>
          <w:tcPr>
            <w:tcW w:w="900" w:type="dxa"/>
            <w:tcBorders>
              <w:top w:val="single" w:sz="2" w:space="0" w:color="808080" w:themeColor="text1" w:themeTint="7F"/>
              <w:bottom w:val="single" w:sz="2" w:space="0" w:color="808080" w:themeColor="text1" w:themeTint="7F"/>
            </w:tcBorders>
            <w:shd w:val="clear" w:color="auto" w:fill="999999"/>
          </w:tcPr>
          <w:p w14:paraId="2D2976CC" w14:textId="77777777" w:rsidR="007D7C2E" w:rsidRPr="006B3EA7" w:rsidRDefault="007D7C2E" w:rsidP="00A26D36">
            <w:pPr>
              <w:pStyle w:val="TableText"/>
              <w:jc w:val="center"/>
              <w:rPr>
                <w:b/>
              </w:rPr>
            </w:pPr>
            <w:r w:rsidRPr="006B3EA7">
              <w:rPr>
                <w:b/>
              </w:rPr>
              <w:t>3.9%</w:t>
            </w:r>
          </w:p>
        </w:tc>
        <w:tc>
          <w:tcPr>
            <w:tcW w:w="630" w:type="dxa"/>
            <w:tcBorders>
              <w:top w:val="single" w:sz="2" w:space="0" w:color="808080" w:themeColor="text1" w:themeTint="7F"/>
              <w:bottom w:val="single" w:sz="2" w:space="0" w:color="808080" w:themeColor="text1" w:themeTint="7F"/>
            </w:tcBorders>
            <w:shd w:val="clear" w:color="auto" w:fill="999999"/>
          </w:tcPr>
          <w:p w14:paraId="2ABF423B" w14:textId="77777777" w:rsidR="007D7C2E" w:rsidRPr="006B3EA7" w:rsidRDefault="007D7C2E" w:rsidP="00A26D36">
            <w:pPr>
              <w:pStyle w:val="TableText"/>
              <w:jc w:val="center"/>
              <w:rPr>
                <w:b/>
              </w:rPr>
            </w:pPr>
            <w:r w:rsidRPr="006B3EA7">
              <w:rPr>
                <w:b/>
              </w:rPr>
              <w:t>37</w:t>
            </w:r>
          </w:p>
        </w:tc>
        <w:tc>
          <w:tcPr>
            <w:tcW w:w="1043" w:type="dxa"/>
            <w:tcBorders>
              <w:top w:val="single" w:sz="2" w:space="0" w:color="808080" w:themeColor="text1" w:themeTint="7F"/>
              <w:bottom w:val="single" w:sz="2" w:space="0" w:color="808080" w:themeColor="text1" w:themeTint="7F"/>
            </w:tcBorders>
            <w:shd w:val="clear" w:color="auto" w:fill="999999"/>
          </w:tcPr>
          <w:p w14:paraId="065CAE46" w14:textId="77777777" w:rsidR="007D7C2E" w:rsidRPr="006B3EA7" w:rsidRDefault="007D7C2E" w:rsidP="00A26D36">
            <w:pPr>
              <w:pStyle w:val="TableText"/>
              <w:jc w:val="center"/>
              <w:rPr>
                <w:b/>
              </w:rPr>
            </w:pPr>
            <w:r w:rsidRPr="006B3EA7">
              <w:rPr>
                <w:b/>
              </w:rPr>
              <w:t>72.5%</w:t>
            </w:r>
          </w:p>
        </w:tc>
      </w:tr>
      <w:tr w:rsidR="007D7C2E" w:rsidRPr="00CD1826" w14:paraId="0CA1B1D6" w14:textId="77777777" w:rsidTr="1FF1B213">
        <w:tc>
          <w:tcPr>
            <w:tcW w:w="1548" w:type="dxa"/>
            <w:tcBorders>
              <w:top w:val="single" w:sz="2" w:space="0" w:color="808080" w:themeColor="text1" w:themeTint="7F"/>
            </w:tcBorders>
          </w:tcPr>
          <w:p w14:paraId="21444077" w14:textId="77777777" w:rsidR="007D7C2E" w:rsidRDefault="007D7C2E" w:rsidP="00A26D36">
            <w:pPr>
              <w:pStyle w:val="TableText"/>
              <w:tabs>
                <w:tab w:val="left" w:pos="180"/>
              </w:tabs>
              <w:ind w:left="180"/>
            </w:pPr>
            <w:r>
              <w:t>JRRC (N=23)</w:t>
            </w:r>
          </w:p>
        </w:tc>
        <w:tc>
          <w:tcPr>
            <w:tcW w:w="582" w:type="dxa"/>
            <w:tcBorders>
              <w:top w:val="single" w:sz="2" w:space="0" w:color="808080" w:themeColor="text1" w:themeTint="7F"/>
            </w:tcBorders>
          </w:tcPr>
          <w:p w14:paraId="5269CC14" w14:textId="77777777" w:rsidR="007D7C2E" w:rsidRPr="00CD1826" w:rsidRDefault="007D7C2E" w:rsidP="00A26D36">
            <w:pPr>
              <w:pStyle w:val="TableText"/>
              <w:jc w:val="center"/>
            </w:pPr>
            <w:r w:rsidRPr="009E2EC7">
              <w:t>4</w:t>
            </w:r>
          </w:p>
        </w:tc>
        <w:tc>
          <w:tcPr>
            <w:tcW w:w="990" w:type="dxa"/>
            <w:tcBorders>
              <w:top w:val="single" w:sz="2" w:space="0" w:color="808080" w:themeColor="text1" w:themeTint="7F"/>
            </w:tcBorders>
          </w:tcPr>
          <w:p w14:paraId="3FC6F39B" w14:textId="77777777" w:rsidR="007D7C2E" w:rsidRPr="00CD1826" w:rsidRDefault="007D7C2E" w:rsidP="00A26D36">
            <w:pPr>
              <w:pStyle w:val="TableText"/>
              <w:jc w:val="center"/>
            </w:pPr>
            <w:r w:rsidRPr="009E2EC7">
              <w:t>17.4%</w:t>
            </w:r>
          </w:p>
        </w:tc>
        <w:tc>
          <w:tcPr>
            <w:tcW w:w="630" w:type="dxa"/>
            <w:tcBorders>
              <w:top w:val="single" w:sz="2" w:space="0" w:color="808080" w:themeColor="text1" w:themeTint="7F"/>
            </w:tcBorders>
          </w:tcPr>
          <w:p w14:paraId="4E7C6111" w14:textId="77777777" w:rsidR="007D7C2E" w:rsidRPr="00CD1826" w:rsidRDefault="007D7C2E" w:rsidP="00A26D36">
            <w:pPr>
              <w:pStyle w:val="TableText"/>
              <w:jc w:val="center"/>
            </w:pPr>
            <w:r w:rsidRPr="009E2EC7">
              <w:t>4</w:t>
            </w:r>
          </w:p>
        </w:tc>
        <w:tc>
          <w:tcPr>
            <w:tcW w:w="990" w:type="dxa"/>
            <w:tcBorders>
              <w:top w:val="single" w:sz="2" w:space="0" w:color="808080" w:themeColor="text1" w:themeTint="7F"/>
            </w:tcBorders>
          </w:tcPr>
          <w:p w14:paraId="14A4A843" w14:textId="77777777" w:rsidR="007D7C2E" w:rsidRPr="00CD1826" w:rsidRDefault="007D7C2E" w:rsidP="00A26D36">
            <w:pPr>
              <w:pStyle w:val="TableText"/>
              <w:jc w:val="center"/>
            </w:pPr>
            <w:r w:rsidRPr="009E2EC7">
              <w:t>17.4%</w:t>
            </w:r>
          </w:p>
        </w:tc>
        <w:tc>
          <w:tcPr>
            <w:tcW w:w="810" w:type="dxa"/>
            <w:tcBorders>
              <w:top w:val="single" w:sz="2" w:space="0" w:color="808080" w:themeColor="text1" w:themeTint="7F"/>
            </w:tcBorders>
          </w:tcPr>
          <w:p w14:paraId="0BD7D913" w14:textId="77777777" w:rsidR="007D7C2E" w:rsidRPr="00CD1826" w:rsidRDefault="007D7C2E" w:rsidP="00A26D36">
            <w:pPr>
              <w:pStyle w:val="TableText"/>
              <w:jc w:val="center"/>
            </w:pPr>
            <w:r w:rsidRPr="009E2EC7">
              <w:t>0</w:t>
            </w:r>
          </w:p>
        </w:tc>
        <w:tc>
          <w:tcPr>
            <w:tcW w:w="900" w:type="dxa"/>
            <w:tcBorders>
              <w:top w:val="single" w:sz="2" w:space="0" w:color="808080" w:themeColor="text1" w:themeTint="7F"/>
            </w:tcBorders>
          </w:tcPr>
          <w:p w14:paraId="72AF735C" w14:textId="77777777" w:rsidR="007D7C2E" w:rsidRPr="00CD1826" w:rsidRDefault="007D7C2E" w:rsidP="00A26D36">
            <w:pPr>
              <w:pStyle w:val="TableText"/>
              <w:jc w:val="center"/>
            </w:pPr>
            <w:r w:rsidRPr="009E2EC7">
              <w:t>0.0%</w:t>
            </w:r>
          </w:p>
        </w:tc>
        <w:tc>
          <w:tcPr>
            <w:tcW w:w="630" w:type="dxa"/>
            <w:tcBorders>
              <w:top w:val="single" w:sz="2" w:space="0" w:color="808080" w:themeColor="text1" w:themeTint="7F"/>
            </w:tcBorders>
          </w:tcPr>
          <w:p w14:paraId="4FE978DF" w14:textId="77777777" w:rsidR="007D7C2E" w:rsidRPr="00CD1826" w:rsidRDefault="007D7C2E" w:rsidP="00A26D36">
            <w:pPr>
              <w:pStyle w:val="TableText"/>
              <w:jc w:val="center"/>
            </w:pPr>
            <w:r w:rsidRPr="009E2EC7">
              <w:t>1</w:t>
            </w:r>
          </w:p>
        </w:tc>
        <w:tc>
          <w:tcPr>
            <w:tcW w:w="900" w:type="dxa"/>
            <w:tcBorders>
              <w:top w:val="single" w:sz="2" w:space="0" w:color="808080" w:themeColor="text1" w:themeTint="7F"/>
            </w:tcBorders>
          </w:tcPr>
          <w:p w14:paraId="4ACEE4F1" w14:textId="77777777" w:rsidR="007D7C2E" w:rsidRPr="00CD1826" w:rsidRDefault="007D7C2E" w:rsidP="00A26D36">
            <w:pPr>
              <w:pStyle w:val="TableText"/>
              <w:jc w:val="center"/>
            </w:pPr>
            <w:r w:rsidRPr="009E2EC7">
              <w:t>4.4%</w:t>
            </w:r>
          </w:p>
        </w:tc>
        <w:tc>
          <w:tcPr>
            <w:tcW w:w="630" w:type="dxa"/>
            <w:tcBorders>
              <w:top w:val="single" w:sz="2" w:space="0" w:color="808080" w:themeColor="text1" w:themeTint="7F"/>
            </w:tcBorders>
          </w:tcPr>
          <w:p w14:paraId="7E31DAE6" w14:textId="77777777" w:rsidR="007D7C2E" w:rsidRPr="00CD1826" w:rsidRDefault="007D7C2E" w:rsidP="00A26D36">
            <w:pPr>
              <w:pStyle w:val="TableText"/>
              <w:jc w:val="center"/>
            </w:pPr>
            <w:r w:rsidRPr="009E2EC7">
              <w:t>14</w:t>
            </w:r>
          </w:p>
        </w:tc>
        <w:tc>
          <w:tcPr>
            <w:tcW w:w="1043" w:type="dxa"/>
            <w:tcBorders>
              <w:top w:val="single" w:sz="2" w:space="0" w:color="808080" w:themeColor="text1" w:themeTint="7F"/>
            </w:tcBorders>
          </w:tcPr>
          <w:p w14:paraId="59A7923A" w14:textId="77777777" w:rsidR="007D7C2E" w:rsidRPr="00CD1826" w:rsidRDefault="007D7C2E" w:rsidP="00A26D36">
            <w:pPr>
              <w:pStyle w:val="TableText"/>
              <w:jc w:val="center"/>
            </w:pPr>
            <w:r w:rsidRPr="009E2EC7">
              <w:t>60.9%</w:t>
            </w:r>
          </w:p>
        </w:tc>
      </w:tr>
      <w:tr w:rsidR="007D7C2E" w:rsidRPr="00CD1826" w14:paraId="35800CAD" w14:textId="77777777" w:rsidTr="00A26D36">
        <w:trPr>
          <w:cnfStyle w:val="000000100000" w:firstRow="0" w:lastRow="0" w:firstColumn="0" w:lastColumn="0" w:oddVBand="0" w:evenVBand="0" w:oddHBand="1" w:evenHBand="0" w:firstRowFirstColumn="0" w:firstRowLastColumn="0" w:lastRowFirstColumn="0" w:lastRowLastColumn="0"/>
        </w:trPr>
        <w:tc>
          <w:tcPr>
            <w:tcW w:w="1548" w:type="dxa"/>
          </w:tcPr>
          <w:p w14:paraId="32300E66" w14:textId="77777777" w:rsidR="007D7C2E" w:rsidRDefault="007D7C2E" w:rsidP="00A26D36">
            <w:pPr>
              <w:pStyle w:val="TableText"/>
              <w:ind w:firstLine="180"/>
            </w:pPr>
            <w:r>
              <w:t>JRCA (N=10)</w:t>
            </w:r>
          </w:p>
        </w:tc>
        <w:tc>
          <w:tcPr>
            <w:tcW w:w="582" w:type="dxa"/>
          </w:tcPr>
          <w:p w14:paraId="78A5269C" w14:textId="77777777" w:rsidR="007D7C2E" w:rsidRPr="00CD1826" w:rsidRDefault="007D7C2E" w:rsidP="00A26D36">
            <w:pPr>
              <w:pStyle w:val="TableText"/>
              <w:jc w:val="center"/>
            </w:pPr>
            <w:r w:rsidRPr="009E2EC7">
              <w:t>2</w:t>
            </w:r>
          </w:p>
        </w:tc>
        <w:tc>
          <w:tcPr>
            <w:tcW w:w="990" w:type="dxa"/>
          </w:tcPr>
          <w:p w14:paraId="72C71A6A" w14:textId="77777777" w:rsidR="007D7C2E" w:rsidRPr="00CD1826" w:rsidRDefault="007D7C2E" w:rsidP="00A26D36">
            <w:pPr>
              <w:pStyle w:val="TableText"/>
              <w:jc w:val="center"/>
            </w:pPr>
            <w:r w:rsidRPr="009E2EC7">
              <w:t>20.0%</w:t>
            </w:r>
          </w:p>
        </w:tc>
        <w:tc>
          <w:tcPr>
            <w:tcW w:w="630" w:type="dxa"/>
          </w:tcPr>
          <w:p w14:paraId="5B4D5C80" w14:textId="77777777" w:rsidR="007D7C2E" w:rsidRPr="00CD1826" w:rsidRDefault="007D7C2E" w:rsidP="00A26D36">
            <w:pPr>
              <w:pStyle w:val="TableText"/>
              <w:jc w:val="center"/>
            </w:pPr>
            <w:r w:rsidRPr="009E2EC7">
              <w:t>1</w:t>
            </w:r>
          </w:p>
        </w:tc>
        <w:tc>
          <w:tcPr>
            <w:tcW w:w="990" w:type="dxa"/>
          </w:tcPr>
          <w:p w14:paraId="41E28E6A" w14:textId="77777777" w:rsidR="007D7C2E" w:rsidRPr="00CD1826" w:rsidRDefault="007D7C2E" w:rsidP="00A26D36">
            <w:pPr>
              <w:pStyle w:val="TableText"/>
              <w:jc w:val="center"/>
            </w:pPr>
            <w:r w:rsidRPr="009E2EC7">
              <w:t>10.0%</w:t>
            </w:r>
          </w:p>
        </w:tc>
        <w:tc>
          <w:tcPr>
            <w:tcW w:w="810" w:type="dxa"/>
          </w:tcPr>
          <w:p w14:paraId="2B7E5246" w14:textId="77777777" w:rsidR="007D7C2E" w:rsidRPr="00CD1826" w:rsidRDefault="007D7C2E" w:rsidP="00A26D36">
            <w:pPr>
              <w:pStyle w:val="TableText"/>
              <w:jc w:val="center"/>
            </w:pPr>
            <w:r w:rsidRPr="009E2EC7">
              <w:t>0</w:t>
            </w:r>
          </w:p>
        </w:tc>
        <w:tc>
          <w:tcPr>
            <w:tcW w:w="900" w:type="dxa"/>
          </w:tcPr>
          <w:p w14:paraId="28271223" w14:textId="77777777" w:rsidR="007D7C2E" w:rsidRPr="00CD1826" w:rsidRDefault="007D7C2E" w:rsidP="00A26D36">
            <w:pPr>
              <w:pStyle w:val="TableText"/>
              <w:jc w:val="center"/>
            </w:pPr>
            <w:r w:rsidRPr="009E2EC7">
              <w:t>0.0%</w:t>
            </w:r>
          </w:p>
        </w:tc>
        <w:tc>
          <w:tcPr>
            <w:tcW w:w="630" w:type="dxa"/>
          </w:tcPr>
          <w:p w14:paraId="7DEF7FDC" w14:textId="77777777" w:rsidR="007D7C2E" w:rsidRPr="00CD1826" w:rsidRDefault="007D7C2E" w:rsidP="00A26D36">
            <w:pPr>
              <w:pStyle w:val="TableText"/>
              <w:jc w:val="center"/>
            </w:pPr>
            <w:r w:rsidRPr="009E2EC7">
              <w:t>0</w:t>
            </w:r>
          </w:p>
        </w:tc>
        <w:tc>
          <w:tcPr>
            <w:tcW w:w="900" w:type="dxa"/>
          </w:tcPr>
          <w:p w14:paraId="68090F22" w14:textId="77777777" w:rsidR="007D7C2E" w:rsidRPr="00CD1826" w:rsidRDefault="007D7C2E" w:rsidP="00A26D36">
            <w:pPr>
              <w:pStyle w:val="TableText"/>
              <w:jc w:val="center"/>
            </w:pPr>
            <w:r w:rsidRPr="009E2EC7">
              <w:t>0.0%</w:t>
            </w:r>
          </w:p>
        </w:tc>
        <w:tc>
          <w:tcPr>
            <w:tcW w:w="630" w:type="dxa"/>
          </w:tcPr>
          <w:p w14:paraId="3E968110" w14:textId="77777777" w:rsidR="007D7C2E" w:rsidRPr="00CD1826" w:rsidRDefault="007D7C2E" w:rsidP="00A26D36">
            <w:pPr>
              <w:pStyle w:val="TableText"/>
              <w:jc w:val="center"/>
            </w:pPr>
            <w:r w:rsidRPr="009E2EC7">
              <w:t>7</w:t>
            </w:r>
          </w:p>
        </w:tc>
        <w:tc>
          <w:tcPr>
            <w:tcW w:w="1043" w:type="dxa"/>
          </w:tcPr>
          <w:p w14:paraId="2EE22A5D" w14:textId="77777777" w:rsidR="007D7C2E" w:rsidRPr="00CD1826" w:rsidRDefault="007D7C2E" w:rsidP="00A26D36">
            <w:pPr>
              <w:pStyle w:val="TableText"/>
              <w:jc w:val="center"/>
            </w:pPr>
            <w:r w:rsidRPr="009E2EC7">
              <w:t>70.0%</w:t>
            </w:r>
          </w:p>
        </w:tc>
      </w:tr>
      <w:tr w:rsidR="007D7C2E" w:rsidRPr="00CD1826" w14:paraId="770932F6" w14:textId="77777777" w:rsidTr="1FF1B213">
        <w:trPr>
          <w:trHeight w:val="229"/>
        </w:trPr>
        <w:tc>
          <w:tcPr>
            <w:tcW w:w="1548" w:type="dxa"/>
            <w:tcBorders>
              <w:bottom w:val="single" w:sz="2" w:space="0" w:color="808080" w:themeColor="text1" w:themeTint="7F"/>
            </w:tcBorders>
          </w:tcPr>
          <w:p w14:paraId="0C7308FD" w14:textId="77777777" w:rsidR="007D7C2E" w:rsidRDefault="007D7C2E" w:rsidP="00A26D36">
            <w:pPr>
              <w:pStyle w:val="TableText"/>
              <w:ind w:firstLine="180"/>
            </w:pPr>
            <w:r>
              <w:t>JRSO (N=18)</w:t>
            </w:r>
          </w:p>
        </w:tc>
        <w:tc>
          <w:tcPr>
            <w:tcW w:w="582" w:type="dxa"/>
            <w:tcBorders>
              <w:bottom w:val="single" w:sz="2" w:space="0" w:color="808080" w:themeColor="text1" w:themeTint="7F"/>
            </w:tcBorders>
          </w:tcPr>
          <w:p w14:paraId="342C97F8" w14:textId="77777777" w:rsidR="007D7C2E" w:rsidRPr="00CD1826" w:rsidRDefault="007D7C2E" w:rsidP="00A26D36">
            <w:pPr>
              <w:pStyle w:val="TableText"/>
              <w:jc w:val="center"/>
            </w:pPr>
            <w:r w:rsidRPr="009E2EC7">
              <w:t>0</w:t>
            </w:r>
          </w:p>
        </w:tc>
        <w:tc>
          <w:tcPr>
            <w:tcW w:w="990" w:type="dxa"/>
            <w:tcBorders>
              <w:bottom w:val="single" w:sz="2" w:space="0" w:color="808080" w:themeColor="text1" w:themeTint="7F"/>
            </w:tcBorders>
          </w:tcPr>
          <w:p w14:paraId="2DCED891" w14:textId="77777777" w:rsidR="007D7C2E" w:rsidRPr="00CD1826" w:rsidRDefault="007D7C2E" w:rsidP="00A26D36">
            <w:pPr>
              <w:pStyle w:val="TableText"/>
              <w:jc w:val="center"/>
            </w:pPr>
            <w:r w:rsidRPr="009E2EC7">
              <w:t>0.0%</w:t>
            </w:r>
          </w:p>
        </w:tc>
        <w:tc>
          <w:tcPr>
            <w:tcW w:w="630" w:type="dxa"/>
            <w:tcBorders>
              <w:bottom w:val="single" w:sz="2" w:space="0" w:color="808080" w:themeColor="text1" w:themeTint="7F"/>
            </w:tcBorders>
          </w:tcPr>
          <w:p w14:paraId="7356F37C" w14:textId="77777777" w:rsidR="007D7C2E" w:rsidRPr="00CD1826" w:rsidRDefault="007D7C2E" w:rsidP="00A26D36">
            <w:pPr>
              <w:pStyle w:val="TableText"/>
              <w:jc w:val="center"/>
            </w:pPr>
            <w:r w:rsidRPr="009E2EC7">
              <w:t>1</w:t>
            </w:r>
          </w:p>
        </w:tc>
        <w:tc>
          <w:tcPr>
            <w:tcW w:w="990" w:type="dxa"/>
            <w:tcBorders>
              <w:bottom w:val="single" w:sz="2" w:space="0" w:color="808080" w:themeColor="text1" w:themeTint="7F"/>
            </w:tcBorders>
          </w:tcPr>
          <w:p w14:paraId="69C7E0D1" w14:textId="77777777" w:rsidR="007D7C2E" w:rsidRPr="00CD1826" w:rsidRDefault="007D7C2E" w:rsidP="00A26D36">
            <w:pPr>
              <w:pStyle w:val="TableText"/>
              <w:jc w:val="center"/>
            </w:pPr>
            <w:r w:rsidRPr="009E2EC7">
              <w:t>5.6%</w:t>
            </w:r>
          </w:p>
        </w:tc>
        <w:tc>
          <w:tcPr>
            <w:tcW w:w="810" w:type="dxa"/>
            <w:tcBorders>
              <w:bottom w:val="single" w:sz="2" w:space="0" w:color="808080" w:themeColor="text1" w:themeTint="7F"/>
            </w:tcBorders>
          </w:tcPr>
          <w:p w14:paraId="3408AD09" w14:textId="77777777" w:rsidR="007D7C2E" w:rsidRPr="00CD1826" w:rsidRDefault="007D7C2E" w:rsidP="00A26D36">
            <w:pPr>
              <w:pStyle w:val="TableText"/>
              <w:jc w:val="center"/>
            </w:pPr>
            <w:r w:rsidRPr="009E2EC7">
              <w:t>0</w:t>
            </w:r>
          </w:p>
        </w:tc>
        <w:tc>
          <w:tcPr>
            <w:tcW w:w="900" w:type="dxa"/>
            <w:tcBorders>
              <w:bottom w:val="single" w:sz="2" w:space="0" w:color="808080" w:themeColor="text1" w:themeTint="7F"/>
            </w:tcBorders>
          </w:tcPr>
          <w:p w14:paraId="4BE2F674" w14:textId="77777777" w:rsidR="007D7C2E" w:rsidRPr="00CD1826" w:rsidRDefault="007D7C2E" w:rsidP="00A26D36">
            <w:pPr>
              <w:pStyle w:val="TableText"/>
              <w:jc w:val="center"/>
            </w:pPr>
            <w:r w:rsidRPr="009E2EC7">
              <w:t>0.0%</w:t>
            </w:r>
          </w:p>
        </w:tc>
        <w:tc>
          <w:tcPr>
            <w:tcW w:w="630" w:type="dxa"/>
            <w:tcBorders>
              <w:bottom w:val="single" w:sz="2" w:space="0" w:color="808080" w:themeColor="text1" w:themeTint="7F"/>
            </w:tcBorders>
          </w:tcPr>
          <w:p w14:paraId="5D15A538" w14:textId="77777777" w:rsidR="007D7C2E" w:rsidRPr="00CD1826" w:rsidRDefault="007D7C2E" w:rsidP="00A26D36">
            <w:pPr>
              <w:pStyle w:val="TableText"/>
              <w:jc w:val="center"/>
            </w:pPr>
            <w:r w:rsidRPr="009E2EC7">
              <w:t>1</w:t>
            </w:r>
          </w:p>
        </w:tc>
        <w:tc>
          <w:tcPr>
            <w:tcW w:w="900" w:type="dxa"/>
            <w:tcBorders>
              <w:bottom w:val="single" w:sz="2" w:space="0" w:color="808080" w:themeColor="text1" w:themeTint="7F"/>
            </w:tcBorders>
          </w:tcPr>
          <w:p w14:paraId="22703075" w14:textId="77777777" w:rsidR="007D7C2E" w:rsidRPr="00CD1826" w:rsidRDefault="007D7C2E" w:rsidP="00A26D36">
            <w:pPr>
              <w:pStyle w:val="TableText"/>
              <w:jc w:val="center"/>
            </w:pPr>
            <w:r w:rsidRPr="009E2EC7">
              <w:t>5.6%</w:t>
            </w:r>
          </w:p>
        </w:tc>
        <w:tc>
          <w:tcPr>
            <w:tcW w:w="630" w:type="dxa"/>
            <w:tcBorders>
              <w:bottom w:val="single" w:sz="2" w:space="0" w:color="808080" w:themeColor="text1" w:themeTint="7F"/>
            </w:tcBorders>
          </w:tcPr>
          <w:p w14:paraId="44FFCD8C" w14:textId="77777777" w:rsidR="007D7C2E" w:rsidRPr="00CD1826" w:rsidRDefault="007D7C2E" w:rsidP="00A26D36">
            <w:pPr>
              <w:pStyle w:val="TableText"/>
              <w:jc w:val="center"/>
            </w:pPr>
            <w:r w:rsidRPr="009E2EC7">
              <w:t>16</w:t>
            </w:r>
          </w:p>
        </w:tc>
        <w:tc>
          <w:tcPr>
            <w:tcW w:w="1043" w:type="dxa"/>
            <w:tcBorders>
              <w:bottom w:val="single" w:sz="2" w:space="0" w:color="808080" w:themeColor="text1" w:themeTint="7F"/>
            </w:tcBorders>
          </w:tcPr>
          <w:p w14:paraId="247D53EB" w14:textId="77777777" w:rsidR="007D7C2E" w:rsidRPr="00CD1826" w:rsidRDefault="007D7C2E" w:rsidP="00A26D36">
            <w:pPr>
              <w:pStyle w:val="TableText"/>
              <w:jc w:val="center"/>
            </w:pPr>
            <w:r w:rsidRPr="009E2EC7">
              <w:t>88.9%</w:t>
            </w:r>
          </w:p>
        </w:tc>
      </w:tr>
      <w:tr w:rsidR="009F7F6A" w:rsidRPr="00CD1826" w14:paraId="24A5B0B2" w14:textId="77777777" w:rsidTr="1FF1B213">
        <w:trPr>
          <w:cnfStyle w:val="000000100000" w:firstRow="0" w:lastRow="0" w:firstColumn="0" w:lastColumn="0" w:oddVBand="0" w:evenVBand="0" w:oddHBand="1" w:evenHBand="0" w:firstRowFirstColumn="0" w:firstRowLastColumn="0" w:lastRowFirstColumn="0" w:lastRowLastColumn="0"/>
        </w:trPr>
        <w:tc>
          <w:tcPr>
            <w:tcW w:w="1548" w:type="dxa"/>
            <w:tcBorders>
              <w:top w:val="single" w:sz="2" w:space="0" w:color="808080" w:themeColor="text1" w:themeTint="7F"/>
              <w:bottom w:val="single" w:sz="2" w:space="0" w:color="808080" w:themeColor="text1" w:themeTint="7F"/>
            </w:tcBorders>
            <w:shd w:val="clear" w:color="auto" w:fill="999999"/>
          </w:tcPr>
          <w:p w14:paraId="36F50A58" w14:textId="77777777" w:rsidR="007D7C2E" w:rsidRPr="000F5E80" w:rsidRDefault="007D7C2E" w:rsidP="00A26D36">
            <w:pPr>
              <w:pStyle w:val="TableText"/>
              <w:rPr>
                <w:b/>
              </w:rPr>
            </w:pPr>
            <w:r w:rsidRPr="000F5E80">
              <w:rPr>
                <w:b/>
              </w:rPr>
              <w:lastRenderedPageBreak/>
              <w:t>Naselle</w:t>
            </w:r>
          </w:p>
        </w:tc>
        <w:tc>
          <w:tcPr>
            <w:tcW w:w="582" w:type="dxa"/>
            <w:tcBorders>
              <w:top w:val="single" w:sz="2" w:space="0" w:color="808080" w:themeColor="text1" w:themeTint="7F"/>
              <w:bottom w:val="single" w:sz="2" w:space="0" w:color="808080" w:themeColor="text1" w:themeTint="7F"/>
            </w:tcBorders>
            <w:shd w:val="clear" w:color="auto" w:fill="999999"/>
          </w:tcPr>
          <w:p w14:paraId="719A98EC" w14:textId="77777777" w:rsidR="007D7C2E" w:rsidRPr="006B3EA7" w:rsidRDefault="007D7C2E" w:rsidP="00A26D36">
            <w:pPr>
              <w:pStyle w:val="TableText"/>
              <w:jc w:val="center"/>
              <w:rPr>
                <w:b/>
              </w:rPr>
            </w:pPr>
            <w:r w:rsidRPr="006B3EA7">
              <w:rPr>
                <w:b/>
              </w:rPr>
              <w:t>7</w:t>
            </w:r>
          </w:p>
        </w:tc>
        <w:tc>
          <w:tcPr>
            <w:tcW w:w="990" w:type="dxa"/>
            <w:tcBorders>
              <w:top w:val="single" w:sz="2" w:space="0" w:color="808080" w:themeColor="text1" w:themeTint="7F"/>
              <w:bottom w:val="single" w:sz="2" w:space="0" w:color="808080" w:themeColor="text1" w:themeTint="7F"/>
            </w:tcBorders>
            <w:shd w:val="clear" w:color="auto" w:fill="999999"/>
          </w:tcPr>
          <w:p w14:paraId="52E99676" w14:textId="77777777" w:rsidR="007D7C2E" w:rsidRPr="006B3EA7" w:rsidRDefault="007D7C2E" w:rsidP="00A26D36">
            <w:pPr>
              <w:pStyle w:val="TableText"/>
              <w:jc w:val="center"/>
              <w:rPr>
                <w:b/>
              </w:rPr>
            </w:pPr>
            <w:r w:rsidRPr="006B3EA7">
              <w:rPr>
                <w:b/>
              </w:rPr>
              <w:t>30.4%</w:t>
            </w:r>
          </w:p>
        </w:tc>
        <w:tc>
          <w:tcPr>
            <w:tcW w:w="630" w:type="dxa"/>
            <w:tcBorders>
              <w:top w:val="single" w:sz="2" w:space="0" w:color="808080" w:themeColor="text1" w:themeTint="7F"/>
              <w:bottom w:val="single" w:sz="2" w:space="0" w:color="808080" w:themeColor="text1" w:themeTint="7F"/>
            </w:tcBorders>
            <w:shd w:val="clear" w:color="auto" w:fill="999999"/>
          </w:tcPr>
          <w:p w14:paraId="663E091A" w14:textId="77777777" w:rsidR="007D7C2E" w:rsidRPr="006B3EA7" w:rsidRDefault="007D7C2E" w:rsidP="00A26D36">
            <w:pPr>
              <w:pStyle w:val="TableText"/>
              <w:jc w:val="center"/>
              <w:rPr>
                <w:b/>
              </w:rPr>
            </w:pPr>
            <w:r w:rsidRPr="006B3EA7">
              <w:rPr>
                <w:b/>
              </w:rPr>
              <w:t>2</w:t>
            </w:r>
          </w:p>
        </w:tc>
        <w:tc>
          <w:tcPr>
            <w:tcW w:w="990" w:type="dxa"/>
            <w:tcBorders>
              <w:top w:val="single" w:sz="2" w:space="0" w:color="808080" w:themeColor="text1" w:themeTint="7F"/>
              <w:bottom w:val="single" w:sz="2" w:space="0" w:color="808080" w:themeColor="text1" w:themeTint="7F"/>
            </w:tcBorders>
            <w:shd w:val="clear" w:color="auto" w:fill="999999"/>
          </w:tcPr>
          <w:p w14:paraId="74F01B49" w14:textId="77777777" w:rsidR="007D7C2E" w:rsidRPr="006B3EA7" w:rsidRDefault="007D7C2E" w:rsidP="00A26D36">
            <w:pPr>
              <w:pStyle w:val="TableText"/>
              <w:jc w:val="center"/>
              <w:rPr>
                <w:b/>
              </w:rPr>
            </w:pPr>
            <w:r w:rsidRPr="006B3EA7">
              <w:rPr>
                <w:b/>
              </w:rPr>
              <w:t>8.7%</w:t>
            </w:r>
          </w:p>
        </w:tc>
        <w:tc>
          <w:tcPr>
            <w:tcW w:w="810" w:type="dxa"/>
            <w:tcBorders>
              <w:top w:val="single" w:sz="2" w:space="0" w:color="808080" w:themeColor="text1" w:themeTint="7F"/>
              <w:bottom w:val="single" w:sz="2" w:space="0" w:color="808080" w:themeColor="text1" w:themeTint="7F"/>
            </w:tcBorders>
            <w:shd w:val="clear" w:color="auto" w:fill="999999"/>
          </w:tcPr>
          <w:p w14:paraId="3A53AE7D" w14:textId="77777777" w:rsidR="007D7C2E" w:rsidRPr="006B3EA7" w:rsidRDefault="007D7C2E" w:rsidP="00A26D36">
            <w:pPr>
              <w:pStyle w:val="TableText"/>
              <w:jc w:val="center"/>
              <w:rPr>
                <w:b/>
              </w:rPr>
            </w:pPr>
            <w:r w:rsidRPr="006B3EA7">
              <w:rPr>
                <w:b/>
              </w:rPr>
              <w:t>1</w:t>
            </w:r>
          </w:p>
        </w:tc>
        <w:tc>
          <w:tcPr>
            <w:tcW w:w="900" w:type="dxa"/>
            <w:tcBorders>
              <w:top w:val="single" w:sz="2" w:space="0" w:color="808080" w:themeColor="text1" w:themeTint="7F"/>
              <w:bottom w:val="single" w:sz="2" w:space="0" w:color="808080" w:themeColor="text1" w:themeTint="7F"/>
            </w:tcBorders>
            <w:shd w:val="clear" w:color="auto" w:fill="999999"/>
          </w:tcPr>
          <w:p w14:paraId="3759CBB3" w14:textId="77777777" w:rsidR="007D7C2E" w:rsidRPr="006B3EA7" w:rsidRDefault="007D7C2E" w:rsidP="00A26D36">
            <w:pPr>
              <w:pStyle w:val="TableText"/>
              <w:jc w:val="center"/>
              <w:rPr>
                <w:b/>
              </w:rPr>
            </w:pPr>
            <w:r w:rsidRPr="006B3EA7">
              <w:rPr>
                <w:b/>
              </w:rPr>
              <w:t>4.3%</w:t>
            </w:r>
          </w:p>
        </w:tc>
        <w:tc>
          <w:tcPr>
            <w:tcW w:w="630" w:type="dxa"/>
            <w:tcBorders>
              <w:top w:val="single" w:sz="2" w:space="0" w:color="808080" w:themeColor="text1" w:themeTint="7F"/>
              <w:bottom w:val="single" w:sz="2" w:space="0" w:color="808080" w:themeColor="text1" w:themeTint="7F"/>
            </w:tcBorders>
            <w:shd w:val="clear" w:color="auto" w:fill="999999"/>
          </w:tcPr>
          <w:p w14:paraId="0AE86726" w14:textId="77777777" w:rsidR="007D7C2E" w:rsidRPr="006B3EA7" w:rsidRDefault="007D7C2E" w:rsidP="00A26D36">
            <w:pPr>
              <w:pStyle w:val="TableText"/>
              <w:jc w:val="center"/>
              <w:rPr>
                <w:b/>
              </w:rPr>
            </w:pPr>
            <w:r w:rsidRPr="006B3EA7">
              <w:rPr>
                <w:b/>
              </w:rPr>
              <w:t>0</w:t>
            </w:r>
          </w:p>
        </w:tc>
        <w:tc>
          <w:tcPr>
            <w:tcW w:w="900" w:type="dxa"/>
            <w:tcBorders>
              <w:top w:val="single" w:sz="2" w:space="0" w:color="808080" w:themeColor="text1" w:themeTint="7F"/>
              <w:bottom w:val="single" w:sz="2" w:space="0" w:color="808080" w:themeColor="text1" w:themeTint="7F"/>
            </w:tcBorders>
            <w:shd w:val="clear" w:color="auto" w:fill="999999"/>
          </w:tcPr>
          <w:p w14:paraId="10C9DD79" w14:textId="77777777" w:rsidR="007D7C2E" w:rsidRPr="006B3EA7" w:rsidRDefault="007D7C2E" w:rsidP="00A26D36">
            <w:pPr>
              <w:pStyle w:val="TableText"/>
              <w:jc w:val="center"/>
              <w:rPr>
                <w:b/>
              </w:rPr>
            </w:pPr>
            <w:r w:rsidRPr="006B3EA7">
              <w:rPr>
                <w:b/>
              </w:rPr>
              <w:t>0.0%</w:t>
            </w:r>
          </w:p>
        </w:tc>
        <w:tc>
          <w:tcPr>
            <w:tcW w:w="630" w:type="dxa"/>
            <w:tcBorders>
              <w:top w:val="single" w:sz="2" w:space="0" w:color="808080" w:themeColor="text1" w:themeTint="7F"/>
              <w:bottom w:val="single" w:sz="2" w:space="0" w:color="808080" w:themeColor="text1" w:themeTint="7F"/>
            </w:tcBorders>
            <w:shd w:val="clear" w:color="auto" w:fill="999999"/>
          </w:tcPr>
          <w:p w14:paraId="2B421511" w14:textId="77777777" w:rsidR="007D7C2E" w:rsidRPr="006B3EA7" w:rsidRDefault="007D7C2E" w:rsidP="00A26D36">
            <w:pPr>
              <w:pStyle w:val="TableText"/>
              <w:jc w:val="center"/>
              <w:rPr>
                <w:b/>
              </w:rPr>
            </w:pPr>
            <w:r w:rsidRPr="006B3EA7">
              <w:rPr>
                <w:b/>
              </w:rPr>
              <w:t>13</w:t>
            </w:r>
          </w:p>
        </w:tc>
        <w:tc>
          <w:tcPr>
            <w:tcW w:w="1043" w:type="dxa"/>
            <w:tcBorders>
              <w:top w:val="single" w:sz="2" w:space="0" w:color="808080" w:themeColor="text1" w:themeTint="7F"/>
              <w:bottom w:val="single" w:sz="2" w:space="0" w:color="808080" w:themeColor="text1" w:themeTint="7F"/>
            </w:tcBorders>
            <w:shd w:val="clear" w:color="auto" w:fill="999999"/>
          </w:tcPr>
          <w:p w14:paraId="212F0A2A" w14:textId="77777777" w:rsidR="007D7C2E" w:rsidRPr="006B3EA7" w:rsidRDefault="007D7C2E" w:rsidP="00A26D36">
            <w:pPr>
              <w:pStyle w:val="TableText"/>
              <w:jc w:val="center"/>
              <w:rPr>
                <w:b/>
              </w:rPr>
            </w:pPr>
            <w:r w:rsidRPr="006B3EA7">
              <w:rPr>
                <w:b/>
              </w:rPr>
              <w:t>56.5%</w:t>
            </w:r>
          </w:p>
        </w:tc>
      </w:tr>
      <w:tr w:rsidR="007D7C2E" w:rsidRPr="00CD1826" w14:paraId="7D0555F7" w14:textId="77777777" w:rsidTr="1FF1B213">
        <w:tc>
          <w:tcPr>
            <w:tcW w:w="1548" w:type="dxa"/>
            <w:tcBorders>
              <w:top w:val="single" w:sz="2" w:space="0" w:color="808080" w:themeColor="text1" w:themeTint="7F"/>
            </w:tcBorders>
          </w:tcPr>
          <w:p w14:paraId="0378626D" w14:textId="77777777" w:rsidR="007D7C2E" w:rsidRDefault="007D7C2E" w:rsidP="00A26D36">
            <w:pPr>
              <w:pStyle w:val="TableText"/>
              <w:ind w:firstLine="180"/>
            </w:pPr>
            <w:r>
              <w:t>JRRC (N=10)</w:t>
            </w:r>
          </w:p>
        </w:tc>
        <w:tc>
          <w:tcPr>
            <w:tcW w:w="582" w:type="dxa"/>
            <w:tcBorders>
              <w:top w:val="single" w:sz="2" w:space="0" w:color="808080" w:themeColor="text1" w:themeTint="7F"/>
            </w:tcBorders>
          </w:tcPr>
          <w:p w14:paraId="3C64A732" w14:textId="77777777" w:rsidR="007D7C2E" w:rsidRPr="00CD1826" w:rsidRDefault="007D7C2E" w:rsidP="00A26D36">
            <w:pPr>
              <w:pStyle w:val="TableText"/>
              <w:jc w:val="center"/>
            </w:pPr>
            <w:r w:rsidRPr="009E2EC7">
              <w:t>4</w:t>
            </w:r>
          </w:p>
        </w:tc>
        <w:tc>
          <w:tcPr>
            <w:tcW w:w="990" w:type="dxa"/>
            <w:tcBorders>
              <w:top w:val="single" w:sz="2" w:space="0" w:color="808080" w:themeColor="text1" w:themeTint="7F"/>
            </w:tcBorders>
          </w:tcPr>
          <w:p w14:paraId="7C6EFA75" w14:textId="77777777" w:rsidR="007D7C2E" w:rsidRPr="00CD1826" w:rsidRDefault="007D7C2E" w:rsidP="00A26D36">
            <w:pPr>
              <w:pStyle w:val="TableText"/>
              <w:jc w:val="center"/>
            </w:pPr>
            <w:r w:rsidRPr="009E2EC7">
              <w:t>40.0%</w:t>
            </w:r>
          </w:p>
        </w:tc>
        <w:tc>
          <w:tcPr>
            <w:tcW w:w="630" w:type="dxa"/>
            <w:tcBorders>
              <w:top w:val="single" w:sz="2" w:space="0" w:color="808080" w:themeColor="text1" w:themeTint="7F"/>
            </w:tcBorders>
          </w:tcPr>
          <w:p w14:paraId="488B5DC7" w14:textId="77777777" w:rsidR="007D7C2E" w:rsidRPr="00CD1826" w:rsidRDefault="007D7C2E" w:rsidP="00A26D36">
            <w:pPr>
              <w:pStyle w:val="TableText"/>
              <w:jc w:val="center"/>
            </w:pPr>
            <w:r w:rsidRPr="009E2EC7">
              <w:t>1</w:t>
            </w:r>
          </w:p>
        </w:tc>
        <w:tc>
          <w:tcPr>
            <w:tcW w:w="990" w:type="dxa"/>
            <w:tcBorders>
              <w:top w:val="single" w:sz="2" w:space="0" w:color="808080" w:themeColor="text1" w:themeTint="7F"/>
            </w:tcBorders>
          </w:tcPr>
          <w:p w14:paraId="25997E20" w14:textId="77777777" w:rsidR="007D7C2E" w:rsidRPr="00CD1826" w:rsidRDefault="007D7C2E" w:rsidP="00A26D36">
            <w:pPr>
              <w:pStyle w:val="TableText"/>
              <w:jc w:val="center"/>
            </w:pPr>
            <w:r w:rsidRPr="009E2EC7">
              <w:t>10.0%</w:t>
            </w:r>
          </w:p>
        </w:tc>
        <w:tc>
          <w:tcPr>
            <w:tcW w:w="810" w:type="dxa"/>
            <w:tcBorders>
              <w:top w:val="single" w:sz="2" w:space="0" w:color="808080" w:themeColor="text1" w:themeTint="7F"/>
            </w:tcBorders>
          </w:tcPr>
          <w:p w14:paraId="0C885B82" w14:textId="77777777" w:rsidR="007D7C2E" w:rsidRPr="00CD1826" w:rsidRDefault="007D7C2E" w:rsidP="00A26D36">
            <w:pPr>
              <w:pStyle w:val="TableText"/>
              <w:jc w:val="center"/>
            </w:pPr>
            <w:r w:rsidRPr="009E2EC7">
              <w:t>0</w:t>
            </w:r>
          </w:p>
        </w:tc>
        <w:tc>
          <w:tcPr>
            <w:tcW w:w="900" w:type="dxa"/>
            <w:tcBorders>
              <w:top w:val="single" w:sz="2" w:space="0" w:color="808080" w:themeColor="text1" w:themeTint="7F"/>
            </w:tcBorders>
          </w:tcPr>
          <w:p w14:paraId="662B4172" w14:textId="77777777" w:rsidR="007D7C2E" w:rsidRPr="00CD1826" w:rsidRDefault="007D7C2E" w:rsidP="00A26D36">
            <w:pPr>
              <w:pStyle w:val="TableText"/>
              <w:jc w:val="center"/>
            </w:pPr>
            <w:r w:rsidRPr="009E2EC7">
              <w:t>0.0%</w:t>
            </w:r>
          </w:p>
        </w:tc>
        <w:tc>
          <w:tcPr>
            <w:tcW w:w="630" w:type="dxa"/>
            <w:tcBorders>
              <w:top w:val="single" w:sz="2" w:space="0" w:color="808080" w:themeColor="text1" w:themeTint="7F"/>
            </w:tcBorders>
          </w:tcPr>
          <w:p w14:paraId="247AAD99" w14:textId="77777777" w:rsidR="007D7C2E" w:rsidRPr="00CD1826" w:rsidRDefault="007D7C2E" w:rsidP="00A26D36">
            <w:pPr>
              <w:pStyle w:val="TableText"/>
              <w:jc w:val="center"/>
            </w:pPr>
            <w:r w:rsidRPr="009E2EC7">
              <w:t>0</w:t>
            </w:r>
          </w:p>
        </w:tc>
        <w:tc>
          <w:tcPr>
            <w:tcW w:w="900" w:type="dxa"/>
            <w:tcBorders>
              <w:top w:val="single" w:sz="2" w:space="0" w:color="808080" w:themeColor="text1" w:themeTint="7F"/>
            </w:tcBorders>
          </w:tcPr>
          <w:p w14:paraId="116291BD" w14:textId="77777777" w:rsidR="007D7C2E" w:rsidRPr="00CD1826" w:rsidRDefault="007D7C2E" w:rsidP="00A26D36">
            <w:pPr>
              <w:pStyle w:val="TableText"/>
              <w:jc w:val="center"/>
            </w:pPr>
            <w:r w:rsidRPr="009E2EC7">
              <w:t>0.0%</w:t>
            </w:r>
          </w:p>
        </w:tc>
        <w:tc>
          <w:tcPr>
            <w:tcW w:w="630" w:type="dxa"/>
            <w:tcBorders>
              <w:top w:val="single" w:sz="2" w:space="0" w:color="808080" w:themeColor="text1" w:themeTint="7F"/>
            </w:tcBorders>
          </w:tcPr>
          <w:p w14:paraId="0D7DBA42" w14:textId="77777777" w:rsidR="007D7C2E" w:rsidRPr="00CD1826" w:rsidRDefault="007D7C2E" w:rsidP="00A26D36">
            <w:pPr>
              <w:pStyle w:val="TableText"/>
              <w:jc w:val="center"/>
            </w:pPr>
            <w:r w:rsidRPr="009E2EC7">
              <w:t>5</w:t>
            </w:r>
          </w:p>
        </w:tc>
        <w:tc>
          <w:tcPr>
            <w:tcW w:w="1043" w:type="dxa"/>
            <w:tcBorders>
              <w:top w:val="single" w:sz="2" w:space="0" w:color="808080" w:themeColor="text1" w:themeTint="7F"/>
            </w:tcBorders>
          </w:tcPr>
          <w:p w14:paraId="2B5F2B1A" w14:textId="77777777" w:rsidR="007D7C2E" w:rsidRPr="00CD1826" w:rsidRDefault="007D7C2E" w:rsidP="00A26D36">
            <w:pPr>
              <w:pStyle w:val="TableText"/>
              <w:jc w:val="center"/>
            </w:pPr>
            <w:r w:rsidRPr="009E2EC7">
              <w:t>50.0%</w:t>
            </w:r>
          </w:p>
        </w:tc>
      </w:tr>
      <w:tr w:rsidR="007D7C2E" w:rsidRPr="00CD1826" w14:paraId="541A1322" w14:textId="77777777" w:rsidTr="00A26D36">
        <w:trPr>
          <w:cnfStyle w:val="000000100000" w:firstRow="0" w:lastRow="0" w:firstColumn="0" w:lastColumn="0" w:oddVBand="0" w:evenVBand="0" w:oddHBand="1" w:evenHBand="0" w:firstRowFirstColumn="0" w:firstRowLastColumn="0" w:lastRowFirstColumn="0" w:lastRowLastColumn="0"/>
        </w:trPr>
        <w:tc>
          <w:tcPr>
            <w:tcW w:w="1548" w:type="dxa"/>
          </w:tcPr>
          <w:p w14:paraId="50BFD68C" w14:textId="77777777" w:rsidR="007D7C2E" w:rsidRDefault="007D7C2E" w:rsidP="00A26D36">
            <w:pPr>
              <w:pStyle w:val="TableText"/>
              <w:ind w:firstLine="180"/>
            </w:pPr>
            <w:r>
              <w:t>JRCA (N=6)</w:t>
            </w:r>
          </w:p>
        </w:tc>
        <w:tc>
          <w:tcPr>
            <w:tcW w:w="582" w:type="dxa"/>
          </w:tcPr>
          <w:p w14:paraId="6A968F66" w14:textId="77777777" w:rsidR="007D7C2E" w:rsidRPr="00CD1826" w:rsidRDefault="007D7C2E" w:rsidP="00A26D36">
            <w:pPr>
              <w:pStyle w:val="TableText"/>
              <w:jc w:val="center"/>
            </w:pPr>
            <w:r w:rsidRPr="009E2EC7">
              <w:t>2</w:t>
            </w:r>
          </w:p>
        </w:tc>
        <w:tc>
          <w:tcPr>
            <w:tcW w:w="990" w:type="dxa"/>
          </w:tcPr>
          <w:p w14:paraId="2D083464" w14:textId="77777777" w:rsidR="007D7C2E" w:rsidRPr="00CD1826" w:rsidRDefault="007D7C2E" w:rsidP="00A26D36">
            <w:pPr>
              <w:pStyle w:val="TableText"/>
              <w:jc w:val="center"/>
            </w:pPr>
            <w:r w:rsidRPr="009E2EC7">
              <w:t>33.3%</w:t>
            </w:r>
          </w:p>
        </w:tc>
        <w:tc>
          <w:tcPr>
            <w:tcW w:w="630" w:type="dxa"/>
          </w:tcPr>
          <w:p w14:paraId="2ECEAF3B" w14:textId="77777777" w:rsidR="007D7C2E" w:rsidRPr="00CD1826" w:rsidRDefault="007D7C2E" w:rsidP="00A26D36">
            <w:pPr>
              <w:pStyle w:val="TableText"/>
              <w:jc w:val="center"/>
            </w:pPr>
            <w:r w:rsidRPr="009E2EC7">
              <w:t>1</w:t>
            </w:r>
          </w:p>
        </w:tc>
        <w:tc>
          <w:tcPr>
            <w:tcW w:w="990" w:type="dxa"/>
          </w:tcPr>
          <w:p w14:paraId="4A25282D" w14:textId="77777777" w:rsidR="007D7C2E" w:rsidRPr="00CD1826" w:rsidRDefault="007D7C2E" w:rsidP="00A26D36">
            <w:pPr>
              <w:pStyle w:val="TableText"/>
              <w:jc w:val="center"/>
            </w:pPr>
            <w:r w:rsidRPr="009E2EC7">
              <w:t>16.7%</w:t>
            </w:r>
          </w:p>
        </w:tc>
        <w:tc>
          <w:tcPr>
            <w:tcW w:w="810" w:type="dxa"/>
          </w:tcPr>
          <w:p w14:paraId="0E83139A" w14:textId="77777777" w:rsidR="007D7C2E" w:rsidRPr="00CD1826" w:rsidRDefault="007D7C2E" w:rsidP="00A26D36">
            <w:pPr>
              <w:pStyle w:val="TableText"/>
              <w:jc w:val="center"/>
            </w:pPr>
            <w:r w:rsidRPr="009E2EC7">
              <w:t>0</w:t>
            </w:r>
          </w:p>
        </w:tc>
        <w:tc>
          <w:tcPr>
            <w:tcW w:w="900" w:type="dxa"/>
          </w:tcPr>
          <w:p w14:paraId="5593B8D6" w14:textId="77777777" w:rsidR="007D7C2E" w:rsidRPr="00CD1826" w:rsidRDefault="007D7C2E" w:rsidP="00A26D36">
            <w:pPr>
              <w:pStyle w:val="TableText"/>
              <w:jc w:val="center"/>
            </w:pPr>
            <w:r w:rsidRPr="009E2EC7">
              <w:t>0.0%</w:t>
            </w:r>
          </w:p>
        </w:tc>
        <w:tc>
          <w:tcPr>
            <w:tcW w:w="630" w:type="dxa"/>
          </w:tcPr>
          <w:p w14:paraId="1F26C4EF" w14:textId="77777777" w:rsidR="007D7C2E" w:rsidRPr="00CD1826" w:rsidRDefault="007D7C2E" w:rsidP="00A26D36">
            <w:pPr>
              <w:pStyle w:val="TableText"/>
              <w:jc w:val="center"/>
            </w:pPr>
            <w:r w:rsidRPr="009E2EC7">
              <w:t>0</w:t>
            </w:r>
          </w:p>
        </w:tc>
        <w:tc>
          <w:tcPr>
            <w:tcW w:w="900" w:type="dxa"/>
          </w:tcPr>
          <w:p w14:paraId="2D5DBA79" w14:textId="77777777" w:rsidR="007D7C2E" w:rsidRPr="00CD1826" w:rsidRDefault="007D7C2E" w:rsidP="00A26D36">
            <w:pPr>
              <w:pStyle w:val="TableText"/>
              <w:jc w:val="center"/>
            </w:pPr>
            <w:r w:rsidRPr="009E2EC7">
              <w:t>0.0%</w:t>
            </w:r>
          </w:p>
        </w:tc>
        <w:tc>
          <w:tcPr>
            <w:tcW w:w="630" w:type="dxa"/>
          </w:tcPr>
          <w:p w14:paraId="7FC78FE4" w14:textId="77777777" w:rsidR="007D7C2E" w:rsidRPr="00CD1826" w:rsidRDefault="007D7C2E" w:rsidP="00A26D36">
            <w:pPr>
              <w:pStyle w:val="TableText"/>
              <w:jc w:val="center"/>
            </w:pPr>
            <w:r w:rsidRPr="009E2EC7">
              <w:t>3</w:t>
            </w:r>
          </w:p>
        </w:tc>
        <w:tc>
          <w:tcPr>
            <w:tcW w:w="1043" w:type="dxa"/>
          </w:tcPr>
          <w:p w14:paraId="25E81929" w14:textId="77777777" w:rsidR="007D7C2E" w:rsidRPr="00CD1826" w:rsidRDefault="007D7C2E" w:rsidP="00A26D36">
            <w:pPr>
              <w:pStyle w:val="TableText"/>
              <w:jc w:val="center"/>
            </w:pPr>
            <w:r w:rsidRPr="009E2EC7">
              <w:t>50.0%</w:t>
            </w:r>
          </w:p>
        </w:tc>
      </w:tr>
      <w:tr w:rsidR="007D7C2E" w:rsidRPr="00CD1826" w14:paraId="3BD02BF7" w14:textId="77777777" w:rsidTr="1FF1B213">
        <w:tc>
          <w:tcPr>
            <w:tcW w:w="1548" w:type="dxa"/>
            <w:tcBorders>
              <w:bottom w:val="single" w:sz="2" w:space="0" w:color="808080" w:themeColor="text1" w:themeTint="7F"/>
            </w:tcBorders>
          </w:tcPr>
          <w:p w14:paraId="075CE602" w14:textId="77777777" w:rsidR="007D7C2E" w:rsidRDefault="007D7C2E" w:rsidP="00A26D36">
            <w:pPr>
              <w:pStyle w:val="TableText"/>
              <w:ind w:firstLine="180"/>
            </w:pPr>
            <w:r>
              <w:t>JRSO (N=7)</w:t>
            </w:r>
          </w:p>
        </w:tc>
        <w:tc>
          <w:tcPr>
            <w:tcW w:w="582" w:type="dxa"/>
            <w:tcBorders>
              <w:bottom w:val="single" w:sz="2" w:space="0" w:color="808080" w:themeColor="text1" w:themeTint="7F"/>
            </w:tcBorders>
          </w:tcPr>
          <w:p w14:paraId="11F0885C" w14:textId="77777777" w:rsidR="007D7C2E" w:rsidRPr="00CD1826" w:rsidRDefault="007D7C2E" w:rsidP="00A26D36">
            <w:pPr>
              <w:pStyle w:val="TableText"/>
              <w:jc w:val="center"/>
            </w:pPr>
            <w:r w:rsidRPr="009E2EC7">
              <w:t>1</w:t>
            </w:r>
          </w:p>
        </w:tc>
        <w:tc>
          <w:tcPr>
            <w:tcW w:w="990" w:type="dxa"/>
            <w:tcBorders>
              <w:bottom w:val="single" w:sz="2" w:space="0" w:color="808080" w:themeColor="text1" w:themeTint="7F"/>
            </w:tcBorders>
          </w:tcPr>
          <w:p w14:paraId="53ABFCA6" w14:textId="77777777" w:rsidR="007D7C2E" w:rsidRPr="00CD1826" w:rsidRDefault="007D7C2E" w:rsidP="00A26D36">
            <w:pPr>
              <w:pStyle w:val="TableText"/>
              <w:jc w:val="center"/>
            </w:pPr>
            <w:r w:rsidRPr="009E2EC7">
              <w:t>14.3%</w:t>
            </w:r>
          </w:p>
        </w:tc>
        <w:tc>
          <w:tcPr>
            <w:tcW w:w="630" w:type="dxa"/>
            <w:tcBorders>
              <w:bottom w:val="single" w:sz="2" w:space="0" w:color="808080" w:themeColor="text1" w:themeTint="7F"/>
            </w:tcBorders>
          </w:tcPr>
          <w:p w14:paraId="0808543C" w14:textId="77777777" w:rsidR="007D7C2E" w:rsidRPr="00CD1826" w:rsidRDefault="007D7C2E" w:rsidP="00A26D36">
            <w:pPr>
              <w:pStyle w:val="TableText"/>
              <w:jc w:val="center"/>
            </w:pPr>
            <w:r w:rsidRPr="009E2EC7">
              <w:t>0</w:t>
            </w:r>
          </w:p>
        </w:tc>
        <w:tc>
          <w:tcPr>
            <w:tcW w:w="990" w:type="dxa"/>
            <w:tcBorders>
              <w:bottom w:val="single" w:sz="2" w:space="0" w:color="808080" w:themeColor="text1" w:themeTint="7F"/>
            </w:tcBorders>
          </w:tcPr>
          <w:p w14:paraId="429432CD" w14:textId="77777777" w:rsidR="007D7C2E" w:rsidRPr="00CD1826" w:rsidRDefault="007D7C2E" w:rsidP="00A26D36">
            <w:pPr>
              <w:pStyle w:val="TableText"/>
              <w:jc w:val="center"/>
            </w:pPr>
            <w:r w:rsidRPr="009E2EC7">
              <w:t>0.0%</w:t>
            </w:r>
          </w:p>
        </w:tc>
        <w:tc>
          <w:tcPr>
            <w:tcW w:w="810" w:type="dxa"/>
            <w:tcBorders>
              <w:bottom w:val="single" w:sz="2" w:space="0" w:color="808080" w:themeColor="text1" w:themeTint="7F"/>
            </w:tcBorders>
          </w:tcPr>
          <w:p w14:paraId="4A6DB45E" w14:textId="77777777" w:rsidR="007D7C2E" w:rsidRPr="00CD1826" w:rsidRDefault="007D7C2E" w:rsidP="00A26D36">
            <w:pPr>
              <w:pStyle w:val="TableText"/>
              <w:jc w:val="center"/>
            </w:pPr>
            <w:r w:rsidRPr="009E2EC7">
              <w:t>1</w:t>
            </w:r>
          </w:p>
        </w:tc>
        <w:tc>
          <w:tcPr>
            <w:tcW w:w="900" w:type="dxa"/>
            <w:tcBorders>
              <w:bottom w:val="single" w:sz="2" w:space="0" w:color="808080" w:themeColor="text1" w:themeTint="7F"/>
            </w:tcBorders>
          </w:tcPr>
          <w:p w14:paraId="6DAD6871" w14:textId="77777777" w:rsidR="007D7C2E" w:rsidRPr="00CD1826" w:rsidRDefault="007D7C2E" w:rsidP="00A26D36">
            <w:pPr>
              <w:pStyle w:val="TableText"/>
              <w:jc w:val="center"/>
            </w:pPr>
            <w:r w:rsidRPr="009E2EC7">
              <w:t>14.3%</w:t>
            </w:r>
          </w:p>
        </w:tc>
        <w:tc>
          <w:tcPr>
            <w:tcW w:w="630" w:type="dxa"/>
            <w:tcBorders>
              <w:bottom w:val="single" w:sz="2" w:space="0" w:color="808080" w:themeColor="text1" w:themeTint="7F"/>
            </w:tcBorders>
          </w:tcPr>
          <w:p w14:paraId="308C9F47" w14:textId="77777777" w:rsidR="007D7C2E" w:rsidRPr="00CD1826" w:rsidRDefault="007D7C2E" w:rsidP="00A26D36">
            <w:pPr>
              <w:pStyle w:val="TableText"/>
              <w:jc w:val="center"/>
            </w:pPr>
            <w:r w:rsidRPr="009E2EC7">
              <w:t>0</w:t>
            </w:r>
          </w:p>
        </w:tc>
        <w:tc>
          <w:tcPr>
            <w:tcW w:w="900" w:type="dxa"/>
            <w:tcBorders>
              <w:bottom w:val="single" w:sz="2" w:space="0" w:color="808080" w:themeColor="text1" w:themeTint="7F"/>
            </w:tcBorders>
          </w:tcPr>
          <w:p w14:paraId="1DC733BF" w14:textId="77777777" w:rsidR="007D7C2E" w:rsidRPr="00CD1826" w:rsidRDefault="007D7C2E" w:rsidP="00A26D36">
            <w:pPr>
              <w:pStyle w:val="TableText"/>
              <w:jc w:val="center"/>
            </w:pPr>
            <w:r w:rsidRPr="009E2EC7">
              <w:t>0.0%</w:t>
            </w:r>
          </w:p>
        </w:tc>
        <w:tc>
          <w:tcPr>
            <w:tcW w:w="630" w:type="dxa"/>
            <w:tcBorders>
              <w:bottom w:val="single" w:sz="2" w:space="0" w:color="808080" w:themeColor="text1" w:themeTint="7F"/>
            </w:tcBorders>
          </w:tcPr>
          <w:p w14:paraId="7E18EEC4" w14:textId="77777777" w:rsidR="007D7C2E" w:rsidRPr="00CD1826" w:rsidRDefault="007D7C2E" w:rsidP="00A26D36">
            <w:pPr>
              <w:pStyle w:val="TableText"/>
              <w:jc w:val="center"/>
            </w:pPr>
            <w:r w:rsidRPr="009E2EC7">
              <w:t>5</w:t>
            </w:r>
          </w:p>
        </w:tc>
        <w:tc>
          <w:tcPr>
            <w:tcW w:w="1043" w:type="dxa"/>
            <w:tcBorders>
              <w:bottom w:val="single" w:sz="2" w:space="0" w:color="808080" w:themeColor="text1" w:themeTint="7F"/>
            </w:tcBorders>
          </w:tcPr>
          <w:p w14:paraId="1D8CC0E1" w14:textId="77777777" w:rsidR="007D7C2E" w:rsidRPr="00CD1826" w:rsidRDefault="007D7C2E" w:rsidP="00A26D36">
            <w:pPr>
              <w:pStyle w:val="TableText"/>
              <w:jc w:val="center"/>
            </w:pPr>
            <w:r w:rsidRPr="009E2EC7">
              <w:t>71.4%</w:t>
            </w:r>
          </w:p>
        </w:tc>
      </w:tr>
      <w:tr w:rsidR="009F7F6A" w:rsidRPr="00CD1826" w14:paraId="3E42FBF8" w14:textId="77777777" w:rsidTr="1FF1B213">
        <w:trPr>
          <w:cnfStyle w:val="000000100000" w:firstRow="0" w:lastRow="0" w:firstColumn="0" w:lastColumn="0" w:oddVBand="0" w:evenVBand="0" w:oddHBand="1" w:evenHBand="0" w:firstRowFirstColumn="0" w:firstRowLastColumn="0" w:lastRowFirstColumn="0" w:lastRowLastColumn="0"/>
        </w:trPr>
        <w:tc>
          <w:tcPr>
            <w:tcW w:w="1548" w:type="dxa"/>
            <w:tcBorders>
              <w:top w:val="single" w:sz="2" w:space="0" w:color="808080" w:themeColor="text1" w:themeTint="7F"/>
              <w:bottom w:val="single" w:sz="2" w:space="0" w:color="808080" w:themeColor="text1" w:themeTint="7F"/>
            </w:tcBorders>
            <w:shd w:val="clear" w:color="auto" w:fill="999999"/>
          </w:tcPr>
          <w:p w14:paraId="3C336D5C" w14:textId="77777777" w:rsidR="007D7C2E" w:rsidRPr="000F5E80" w:rsidRDefault="007D7C2E" w:rsidP="00A26D36">
            <w:pPr>
              <w:pStyle w:val="TableText"/>
              <w:rPr>
                <w:b/>
              </w:rPr>
            </w:pPr>
            <w:r w:rsidRPr="000F5E80">
              <w:rPr>
                <w:b/>
              </w:rPr>
              <w:t>Community Facilities</w:t>
            </w:r>
          </w:p>
        </w:tc>
        <w:tc>
          <w:tcPr>
            <w:tcW w:w="582" w:type="dxa"/>
            <w:tcBorders>
              <w:top w:val="single" w:sz="2" w:space="0" w:color="808080" w:themeColor="text1" w:themeTint="7F"/>
              <w:bottom w:val="single" w:sz="2" w:space="0" w:color="808080" w:themeColor="text1" w:themeTint="7F"/>
            </w:tcBorders>
            <w:shd w:val="clear" w:color="auto" w:fill="999999"/>
            <w:vAlign w:val="center"/>
          </w:tcPr>
          <w:p w14:paraId="1BF738F7" w14:textId="77777777" w:rsidR="007D7C2E" w:rsidRPr="006B3EA7" w:rsidRDefault="007D7C2E" w:rsidP="00F02BD2">
            <w:pPr>
              <w:pStyle w:val="TableText"/>
              <w:jc w:val="center"/>
              <w:rPr>
                <w:b/>
              </w:rPr>
            </w:pPr>
            <w:r w:rsidRPr="006B3EA7">
              <w:rPr>
                <w:b/>
              </w:rPr>
              <w:t>14</w:t>
            </w:r>
          </w:p>
        </w:tc>
        <w:tc>
          <w:tcPr>
            <w:tcW w:w="990" w:type="dxa"/>
            <w:tcBorders>
              <w:top w:val="single" w:sz="2" w:space="0" w:color="808080" w:themeColor="text1" w:themeTint="7F"/>
              <w:bottom w:val="single" w:sz="2" w:space="0" w:color="808080" w:themeColor="text1" w:themeTint="7F"/>
            </w:tcBorders>
            <w:shd w:val="clear" w:color="auto" w:fill="999999"/>
            <w:vAlign w:val="center"/>
          </w:tcPr>
          <w:p w14:paraId="76512DB3" w14:textId="77777777" w:rsidR="007D7C2E" w:rsidRPr="006B3EA7" w:rsidRDefault="007D7C2E" w:rsidP="00F02BD2">
            <w:pPr>
              <w:pStyle w:val="TableText"/>
              <w:jc w:val="center"/>
              <w:rPr>
                <w:b/>
              </w:rPr>
            </w:pPr>
            <w:r w:rsidRPr="006B3EA7">
              <w:rPr>
                <w:b/>
              </w:rPr>
              <w:t>51.9%</w:t>
            </w:r>
          </w:p>
        </w:tc>
        <w:tc>
          <w:tcPr>
            <w:tcW w:w="630" w:type="dxa"/>
            <w:tcBorders>
              <w:top w:val="single" w:sz="2" w:space="0" w:color="808080" w:themeColor="text1" w:themeTint="7F"/>
              <w:bottom w:val="single" w:sz="2" w:space="0" w:color="808080" w:themeColor="text1" w:themeTint="7F"/>
            </w:tcBorders>
            <w:shd w:val="clear" w:color="auto" w:fill="999999"/>
            <w:vAlign w:val="center"/>
          </w:tcPr>
          <w:p w14:paraId="2353214B" w14:textId="77777777" w:rsidR="007D7C2E" w:rsidRPr="006B3EA7" w:rsidRDefault="007D7C2E" w:rsidP="00F02BD2">
            <w:pPr>
              <w:pStyle w:val="TableText"/>
              <w:jc w:val="center"/>
              <w:rPr>
                <w:b/>
              </w:rPr>
            </w:pPr>
            <w:r w:rsidRPr="006B3EA7">
              <w:rPr>
                <w:b/>
              </w:rPr>
              <w:t>2</w:t>
            </w:r>
          </w:p>
        </w:tc>
        <w:tc>
          <w:tcPr>
            <w:tcW w:w="990" w:type="dxa"/>
            <w:tcBorders>
              <w:top w:val="single" w:sz="2" w:space="0" w:color="808080" w:themeColor="text1" w:themeTint="7F"/>
              <w:bottom w:val="single" w:sz="2" w:space="0" w:color="808080" w:themeColor="text1" w:themeTint="7F"/>
            </w:tcBorders>
            <w:shd w:val="clear" w:color="auto" w:fill="999999"/>
            <w:vAlign w:val="center"/>
          </w:tcPr>
          <w:p w14:paraId="4730F810" w14:textId="77777777" w:rsidR="007D7C2E" w:rsidRPr="006B3EA7" w:rsidRDefault="007D7C2E" w:rsidP="00F02BD2">
            <w:pPr>
              <w:pStyle w:val="TableText"/>
              <w:jc w:val="center"/>
              <w:rPr>
                <w:b/>
              </w:rPr>
            </w:pPr>
            <w:r w:rsidRPr="006B3EA7">
              <w:rPr>
                <w:b/>
              </w:rPr>
              <w:t>7.4%</w:t>
            </w:r>
          </w:p>
        </w:tc>
        <w:tc>
          <w:tcPr>
            <w:tcW w:w="810" w:type="dxa"/>
            <w:tcBorders>
              <w:top w:val="single" w:sz="2" w:space="0" w:color="808080" w:themeColor="text1" w:themeTint="7F"/>
              <w:bottom w:val="single" w:sz="2" w:space="0" w:color="808080" w:themeColor="text1" w:themeTint="7F"/>
            </w:tcBorders>
            <w:shd w:val="clear" w:color="auto" w:fill="999999"/>
            <w:vAlign w:val="center"/>
          </w:tcPr>
          <w:p w14:paraId="3CA95208" w14:textId="77777777" w:rsidR="007D7C2E" w:rsidRPr="006B3EA7" w:rsidRDefault="007D7C2E" w:rsidP="00F02BD2">
            <w:pPr>
              <w:pStyle w:val="TableText"/>
              <w:jc w:val="center"/>
              <w:rPr>
                <w:b/>
              </w:rPr>
            </w:pPr>
            <w:r w:rsidRPr="006B3EA7">
              <w:rPr>
                <w:b/>
              </w:rPr>
              <w:t>0</w:t>
            </w:r>
          </w:p>
        </w:tc>
        <w:tc>
          <w:tcPr>
            <w:tcW w:w="900" w:type="dxa"/>
            <w:tcBorders>
              <w:top w:val="single" w:sz="2" w:space="0" w:color="808080" w:themeColor="text1" w:themeTint="7F"/>
              <w:bottom w:val="single" w:sz="2" w:space="0" w:color="808080" w:themeColor="text1" w:themeTint="7F"/>
            </w:tcBorders>
            <w:shd w:val="clear" w:color="auto" w:fill="999999"/>
            <w:vAlign w:val="center"/>
          </w:tcPr>
          <w:p w14:paraId="46BCDD0A" w14:textId="77777777" w:rsidR="007D7C2E" w:rsidRPr="006B3EA7" w:rsidRDefault="007D7C2E" w:rsidP="00F02BD2">
            <w:pPr>
              <w:pStyle w:val="TableText"/>
              <w:jc w:val="center"/>
              <w:rPr>
                <w:b/>
              </w:rPr>
            </w:pPr>
            <w:r w:rsidRPr="006B3EA7">
              <w:rPr>
                <w:b/>
              </w:rPr>
              <w:t>0.0%</w:t>
            </w:r>
          </w:p>
        </w:tc>
        <w:tc>
          <w:tcPr>
            <w:tcW w:w="630" w:type="dxa"/>
            <w:tcBorders>
              <w:top w:val="single" w:sz="2" w:space="0" w:color="808080" w:themeColor="text1" w:themeTint="7F"/>
              <w:bottom w:val="single" w:sz="2" w:space="0" w:color="808080" w:themeColor="text1" w:themeTint="7F"/>
            </w:tcBorders>
            <w:shd w:val="clear" w:color="auto" w:fill="999999"/>
            <w:vAlign w:val="center"/>
          </w:tcPr>
          <w:p w14:paraId="5678A432" w14:textId="77777777" w:rsidR="007D7C2E" w:rsidRPr="006B3EA7" w:rsidRDefault="007D7C2E" w:rsidP="00F02BD2">
            <w:pPr>
              <w:pStyle w:val="TableText"/>
              <w:jc w:val="center"/>
              <w:rPr>
                <w:b/>
              </w:rPr>
            </w:pPr>
            <w:r w:rsidRPr="006B3EA7">
              <w:rPr>
                <w:b/>
              </w:rPr>
              <w:t>0</w:t>
            </w:r>
          </w:p>
        </w:tc>
        <w:tc>
          <w:tcPr>
            <w:tcW w:w="900" w:type="dxa"/>
            <w:tcBorders>
              <w:top w:val="single" w:sz="2" w:space="0" w:color="808080" w:themeColor="text1" w:themeTint="7F"/>
              <w:bottom w:val="single" w:sz="2" w:space="0" w:color="808080" w:themeColor="text1" w:themeTint="7F"/>
            </w:tcBorders>
            <w:shd w:val="clear" w:color="auto" w:fill="999999"/>
            <w:vAlign w:val="center"/>
          </w:tcPr>
          <w:p w14:paraId="6D3FEAA7" w14:textId="77777777" w:rsidR="007D7C2E" w:rsidRPr="006B3EA7" w:rsidRDefault="007D7C2E" w:rsidP="00F02BD2">
            <w:pPr>
              <w:pStyle w:val="TableText"/>
              <w:jc w:val="center"/>
              <w:rPr>
                <w:b/>
              </w:rPr>
            </w:pPr>
            <w:r w:rsidRPr="006B3EA7">
              <w:rPr>
                <w:b/>
              </w:rPr>
              <w:t>0.0%</w:t>
            </w:r>
          </w:p>
        </w:tc>
        <w:tc>
          <w:tcPr>
            <w:tcW w:w="630" w:type="dxa"/>
            <w:tcBorders>
              <w:top w:val="single" w:sz="2" w:space="0" w:color="808080" w:themeColor="text1" w:themeTint="7F"/>
              <w:bottom w:val="single" w:sz="2" w:space="0" w:color="808080" w:themeColor="text1" w:themeTint="7F"/>
            </w:tcBorders>
            <w:shd w:val="clear" w:color="auto" w:fill="999999"/>
            <w:vAlign w:val="center"/>
          </w:tcPr>
          <w:p w14:paraId="4819F65D" w14:textId="77777777" w:rsidR="007D7C2E" w:rsidRPr="006B3EA7" w:rsidRDefault="007D7C2E" w:rsidP="00F02BD2">
            <w:pPr>
              <w:pStyle w:val="TableText"/>
              <w:jc w:val="center"/>
              <w:rPr>
                <w:b/>
              </w:rPr>
            </w:pPr>
            <w:r w:rsidRPr="006B3EA7">
              <w:rPr>
                <w:b/>
              </w:rPr>
              <w:t>11</w:t>
            </w:r>
          </w:p>
        </w:tc>
        <w:tc>
          <w:tcPr>
            <w:tcW w:w="1043" w:type="dxa"/>
            <w:tcBorders>
              <w:top w:val="single" w:sz="2" w:space="0" w:color="808080" w:themeColor="text1" w:themeTint="7F"/>
              <w:bottom w:val="single" w:sz="2" w:space="0" w:color="808080" w:themeColor="text1" w:themeTint="7F"/>
            </w:tcBorders>
            <w:shd w:val="clear" w:color="auto" w:fill="999999"/>
            <w:vAlign w:val="center"/>
          </w:tcPr>
          <w:p w14:paraId="270D24A1" w14:textId="77777777" w:rsidR="007D7C2E" w:rsidRPr="006B3EA7" w:rsidRDefault="007D7C2E" w:rsidP="00F02BD2">
            <w:pPr>
              <w:pStyle w:val="TableText"/>
              <w:jc w:val="center"/>
              <w:rPr>
                <w:b/>
              </w:rPr>
            </w:pPr>
            <w:r w:rsidRPr="006B3EA7">
              <w:rPr>
                <w:b/>
              </w:rPr>
              <w:t>40.7%</w:t>
            </w:r>
          </w:p>
        </w:tc>
      </w:tr>
      <w:tr w:rsidR="007D7C2E" w:rsidRPr="00CD1826" w14:paraId="115A5777" w14:textId="77777777" w:rsidTr="1FF1B213">
        <w:tc>
          <w:tcPr>
            <w:tcW w:w="1548" w:type="dxa"/>
            <w:tcBorders>
              <w:top w:val="single" w:sz="2" w:space="0" w:color="808080" w:themeColor="text1" w:themeTint="7F"/>
            </w:tcBorders>
          </w:tcPr>
          <w:p w14:paraId="2AC93DE0" w14:textId="77777777" w:rsidR="007D7C2E" w:rsidRDefault="007D7C2E" w:rsidP="00A26D36">
            <w:pPr>
              <w:pStyle w:val="TableText"/>
              <w:ind w:firstLine="180"/>
            </w:pPr>
            <w:r>
              <w:t>JRRC (N=9)</w:t>
            </w:r>
          </w:p>
        </w:tc>
        <w:tc>
          <w:tcPr>
            <w:tcW w:w="582" w:type="dxa"/>
            <w:tcBorders>
              <w:top w:val="single" w:sz="2" w:space="0" w:color="808080" w:themeColor="text1" w:themeTint="7F"/>
            </w:tcBorders>
          </w:tcPr>
          <w:p w14:paraId="0557799E" w14:textId="77777777" w:rsidR="007D7C2E" w:rsidRPr="00CD1826" w:rsidRDefault="007D7C2E" w:rsidP="00A26D36">
            <w:pPr>
              <w:pStyle w:val="TableText"/>
              <w:jc w:val="center"/>
            </w:pPr>
            <w:r w:rsidRPr="009E2EC7">
              <w:t>5</w:t>
            </w:r>
          </w:p>
        </w:tc>
        <w:tc>
          <w:tcPr>
            <w:tcW w:w="990" w:type="dxa"/>
            <w:tcBorders>
              <w:top w:val="single" w:sz="2" w:space="0" w:color="808080" w:themeColor="text1" w:themeTint="7F"/>
            </w:tcBorders>
          </w:tcPr>
          <w:p w14:paraId="07E16191" w14:textId="77777777" w:rsidR="007D7C2E" w:rsidRPr="00CD1826" w:rsidRDefault="007D7C2E" w:rsidP="00A26D36">
            <w:pPr>
              <w:pStyle w:val="TableText"/>
              <w:jc w:val="center"/>
            </w:pPr>
            <w:r w:rsidRPr="009E2EC7">
              <w:t>55.6%</w:t>
            </w:r>
          </w:p>
        </w:tc>
        <w:tc>
          <w:tcPr>
            <w:tcW w:w="630" w:type="dxa"/>
            <w:tcBorders>
              <w:top w:val="single" w:sz="2" w:space="0" w:color="808080" w:themeColor="text1" w:themeTint="7F"/>
            </w:tcBorders>
          </w:tcPr>
          <w:p w14:paraId="6C68AFDF" w14:textId="77777777" w:rsidR="007D7C2E" w:rsidRPr="00CD1826" w:rsidRDefault="007D7C2E" w:rsidP="00A26D36">
            <w:pPr>
              <w:pStyle w:val="TableText"/>
              <w:jc w:val="center"/>
            </w:pPr>
            <w:r w:rsidRPr="009E2EC7">
              <w:t>1</w:t>
            </w:r>
          </w:p>
        </w:tc>
        <w:tc>
          <w:tcPr>
            <w:tcW w:w="990" w:type="dxa"/>
            <w:tcBorders>
              <w:top w:val="single" w:sz="2" w:space="0" w:color="808080" w:themeColor="text1" w:themeTint="7F"/>
            </w:tcBorders>
          </w:tcPr>
          <w:p w14:paraId="072FE0B2" w14:textId="77777777" w:rsidR="007D7C2E" w:rsidRPr="00CD1826" w:rsidRDefault="007D7C2E" w:rsidP="00A26D36">
            <w:pPr>
              <w:pStyle w:val="TableText"/>
              <w:jc w:val="center"/>
            </w:pPr>
            <w:r w:rsidRPr="009E2EC7">
              <w:t>11.1%</w:t>
            </w:r>
          </w:p>
        </w:tc>
        <w:tc>
          <w:tcPr>
            <w:tcW w:w="810" w:type="dxa"/>
            <w:tcBorders>
              <w:top w:val="single" w:sz="2" w:space="0" w:color="808080" w:themeColor="text1" w:themeTint="7F"/>
            </w:tcBorders>
          </w:tcPr>
          <w:p w14:paraId="52CBC8AE" w14:textId="77777777" w:rsidR="007D7C2E" w:rsidRPr="00CD1826" w:rsidRDefault="007D7C2E" w:rsidP="00A26D36">
            <w:pPr>
              <w:pStyle w:val="TableText"/>
              <w:jc w:val="center"/>
            </w:pPr>
            <w:r w:rsidRPr="009E2EC7">
              <w:t>0</w:t>
            </w:r>
          </w:p>
        </w:tc>
        <w:tc>
          <w:tcPr>
            <w:tcW w:w="900" w:type="dxa"/>
            <w:tcBorders>
              <w:top w:val="single" w:sz="2" w:space="0" w:color="808080" w:themeColor="text1" w:themeTint="7F"/>
            </w:tcBorders>
          </w:tcPr>
          <w:p w14:paraId="6EDEA801" w14:textId="77777777" w:rsidR="007D7C2E" w:rsidRPr="00CD1826" w:rsidRDefault="007D7C2E" w:rsidP="00A26D36">
            <w:pPr>
              <w:pStyle w:val="TableText"/>
              <w:jc w:val="center"/>
            </w:pPr>
            <w:r w:rsidRPr="009E2EC7">
              <w:t>0.0%</w:t>
            </w:r>
          </w:p>
        </w:tc>
        <w:tc>
          <w:tcPr>
            <w:tcW w:w="630" w:type="dxa"/>
            <w:tcBorders>
              <w:top w:val="single" w:sz="2" w:space="0" w:color="808080" w:themeColor="text1" w:themeTint="7F"/>
            </w:tcBorders>
          </w:tcPr>
          <w:p w14:paraId="6EE024AC" w14:textId="77777777" w:rsidR="007D7C2E" w:rsidRPr="00CD1826" w:rsidRDefault="007D7C2E" w:rsidP="00A26D36">
            <w:pPr>
              <w:pStyle w:val="TableText"/>
              <w:jc w:val="center"/>
            </w:pPr>
            <w:r w:rsidRPr="009E2EC7">
              <w:t>0</w:t>
            </w:r>
          </w:p>
        </w:tc>
        <w:tc>
          <w:tcPr>
            <w:tcW w:w="900" w:type="dxa"/>
            <w:tcBorders>
              <w:top w:val="single" w:sz="2" w:space="0" w:color="808080" w:themeColor="text1" w:themeTint="7F"/>
            </w:tcBorders>
          </w:tcPr>
          <w:p w14:paraId="27EBD37F" w14:textId="77777777" w:rsidR="007D7C2E" w:rsidRPr="00CD1826" w:rsidRDefault="007D7C2E" w:rsidP="00A26D36">
            <w:pPr>
              <w:pStyle w:val="TableText"/>
              <w:jc w:val="center"/>
            </w:pPr>
            <w:r w:rsidRPr="009E2EC7">
              <w:t>0.0%</w:t>
            </w:r>
          </w:p>
        </w:tc>
        <w:tc>
          <w:tcPr>
            <w:tcW w:w="630" w:type="dxa"/>
            <w:tcBorders>
              <w:top w:val="single" w:sz="2" w:space="0" w:color="808080" w:themeColor="text1" w:themeTint="7F"/>
            </w:tcBorders>
          </w:tcPr>
          <w:p w14:paraId="1D1D701A" w14:textId="77777777" w:rsidR="007D7C2E" w:rsidRPr="00CD1826" w:rsidRDefault="007D7C2E" w:rsidP="00A26D36">
            <w:pPr>
              <w:pStyle w:val="TableText"/>
              <w:jc w:val="center"/>
            </w:pPr>
            <w:r w:rsidRPr="009E2EC7">
              <w:t>3</w:t>
            </w:r>
          </w:p>
        </w:tc>
        <w:tc>
          <w:tcPr>
            <w:tcW w:w="1043" w:type="dxa"/>
            <w:tcBorders>
              <w:top w:val="single" w:sz="2" w:space="0" w:color="808080" w:themeColor="text1" w:themeTint="7F"/>
            </w:tcBorders>
          </w:tcPr>
          <w:p w14:paraId="0D625B6F" w14:textId="77777777" w:rsidR="007D7C2E" w:rsidRPr="00CD1826" w:rsidRDefault="007D7C2E" w:rsidP="00A26D36">
            <w:pPr>
              <w:pStyle w:val="TableText"/>
              <w:jc w:val="center"/>
            </w:pPr>
            <w:r w:rsidRPr="009E2EC7">
              <w:t>33.3%</w:t>
            </w:r>
          </w:p>
        </w:tc>
      </w:tr>
      <w:tr w:rsidR="007D7C2E" w:rsidRPr="00CD1826" w14:paraId="6734ED0A" w14:textId="77777777" w:rsidTr="00A26D36">
        <w:trPr>
          <w:cnfStyle w:val="000000100000" w:firstRow="0" w:lastRow="0" w:firstColumn="0" w:lastColumn="0" w:oddVBand="0" w:evenVBand="0" w:oddHBand="1" w:evenHBand="0" w:firstRowFirstColumn="0" w:firstRowLastColumn="0" w:lastRowFirstColumn="0" w:lastRowLastColumn="0"/>
        </w:trPr>
        <w:tc>
          <w:tcPr>
            <w:tcW w:w="1548" w:type="dxa"/>
          </w:tcPr>
          <w:p w14:paraId="51DA352A" w14:textId="77777777" w:rsidR="007D7C2E" w:rsidRDefault="007D7C2E" w:rsidP="00A26D36">
            <w:pPr>
              <w:pStyle w:val="TableText"/>
              <w:ind w:firstLine="180"/>
            </w:pPr>
            <w:r>
              <w:t>JRCA (N=7)</w:t>
            </w:r>
          </w:p>
        </w:tc>
        <w:tc>
          <w:tcPr>
            <w:tcW w:w="582" w:type="dxa"/>
          </w:tcPr>
          <w:p w14:paraId="3B366A4B" w14:textId="77777777" w:rsidR="007D7C2E" w:rsidRPr="00CD1826" w:rsidRDefault="007D7C2E" w:rsidP="00A26D36">
            <w:pPr>
              <w:pStyle w:val="TableText"/>
              <w:jc w:val="center"/>
            </w:pPr>
            <w:r w:rsidRPr="009E2EC7">
              <w:t>4</w:t>
            </w:r>
          </w:p>
        </w:tc>
        <w:tc>
          <w:tcPr>
            <w:tcW w:w="990" w:type="dxa"/>
          </w:tcPr>
          <w:p w14:paraId="31989783" w14:textId="77777777" w:rsidR="007D7C2E" w:rsidRPr="00CD1826" w:rsidRDefault="007D7C2E" w:rsidP="00A26D36">
            <w:pPr>
              <w:pStyle w:val="TableText"/>
              <w:jc w:val="center"/>
            </w:pPr>
            <w:r w:rsidRPr="009E2EC7">
              <w:t>57.1%</w:t>
            </w:r>
          </w:p>
        </w:tc>
        <w:tc>
          <w:tcPr>
            <w:tcW w:w="630" w:type="dxa"/>
          </w:tcPr>
          <w:p w14:paraId="45F95561" w14:textId="77777777" w:rsidR="007D7C2E" w:rsidRPr="00CD1826" w:rsidRDefault="007D7C2E" w:rsidP="00A26D36">
            <w:pPr>
              <w:pStyle w:val="TableText"/>
              <w:jc w:val="center"/>
            </w:pPr>
            <w:r w:rsidRPr="009E2EC7">
              <w:t>1</w:t>
            </w:r>
          </w:p>
        </w:tc>
        <w:tc>
          <w:tcPr>
            <w:tcW w:w="990" w:type="dxa"/>
          </w:tcPr>
          <w:p w14:paraId="094D4D72" w14:textId="77777777" w:rsidR="007D7C2E" w:rsidRPr="00CD1826" w:rsidRDefault="007D7C2E" w:rsidP="00A26D36">
            <w:pPr>
              <w:pStyle w:val="TableText"/>
              <w:jc w:val="center"/>
            </w:pPr>
            <w:r w:rsidRPr="009E2EC7">
              <w:t>14.3%</w:t>
            </w:r>
          </w:p>
        </w:tc>
        <w:tc>
          <w:tcPr>
            <w:tcW w:w="810" w:type="dxa"/>
          </w:tcPr>
          <w:p w14:paraId="75A0D4C5" w14:textId="77777777" w:rsidR="007D7C2E" w:rsidRPr="00CD1826" w:rsidRDefault="007D7C2E" w:rsidP="00A26D36">
            <w:pPr>
              <w:pStyle w:val="TableText"/>
              <w:jc w:val="center"/>
            </w:pPr>
            <w:r w:rsidRPr="009E2EC7">
              <w:t>0</w:t>
            </w:r>
          </w:p>
        </w:tc>
        <w:tc>
          <w:tcPr>
            <w:tcW w:w="900" w:type="dxa"/>
          </w:tcPr>
          <w:p w14:paraId="360F78E9" w14:textId="77777777" w:rsidR="007D7C2E" w:rsidRPr="00CD1826" w:rsidRDefault="007D7C2E" w:rsidP="00A26D36">
            <w:pPr>
              <w:pStyle w:val="TableText"/>
              <w:jc w:val="center"/>
            </w:pPr>
            <w:r w:rsidRPr="009E2EC7">
              <w:t>0.0%</w:t>
            </w:r>
          </w:p>
        </w:tc>
        <w:tc>
          <w:tcPr>
            <w:tcW w:w="630" w:type="dxa"/>
          </w:tcPr>
          <w:p w14:paraId="0A9E597D" w14:textId="77777777" w:rsidR="007D7C2E" w:rsidRPr="00CD1826" w:rsidRDefault="007D7C2E" w:rsidP="00A26D36">
            <w:pPr>
              <w:pStyle w:val="TableText"/>
              <w:jc w:val="center"/>
            </w:pPr>
            <w:r w:rsidRPr="009E2EC7">
              <w:t>0</w:t>
            </w:r>
          </w:p>
        </w:tc>
        <w:tc>
          <w:tcPr>
            <w:tcW w:w="900" w:type="dxa"/>
          </w:tcPr>
          <w:p w14:paraId="77DBD7E3" w14:textId="77777777" w:rsidR="007D7C2E" w:rsidRPr="00CD1826" w:rsidRDefault="007D7C2E" w:rsidP="00A26D36">
            <w:pPr>
              <w:pStyle w:val="TableText"/>
              <w:jc w:val="center"/>
            </w:pPr>
            <w:r w:rsidRPr="009E2EC7">
              <w:t>0.0%</w:t>
            </w:r>
          </w:p>
        </w:tc>
        <w:tc>
          <w:tcPr>
            <w:tcW w:w="630" w:type="dxa"/>
          </w:tcPr>
          <w:p w14:paraId="47F62A9B" w14:textId="77777777" w:rsidR="007D7C2E" w:rsidRPr="00CD1826" w:rsidRDefault="007D7C2E" w:rsidP="00A26D36">
            <w:pPr>
              <w:pStyle w:val="TableText"/>
              <w:jc w:val="center"/>
            </w:pPr>
            <w:r w:rsidRPr="009E2EC7">
              <w:t>2</w:t>
            </w:r>
          </w:p>
        </w:tc>
        <w:tc>
          <w:tcPr>
            <w:tcW w:w="1043" w:type="dxa"/>
          </w:tcPr>
          <w:p w14:paraId="49CD61FC" w14:textId="77777777" w:rsidR="007D7C2E" w:rsidRPr="00CD1826" w:rsidRDefault="007D7C2E" w:rsidP="00A26D36">
            <w:pPr>
              <w:pStyle w:val="TableText"/>
              <w:jc w:val="center"/>
            </w:pPr>
            <w:r w:rsidRPr="009E2EC7">
              <w:t>28.6%</w:t>
            </w:r>
          </w:p>
        </w:tc>
      </w:tr>
      <w:tr w:rsidR="007D7C2E" w:rsidRPr="00CD1826" w14:paraId="05F8E99F" w14:textId="77777777" w:rsidTr="00A26D36">
        <w:tc>
          <w:tcPr>
            <w:tcW w:w="1548" w:type="dxa"/>
          </w:tcPr>
          <w:p w14:paraId="7476996F" w14:textId="77777777" w:rsidR="007D7C2E" w:rsidRDefault="007D7C2E" w:rsidP="00A26D36">
            <w:pPr>
              <w:pStyle w:val="TableText"/>
              <w:ind w:firstLine="180"/>
            </w:pPr>
            <w:r>
              <w:t>JRSO (N=11)</w:t>
            </w:r>
          </w:p>
        </w:tc>
        <w:tc>
          <w:tcPr>
            <w:tcW w:w="582" w:type="dxa"/>
          </w:tcPr>
          <w:p w14:paraId="04E91A62" w14:textId="77777777" w:rsidR="007D7C2E" w:rsidRPr="00CD1826" w:rsidRDefault="007D7C2E" w:rsidP="00A26D36">
            <w:pPr>
              <w:pStyle w:val="TableText"/>
              <w:jc w:val="center"/>
            </w:pPr>
            <w:r w:rsidRPr="009E2EC7">
              <w:t>5</w:t>
            </w:r>
          </w:p>
        </w:tc>
        <w:tc>
          <w:tcPr>
            <w:tcW w:w="990" w:type="dxa"/>
          </w:tcPr>
          <w:p w14:paraId="7DA5DA2B" w14:textId="77777777" w:rsidR="007D7C2E" w:rsidRPr="00CD1826" w:rsidRDefault="007D7C2E" w:rsidP="00A26D36">
            <w:pPr>
              <w:pStyle w:val="TableText"/>
              <w:jc w:val="center"/>
            </w:pPr>
            <w:r w:rsidRPr="009E2EC7">
              <w:t>45.5%</w:t>
            </w:r>
          </w:p>
        </w:tc>
        <w:tc>
          <w:tcPr>
            <w:tcW w:w="630" w:type="dxa"/>
          </w:tcPr>
          <w:p w14:paraId="5EAFA924" w14:textId="77777777" w:rsidR="007D7C2E" w:rsidRPr="00CD1826" w:rsidRDefault="007D7C2E" w:rsidP="00A26D36">
            <w:pPr>
              <w:pStyle w:val="TableText"/>
              <w:jc w:val="center"/>
            </w:pPr>
            <w:r w:rsidRPr="009E2EC7">
              <w:t>0</w:t>
            </w:r>
          </w:p>
        </w:tc>
        <w:tc>
          <w:tcPr>
            <w:tcW w:w="990" w:type="dxa"/>
          </w:tcPr>
          <w:p w14:paraId="13F8BE4B" w14:textId="77777777" w:rsidR="007D7C2E" w:rsidRPr="00CD1826" w:rsidRDefault="007D7C2E" w:rsidP="00A26D36">
            <w:pPr>
              <w:pStyle w:val="TableText"/>
              <w:jc w:val="center"/>
            </w:pPr>
            <w:r w:rsidRPr="009E2EC7">
              <w:t>0.0%</w:t>
            </w:r>
          </w:p>
        </w:tc>
        <w:tc>
          <w:tcPr>
            <w:tcW w:w="810" w:type="dxa"/>
          </w:tcPr>
          <w:p w14:paraId="48A91285" w14:textId="77777777" w:rsidR="007D7C2E" w:rsidRPr="00CD1826" w:rsidRDefault="007D7C2E" w:rsidP="00A26D36">
            <w:pPr>
              <w:pStyle w:val="TableText"/>
              <w:jc w:val="center"/>
            </w:pPr>
            <w:r w:rsidRPr="009E2EC7">
              <w:t>0</w:t>
            </w:r>
          </w:p>
        </w:tc>
        <w:tc>
          <w:tcPr>
            <w:tcW w:w="900" w:type="dxa"/>
          </w:tcPr>
          <w:p w14:paraId="193858E7" w14:textId="77777777" w:rsidR="007D7C2E" w:rsidRPr="00CD1826" w:rsidRDefault="007D7C2E" w:rsidP="00A26D36">
            <w:pPr>
              <w:pStyle w:val="TableText"/>
              <w:jc w:val="center"/>
            </w:pPr>
            <w:r w:rsidRPr="009E2EC7">
              <w:t>0.0%</w:t>
            </w:r>
          </w:p>
        </w:tc>
        <w:tc>
          <w:tcPr>
            <w:tcW w:w="630" w:type="dxa"/>
          </w:tcPr>
          <w:p w14:paraId="21B74E91" w14:textId="77777777" w:rsidR="007D7C2E" w:rsidRPr="00CD1826" w:rsidRDefault="007D7C2E" w:rsidP="00A26D36">
            <w:pPr>
              <w:pStyle w:val="TableText"/>
              <w:jc w:val="center"/>
            </w:pPr>
            <w:r w:rsidRPr="009E2EC7">
              <w:t>0</w:t>
            </w:r>
          </w:p>
        </w:tc>
        <w:tc>
          <w:tcPr>
            <w:tcW w:w="900" w:type="dxa"/>
          </w:tcPr>
          <w:p w14:paraId="104DD071" w14:textId="77777777" w:rsidR="007D7C2E" w:rsidRPr="00CD1826" w:rsidRDefault="007D7C2E" w:rsidP="00A26D36">
            <w:pPr>
              <w:pStyle w:val="TableText"/>
              <w:jc w:val="center"/>
            </w:pPr>
            <w:r w:rsidRPr="009E2EC7">
              <w:t>0.0%</w:t>
            </w:r>
          </w:p>
        </w:tc>
        <w:tc>
          <w:tcPr>
            <w:tcW w:w="630" w:type="dxa"/>
          </w:tcPr>
          <w:p w14:paraId="144248A2" w14:textId="77777777" w:rsidR="007D7C2E" w:rsidRPr="00CD1826" w:rsidRDefault="007D7C2E" w:rsidP="00A26D36">
            <w:pPr>
              <w:pStyle w:val="TableText"/>
              <w:jc w:val="center"/>
            </w:pPr>
            <w:r w:rsidRPr="009E2EC7">
              <w:t>6</w:t>
            </w:r>
          </w:p>
        </w:tc>
        <w:tc>
          <w:tcPr>
            <w:tcW w:w="1043" w:type="dxa"/>
          </w:tcPr>
          <w:p w14:paraId="4DE93090" w14:textId="77777777" w:rsidR="007D7C2E" w:rsidRPr="00CD1826" w:rsidRDefault="007D7C2E" w:rsidP="00A26D36">
            <w:pPr>
              <w:pStyle w:val="TableText"/>
              <w:jc w:val="center"/>
            </w:pPr>
            <w:r w:rsidRPr="009E2EC7">
              <w:t>54.6%</w:t>
            </w:r>
          </w:p>
        </w:tc>
      </w:tr>
    </w:tbl>
    <w:p w14:paraId="39271C0E" w14:textId="77777777" w:rsidR="00C163A8" w:rsidRPr="00256CC5" w:rsidRDefault="00C163A8" w:rsidP="00C163A8">
      <w:pPr>
        <w:rPr>
          <w:i/>
          <w:sz w:val="20"/>
          <w:szCs w:val="20"/>
        </w:rPr>
      </w:pPr>
      <w:r>
        <w:t xml:space="preserve"> </w:t>
      </w:r>
      <w:r w:rsidR="00593DF3" w:rsidRPr="00256CC5">
        <w:rPr>
          <w:rFonts w:ascii="Arial Narrow" w:hAnsi="Arial Narrow"/>
          <w:i/>
          <w:sz w:val="20"/>
          <w:szCs w:val="20"/>
        </w:rPr>
        <w:t>*Percentages may not add up to 100% due to rounding</w:t>
      </w:r>
      <w:r w:rsidR="00593DF3" w:rsidRPr="00256CC5">
        <w:rPr>
          <w:i/>
          <w:sz w:val="20"/>
          <w:szCs w:val="20"/>
        </w:rPr>
        <w:t>.</w:t>
      </w:r>
    </w:p>
    <w:p w14:paraId="2C6C0DC5" w14:textId="77777777" w:rsidR="007D7C2E" w:rsidRPr="00353AE8" w:rsidRDefault="007D7C2E" w:rsidP="00026D39">
      <w:pPr>
        <w:pStyle w:val="Heading3"/>
        <w:rPr>
          <w:szCs w:val="24"/>
        </w:rPr>
      </w:pPr>
      <w:bookmarkStart w:id="50" w:name="_Toc531597497"/>
      <w:r w:rsidRPr="00353AE8">
        <w:rPr>
          <w:szCs w:val="24"/>
        </w:rPr>
        <w:t>On-call Staff Usage</w:t>
      </w:r>
      <w:bookmarkEnd w:id="50"/>
    </w:p>
    <w:p w14:paraId="4858F963" w14:textId="77777777" w:rsidR="00553011" w:rsidRPr="009C5781" w:rsidRDefault="008A3E3F" w:rsidP="001E3958">
      <w:pPr>
        <w:pStyle w:val="RFPtext"/>
        <w:pBdr>
          <w:top w:val="dotted" w:sz="2" w:space="0" w:color="666666"/>
        </w:pBdr>
        <w:rPr>
          <w:b/>
          <w:color w:val="auto"/>
          <w:sz w:val="24"/>
        </w:rPr>
      </w:pPr>
      <w:r w:rsidRPr="009C5781">
        <w:rPr>
          <w:b/>
          <w:color w:val="auto"/>
          <w:sz w:val="24"/>
        </w:rPr>
        <w:t>O</w:t>
      </w:r>
      <w:r w:rsidR="00353AE8" w:rsidRPr="009C5781">
        <w:rPr>
          <w:b/>
          <w:color w:val="auto"/>
          <w:sz w:val="24"/>
        </w:rPr>
        <w:t>n-call staff</w:t>
      </w:r>
      <w:r w:rsidR="00F61E72" w:rsidRPr="009C5781">
        <w:rPr>
          <w:b/>
          <w:color w:val="auto"/>
          <w:sz w:val="24"/>
        </w:rPr>
        <w:t xml:space="preserve"> members perform 20.2</w:t>
      </w:r>
      <w:r w:rsidR="004962BA" w:rsidRPr="009C5781">
        <w:rPr>
          <w:b/>
          <w:color w:val="auto"/>
          <w:sz w:val="24"/>
        </w:rPr>
        <w:t xml:space="preserve">% </w:t>
      </w:r>
      <w:r w:rsidR="00353AE8" w:rsidRPr="009C5781">
        <w:rPr>
          <w:b/>
          <w:color w:val="auto"/>
          <w:sz w:val="24"/>
        </w:rPr>
        <w:t xml:space="preserve">of all hours </w:t>
      </w:r>
      <w:r w:rsidR="00F61E72" w:rsidRPr="009C5781">
        <w:rPr>
          <w:b/>
          <w:color w:val="auto"/>
          <w:sz w:val="24"/>
        </w:rPr>
        <w:t xml:space="preserve">worked </w:t>
      </w:r>
      <w:r w:rsidR="00353AE8" w:rsidRPr="009C5781">
        <w:rPr>
          <w:b/>
          <w:color w:val="auto"/>
          <w:sz w:val="24"/>
        </w:rPr>
        <w:t xml:space="preserve">among the </w:t>
      </w:r>
      <w:r w:rsidR="00B44FA7" w:rsidRPr="009C5781">
        <w:rPr>
          <w:b/>
          <w:color w:val="auto"/>
          <w:sz w:val="24"/>
        </w:rPr>
        <w:t>Juvenile Rehabilitation Residential Counselors (J</w:t>
      </w:r>
      <w:r w:rsidR="00353AE8" w:rsidRPr="009C5781">
        <w:rPr>
          <w:b/>
          <w:color w:val="auto"/>
          <w:sz w:val="24"/>
        </w:rPr>
        <w:t>RRC</w:t>
      </w:r>
      <w:r w:rsidR="00B44FA7" w:rsidRPr="009C5781">
        <w:rPr>
          <w:b/>
          <w:color w:val="auto"/>
          <w:sz w:val="24"/>
        </w:rPr>
        <w:t>s)</w:t>
      </w:r>
      <w:r w:rsidR="00353AE8" w:rsidRPr="009C5781">
        <w:rPr>
          <w:b/>
          <w:color w:val="auto"/>
          <w:sz w:val="24"/>
        </w:rPr>
        <w:t>,</w:t>
      </w:r>
      <w:r w:rsidR="00B44FA7" w:rsidRPr="009C5781">
        <w:rPr>
          <w:b/>
          <w:color w:val="auto"/>
          <w:sz w:val="24"/>
        </w:rPr>
        <w:t xml:space="preserve"> Juvenile Rehabilitation Counselor Assistants (</w:t>
      </w:r>
      <w:r w:rsidR="00353AE8" w:rsidRPr="009C5781">
        <w:rPr>
          <w:b/>
          <w:color w:val="auto"/>
          <w:sz w:val="24"/>
        </w:rPr>
        <w:t>JRCA</w:t>
      </w:r>
      <w:r w:rsidR="00B44FA7" w:rsidRPr="009C5781">
        <w:rPr>
          <w:b/>
          <w:color w:val="auto"/>
          <w:sz w:val="24"/>
        </w:rPr>
        <w:t>s)</w:t>
      </w:r>
      <w:r w:rsidR="00CB4AB3" w:rsidRPr="009C5781">
        <w:rPr>
          <w:b/>
          <w:color w:val="auto"/>
          <w:sz w:val="24"/>
        </w:rPr>
        <w:t>,</w:t>
      </w:r>
      <w:r w:rsidR="00353AE8" w:rsidRPr="009C5781">
        <w:rPr>
          <w:b/>
          <w:color w:val="auto"/>
          <w:sz w:val="24"/>
        </w:rPr>
        <w:t xml:space="preserve"> and </w:t>
      </w:r>
      <w:r w:rsidR="00B44FA7" w:rsidRPr="009C5781">
        <w:rPr>
          <w:b/>
          <w:color w:val="auto"/>
          <w:sz w:val="24"/>
        </w:rPr>
        <w:t>Juvenile Rehabilitation Security Officers</w:t>
      </w:r>
      <w:r w:rsidR="001E3958" w:rsidRPr="009C5781">
        <w:rPr>
          <w:b/>
          <w:color w:val="auto"/>
          <w:sz w:val="24"/>
        </w:rPr>
        <w:t xml:space="preserve"> </w:t>
      </w:r>
      <w:r w:rsidR="00B44FA7" w:rsidRPr="009C5781">
        <w:rPr>
          <w:b/>
          <w:color w:val="auto"/>
          <w:sz w:val="24"/>
        </w:rPr>
        <w:t>(</w:t>
      </w:r>
      <w:r w:rsidR="00353AE8" w:rsidRPr="009C5781">
        <w:rPr>
          <w:b/>
          <w:color w:val="auto"/>
          <w:sz w:val="24"/>
        </w:rPr>
        <w:t>JRSO</w:t>
      </w:r>
      <w:r w:rsidR="00B44FA7" w:rsidRPr="009C5781">
        <w:rPr>
          <w:b/>
          <w:color w:val="auto"/>
          <w:sz w:val="24"/>
        </w:rPr>
        <w:t>s)</w:t>
      </w:r>
      <w:r w:rsidR="00353AE8" w:rsidRPr="009C5781">
        <w:rPr>
          <w:b/>
          <w:color w:val="auto"/>
          <w:sz w:val="24"/>
        </w:rPr>
        <w:t xml:space="preserve"> positions.</w:t>
      </w:r>
    </w:p>
    <w:p w14:paraId="186414FF" w14:textId="77777777" w:rsidR="00582D4C" w:rsidRDefault="00582D4C" w:rsidP="00582D4C">
      <w:pPr>
        <w:pStyle w:val="PullQuote"/>
        <w:framePr w:wrap="around" w:hAnchor="page" w:x="7545" w:y="896"/>
      </w:pPr>
      <w:r>
        <w:t xml:space="preserve"> “On-call staff are frequently on the regular shift schedule because we don’t have enough permanent staff.”</w:t>
      </w:r>
    </w:p>
    <w:p w14:paraId="52863FCB" w14:textId="77777777" w:rsidR="00582D4C" w:rsidRDefault="00582D4C" w:rsidP="00582D4C">
      <w:pPr>
        <w:pStyle w:val="PullQuote"/>
        <w:framePr w:wrap="around" w:hAnchor="page" w:x="7545" w:y="896"/>
      </w:pPr>
      <w:r>
        <w:t>“Frequently, the units are run by on-call staff.”</w:t>
      </w:r>
    </w:p>
    <w:p w14:paraId="034A41B1" w14:textId="77777777" w:rsidR="00582D4C" w:rsidRDefault="00582D4C" w:rsidP="00582D4C">
      <w:pPr>
        <w:pStyle w:val="PullQuote"/>
        <w:framePr w:wrap="around" w:hAnchor="page" w:x="7545" w:y="896"/>
        <w:jc w:val="right"/>
      </w:pPr>
      <w:r>
        <w:t>—Staff</w:t>
      </w:r>
    </w:p>
    <w:p w14:paraId="52C6C8D7" w14:textId="77777777" w:rsidR="00582D4C" w:rsidRDefault="003C67F8" w:rsidP="007D7C2E">
      <w:r>
        <w:t>The use of on-call staff was discussed with staff and</w:t>
      </w:r>
      <w:r w:rsidR="00F47611">
        <w:t xml:space="preserve"> managers at each facility, who </w:t>
      </w:r>
      <w:r>
        <w:t xml:space="preserve">identified numerous challenges regarding the use </w:t>
      </w:r>
      <w:r w:rsidR="009C7DE4">
        <w:t xml:space="preserve">of </w:t>
      </w:r>
      <w:r>
        <w:t xml:space="preserve">on-call staff. Generally, these comments broke down into </w:t>
      </w:r>
      <w:r w:rsidR="002C7B95">
        <w:t>three</w:t>
      </w:r>
      <w:r>
        <w:t xml:space="preserve"> primary categories. First, using </w:t>
      </w:r>
      <w:r w:rsidR="005B1762">
        <w:t>on-call staff is</w:t>
      </w:r>
      <w:r>
        <w:t xml:space="preserve"> challenging because the pool </w:t>
      </w:r>
      <w:r w:rsidR="006C2FA1">
        <w:t xml:space="preserve">of </w:t>
      </w:r>
      <w:r>
        <w:t>these staff members is very transitory. Th</w:t>
      </w:r>
      <w:r w:rsidR="005B1762">
        <w:t xml:space="preserve">e pay for on-call staff is low; </w:t>
      </w:r>
      <w:r>
        <w:t>there</w:t>
      </w:r>
      <w:r w:rsidR="006C2FA1">
        <w:t xml:space="preserve"> is</w:t>
      </w:r>
      <w:r>
        <w:t xml:space="preserve"> no guarantee</w:t>
      </w:r>
      <w:r w:rsidR="005B1762">
        <w:t xml:space="preserve"> of a set</w:t>
      </w:r>
      <w:r>
        <w:t xml:space="preserve"> sched</w:t>
      </w:r>
      <w:r w:rsidR="005B1762">
        <w:t>ule;</w:t>
      </w:r>
      <w:r>
        <w:t xml:space="preserve"> and</w:t>
      </w:r>
      <w:r w:rsidR="005B1762">
        <w:t>,</w:t>
      </w:r>
      <w:r>
        <w:t xml:space="preserve"> often</w:t>
      </w:r>
      <w:r w:rsidR="005B1762">
        <w:t>,</w:t>
      </w:r>
      <w:r>
        <w:t xml:space="preserve"> on-call staff have a fluctuating number of </w:t>
      </w:r>
      <w:r w:rsidR="005B1762">
        <w:t xml:space="preserve">weekly </w:t>
      </w:r>
      <w:r>
        <w:t xml:space="preserve">hours. This leads </w:t>
      </w:r>
      <w:r w:rsidR="005B1762">
        <w:t xml:space="preserve">them </w:t>
      </w:r>
      <w:r w:rsidR="00622A4E">
        <w:t>to seek</w:t>
      </w:r>
      <w:r w:rsidR="006C2FA1">
        <w:t xml:space="preserve"> </w:t>
      </w:r>
      <w:r>
        <w:t>alternative employment th</w:t>
      </w:r>
      <w:r w:rsidR="00BB24FB">
        <w:t>at is more stable</w:t>
      </w:r>
      <w:r w:rsidR="00896053">
        <w:t xml:space="preserve"> and has </w:t>
      </w:r>
      <w:r w:rsidR="00BB24FB">
        <w:t>more competitive</w:t>
      </w:r>
      <w:r>
        <w:t xml:space="preserve"> pay. As a result, the pool</w:t>
      </w:r>
      <w:r w:rsidR="00B41841">
        <w:t xml:space="preserve"> of on-call staff</w:t>
      </w:r>
      <w:r w:rsidR="00A26860">
        <w:t xml:space="preserve"> is constantly shifting, shifts remain unfilled,</w:t>
      </w:r>
      <w:r>
        <w:t xml:space="preserve"> there are costly trainin</w:t>
      </w:r>
      <w:r w:rsidR="00A26860">
        <w:t>g periods for new on-call staff,</w:t>
      </w:r>
      <w:r>
        <w:t xml:space="preserve"> and permanent staff </w:t>
      </w:r>
      <w:r w:rsidR="00B41841">
        <w:t xml:space="preserve">members </w:t>
      </w:r>
      <w:r w:rsidR="00A26860">
        <w:t>are left to address the</w:t>
      </w:r>
      <w:r w:rsidR="00B41841">
        <w:t xml:space="preserve"> continual need to train</w:t>
      </w:r>
      <w:r w:rsidR="00A26860">
        <w:t xml:space="preserve"> new on-call personnel</w:t>
      </w:r>
      <w:r>
        <w:t xml:space="preserve">. </w:t>
      </w:r>
      <w:r w:rsidR="002C7B95">
        <w:t>Sever</w:t>
      </w:r>
      <w:r w:rsidR="00B41841">
        <w:t>al on-call staff</w:t>
      </w:r>
      <w:r w:rsidR="00570800">
        <w:t xml:space="preserve"> members</w:t>
      </w:r>
      <w:r w:rsidR="00B41841">
        <w:t xml:space="preserve"> noted newly recruited on-call </w:t>
      </w:r>
      <w:r w:rsidR="002C7B95">
        <w:t xml:space="preserve">staff are receiving higher pay than on-calls who have been working </w:t>
      </w:r>
      <w:r w:rsidR="00B41841">
        <w:t xml:space="preserve">in JR </w:t>
      </w:r>
      <w:r w:rsidR="002C7B95">
        <w:t>for months</w:t>
      </w:r>
      <w:r w:rsidR="00497081">
        <w:t>,</w:t>
      </w:r>
      <w:r w:rsidR="002C7B95">
        <w:t xml:space="preserve"> or even year</w:t>
      </w:r>
      <w:r w:rsidR="00B41841">
        <w:t xml:space="preserve">s. They suggested this </w:t>
      </w:r>
      <w:r w:rsidR="00896053">
        <w:t xml:space="preserve">may lead </w:t>
      </w:r>
      <w:r w:rsidR="00B41841">
        <w:t>to</w:t>
      </w:r>
      <w:r w:rsidR="002C7B95">
        <w:t xml:space="preserve"> </w:t>
      </w:r>
      <w:r w:rsidR="00B41841">
        <w:t>discontent among longer-term, more</w:t>
      </w:r>
      <w:r w:rsidR="002C7B95">
        <w:t xml:space="preserve"> </w:t>
      </w:r>
      <w:r w:rsidR="00EC4827">
        <w:t>highly qualified</w:t>
      </w:r>
      <w:r w:rsidR="00B41841">
        <w:t xml:space="preserve"> on-call staff</w:t>
      </w:r>
      <w:r w:rsidR="00497081">
        <w:t>, prompting</w:t>
      </w:r>
      <w:r w:rsidR="002C7B95">
        <w:t xml:space="preserve"> them to seek </w:t>
      </w:r>
      <w:r w:rsidR="00596B2B">
        <w:t>employment elsewhere.</w:t>
      </w:r>
    </w:p>
    <w:p w14:paraId="2F13BA06" w14:textId="77777777" w:rsidR="003C67F8" w:rsidRDefault="003C67F8" w:rsidP="007D7C2E">
      <w:r>
        <w:t>A second group of comments suggested ther</w:t>
      </w:r>
      <w:r w:rsidR="00DD2AFB">
        <w:t>e are varying degrees of competency</w:t>
      </w:r>
      <w:r>
        <w:t xml:space="preserve"> among the on-cal</w:t>
      </w:r>
      <w:r w:rsidR="00DD2AFB">
        <w:t>l staff pool: some on-call personnel</w:t>
      </w:r>
      <w:r>
        <w:t xml:space="preserve"> a</w:t>
      </w:r>
      <w:r w:rsidR="00DD2AFB">
        <w:t>re not well suited for the job. I</w:t>
      </w:r>
      <w:r>
        <w:t>n some cases</w:t>
      </w:r>
      <w:r w:rsidR="00DD2AFB">
        <w:t>, this is</w:t>
      </w:r>
      <w:r>
        <w:t xml:space="preserve"> because they have not worked in a juvenile or other correctional or rehabilitative facility</w:t>
      </w:r>
      <w:r w:rsidR="00DD2AFB">
        <w:t xml:space="preserve"> before,</w:t>
      </w:r>
      <w:r>
        <w:t xml:space="preserve"> and </w:t>
      </w:r>
      <w:r w:rsidR="00DD2AFB">
        <w:t>are</w:t>
      </w:r>
      <w:r w:rsidR="006C2FA1">
        <w:t xml:space="preserve"> </w:t>
      </w:r>
      <w:r w:rsidR="00DD2AFB">
        <w:t>un</w:t>
      </w:r>
      <w:r w:rsidR="002C7B95">
        <w:t xml:space="preserve">aware </w:t>
      </w:r>
      <w:r w:rsidR="006C2FA1">
        <w:t xml:space="preserve">of </w:t>
      </w:r>
      <w:r w:rsidR="00DD2AFB">
        <w:t>the</w:t>
      </w:r>
      <w:r w:rsidR="002C7B95">
        <w:t xml:space="preserve"> job demands</w:t>
      </w:r>
      <w:r w:rsidR="006C2FA1">
        <w:t xml:space="preserve"> and the rehabilitative goals of JR.</w:t>
      </w:r>
      <w:r>
        <w:t xml:space="preserve"> It was clear</w:t>
      </w:r>
      <w:r w:rsidR="00896053">
        <w:t>, however,</w:t>
      </w:r>
      <w:r>
        <w:t xml:space="preserve"> there are </w:t>
      </w:r>
      <w:r w:rsidR="002C7B95" w:rsidRPr="00896053">
        <w:rPr>
          <w:b/>
          <w:i/>
        </w:rPr>
        <w:t>many</w:t>
      </w:r>
      <w:r w:rsidR="002C7B95">
        <w:t xml:space="preserve"> </w:t>
      </w:r>
      <w:r>
        <w:t xml:space="preserve">on-call staff </w:t>
      </w:r>
      <w:r w:rsidR="002C7B95">
        <w:t xml:space="preserve">who </w:t>
      </w:r>
      <w:r>
        <w:t xml:space="preserve">are </w:t>
      </w:r>
      <w:r w:rsidR="002F0963">
        <w:t>highly qualified</w:t>
      </w:r>
      <w:r>
        <w:t>, diligent, and a good fit for JR facilities</w:t>
      </w:r>
      <w:r w:rsidR="00A3786D">
        <w:t xml:space="preserve">. </w:t>
      </w:r>
      <w:r>
        <w:t xml:space="preserve"> </w:t>
      </w:r>
      <w:r w:rsidR="003258A2">
        <w:t xml:space="preserve">Often </w:t>
      </w:r>
      <w:r>
        <w:t xml:space="preserve">these </w:t>
      </w:r>
      <w:r w:rsidR="002F0963">
        <w:t>highly qualified</w:t>
      </w:r>
      <w:r w:rsidR="003258A2">
        <w:t xml:space="preserve"> </w:t>
      </w:r>
      <w:r>
        <w:t>staff will convert to permanent status, leav</w:t>
      </w:r>
      <w:r w:rsidR="00DD2AFB">
        <w:t>ing new vacancies</w:t>
      </w:r>
      <w:r>
        <w:t xml:space="preserve"> in the on-call pool</w:t>
      </w:r>
      <w:r w:rsidR="006C2FA1">
        <w:t xml:space="preserve">. </w:t>
      </w:r>
      <w:r w:rsidR="00896053">
        <w:t>Others</w:t>
      </w:r>
      <w:r w:rsidR="00DD2AFB">
        <w:t xml:space="preserve"> are</w:t>
      </w:r>
      <w:r w:rsidR="002C7B95">
        <w:t xml:space="preserve"> una</w:t>
      </w:r>
      <w:r w:rsidR="00DD2AFB">
        <w:t xml:space="preserve">ble to get the hours they need </w:t>
      </w:r>
      <w:r w:rsidR="00896053">
        <w:t xml:space="preserve">to support themselves </w:t>
      </w:r>
      <w:r w:rsidR="00DD2AFB">
        <w:t xml:space="preserve">and </w:t>
      </w:r>
      <w:r w:rsidR="00896053">
        <w:t xml:space="preserve">will </w:t>
      </w:r>
      <w:r w:rsidR="00DD2AFB">
        <w:t>leave to pursue</w:t>
      </w:r>
      <w:r w:rsidR="002C7B95">
        <w:t xml:space="preserve"> other employment. </w:t>
      </w:r>
    </w:p>
    <w:p w14:paraId="22D44176" w14:textId="77777777" w:rsidR="002C7B95" w:rsidRDefault="002C7B95" w:rsidP="007D7C2E">
      <w:r>
        <w:t>F</w:t>
      </w:r>
      <w:r w:rsidR="00FD34FC">
        <w:t xml:space="preserve">inally, due to scheduling needs, </w:t>
      </w:r>
      <w:r>
        <w:t xml:space="preserve">there are often multiple on-call staff members working on a shift. </w:t>
      </w:r>
      <w:r w:rsidR="00DF0C28">
        <w:t xml:space="preserve">Some </w:t>
      </w:r>
      <w:r>
        <w:t>reports of on-ca</w:t>
      </w:r>
      <w:r w:rsidR="006D3E88">
        <w:t>ll staff</w:t>
      </w:r>
      <w:r w:rsidR="00620569">
        <w:t xml:space="preserve"> </w:t>
      </w:r>
      <w:r w:rsidR="003258A2">
        <w:t xml:space="preserve">at </w:t>
      </w:r>
      <w:r w:rsidR="00620569">
        <w:t xml:space="preserve">the </w:t>
      </w:r>
      <w:r w:rsidR="00EC3A4A">
        <w:t>institutions</w:t>
      </w:r>
      <w:r w:rsidR="006D3E88">
        <w:t xml:space="preserve"> </w:t>
      </w:r>
      <w:r w:rsidR="00DF0C28">
        <w:t xml:space="preserve">report </w:t>
      </w:r>
      <w:r w:rsidR="006D3E88">
        <w:t>not receiving the necessary</w:t>
      </w:r>
      <w:r w:rsidR="006C2FA1">
        <w:t xml:space="preserve"> </w:t>
      </w:r>
      <w:r w:rsidR="00620569">
        <w:t xml:space="preserve">Dealing </w:t>
      </w:r>
      <w:r w:rsidR="00620569">
        <w:lastRenderedPageBreak/>
        <w:t>with Resistive Youth (</w:t>
      </w:r>
      <w:r w:rsidR="00EC3A4A">
        <w:t>DWRY</w:t>
      </w:r>
      <w:r w:rsidR="00620569">
        <w:t xml:space="preserve">) </w:t>
      </w:r>
      <w:r w:rsidR="003258A2">
        <w:t xml:space="preserve">safety </w:t>
      </w:r>
      <w:r w:rsidR="00896053">
        <w:t>training and</w:t>
      </w:r>
      <w:r w:rsidR="006D3E88">
        <w:t xml:space="preserve"> are</w:t>
      </w:r>
      <w:r w:rsidR="000974E4">
        <w:t>,</w:t>
      </w:r>
      <w:r>
        <w:t xml:space="preserve"> therefore</w:t>
      </w:r>
      <w:r w:rsidR="000974E4">
        <w:t>,</w:t>
      </w:r>
      <w:r>
        <w:t xml:space="preserve"> unable to conduct basic d</w:t>
      </w:r>
      <w:r w:rsidR="006D3E88">
        <w:t>uties such as on-campus escorts, transferring</w:t>
      </w:r>
      <w:r>
        <w:t xml:space="preserve"> the burden</w:t>
      </w:r>
      <w:r w:rsidR="006D3E88">
        <w:t xml:space="preserve"> back</w:t>
      </w:r>
      <w:r>
        <w:t xml:space="preserve"> on</w:t>
      </w:r>
      <w:r w:rsidR="006D3E88">
        <w:t>to</w:t>
      </w:r>
      <w:r>
        <w:t xml:space="preserve"> permanent staff</w:t>
      </w:r>
      <w:r w:rsidR="004C75A6">
        <w:t xml:space="preserve">. </w:t>
      </w:r>
      <w:r w:rsidR="005456CD">
        <w:t>T</w:t>
      </w:r>
      <w:r w:rsidR="006C2FA1">
        <w:t xml:space="preserve">here </w:t>
      </w:r>
      <w:r w:rsidR="00DF0C28">
        <w:t xml:space="preserve">also </w:t>
      </w:r>
      <w:r w:rsidR="006C2FA1">
        <w:t>are times when units are only support</w:t>
      </w:r>
      <w:r w:rsidR="00971601">
        <w:t xml:space="preserve">ed by on-call staff with little training. </w:t>
      </w:r>
    </w:p>
    <w:p w14:paraId="43E01812" w14:textId="77777777" w:rsidR="003C67F8" w:rsidRDefault="002C7B95" w:rsidP="002C7B95">
      <w:r w:rsidRPr="00896053">
        <w:t>Using administrative data, we estimated the use of</w:t>
      </w:r>
      <w:r w:rsidR="006C2FA1" w:rsidRPr="00896053">
        <w:t xml:space="preserve"> on-call staff at each facility. As seen in Exhibit </w:t>
      </w:r>
      <w:r w:rsidR="00C130F7">
        <w:t>5</w:t>
      </w:r>
      <w:r w:rsidR="00AE63DD" w:rsidRPr="00896053">
        <w:t>-9</w:t>
      </w:r>
      <w:r w:rsidR="006C2FA1" w:rsidRPr="00896053">
        <w:t xml:space="preserve"> on-call staff account for a significant percentage of the overall work performed at all f</w:t>
      </w:r>
      <w:r w:rsidR="00971601" w:rsidRPr="00896053">
        <w:t>acility types. Across</w:t>
      </w:r>
      <w:r w:rsidR="00353AE8" w:rsidRPr="00896053">
        <w:t xml:space="preserve"> JR</w:t>
      </w:r>
      <w:r w:rsidR="00C57FD9" w:rsidRPr="00896053">
        <w:t>, on-call staff perform 20.2</w:t>
      </w:r>
      <w:r w:rsidR="004962BA" w:rsidRPr="00896053">
        <w:t xml:space="preserve">% </w:t>
      </w:r>
      <w:r w:rsidR="006C2FA1" w:rsidRPr="00896053">
        <w:t xml:space="preserve">of all hours </w:t>
      </w:r>
      <w:r w:rsidR="00971601" w:rsidRPr="00896053">
        <w:t xml:space="preserve">worked </w:t>
      </w:r>
      <w:r w:rsidR="006C2FA1" w:rsidRPr="00896053">
        <w:t>among the JRRC, JRCA, and JRSO 1 job</w:t>
      </w:r>
      <w:r w:rsidR="00971601" w:rsidRPr="00896053">
        <w:t xml:space="preserve"> categorie</w:t>
      </w:r>
      <w:r w:rsidR="006C2FA1" w:rsidRPr="00896053">
        <w:t>s.</w:t>
      </w:r>
      <w:r w:rsidR="006C2FA1">
        <w:t xml:space="preserve"> </w:t>
      </w:r>
    </w:p>
    <w:p w14:paraId="070839F8" w14:textId="77777777" w:rsidR="002C7B95" w:rsidRDefault="00AE63DD" w:rsidP="002C7B95">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710F1C">
        <w:rPr>
          <w:noProof/>
        </w:rPr>
        <w:fldChar w:fldCharType="begin"/>
      </w:r>
      <w:r w:rsidR="00710F1C">
        <w:rPr>
          <w:noProof/>
        </w:rPr>
        <w:instrText xml:space="preserve"> SEQ Exhibit \* ARABIC \s 1 </w:instrText>
      </w:r>
      <w:r w:rsidR="00710F1C">
        <w:rPr>
          <w:noProof/>
        </w:rPr>
        <w:fldChar w:fldCharType="separate"/>
      </w:r>
      <w:r w:rsidR="00FD2536">
        <w:rPr>
          <w:noProof/>
        </w:rPr>
        <w:t>9</w:t>
      </w:r>
      <w:r w:rsidR="00710F1C">
        <w:rPr>
          <w:noProof/>
        </w:rPr>
        <w:fldChar w:fldCharType="end"/>
      </w:r>
      <w:r w:rsidR="00013D6F">
        <w:t>:</w:t>
      </w:r>
      <w:r w:rsidR="00553011">
        <w:t xml:space="preserve"> </w:t>
      </w:r>
      <w:r w:rsidR="002C7B95">
        <w:t xml:space="preserve">Use of On-Call Staff, by Facility </w:t>
      </w:r>
    </w:p>
    <w:tbl>
      <w:tblPr>
        <w:tblStyle w:val="HyzerTable"/>
        <w:tblW w:w="0" w:type="auto"/>
        <w:tblLook w:val="04A0" w:firstRow="1" w:lastRow="0" w:firstColumn="1" w:lastColumn="0" w:noHBand="0" w:noVBand="1"/>
      </w:tblPr>
      <w:tblGrid>
        <w:gridCol w:w="1878"/>
        <w:gridCol w:w="1874"/>
        <w:gridCol w:w="1874"/>
        <w:gridCol w:w="1870"/>
        <w:gridCol w:w="1864"/>
      </w:tblGrid>
      <w:tr w:rsidR="00E91506" w14:paraId="24D8AF0D" w14:textId="77777777" w:rsidTr="00896053">
        <w:trPr>
          <w:cnfStyle w:val="100000000000" w:firstRow="1" w:lastRow="0" w:firstColumn="0" w:lastColumn="0" w:oddVBand="0" w:evenVBand="0" w:oddHBand="0" w:evenHBand="0" w:firstRowFirstColumn="0" w:firstRowLastColumn="0" w:lastRowFirstColumn="0" w:lastRowLastColumn="0"/>
          <w:tblHeader/>
        </w:trPr>
        <w:tc>
          <w:tcPr>
            <w:tcW w:w="1915" w:type="dxa"/>
          </w:tcPr>
          <w:p w14:paraId="61A480E2" w14:textId="77777777" w:rsidR="00E91506" w:rsidRDefault="00E91506" w:rsidP="00C07F6E"/>
        </w:tc>
        <w:tc>
          <w:tcPr>
            <w:tcW w:w="1915" w:type="dxa"/>
          </w:tcPr>
          <w:p w14:paraId="7EF15B3A" w14:textId="77777777" w:rsidR="00256CC5" w:rsidRDefault="00E91506" w:rsidP="00C07F6E">
            <w:pPr>
              <w:pStyle w:val="tableheaderwhite"/>
              <w:spacing w:before="20" w:after="20"/>
              <w:rPr>
                <w:sz w:val="22"/>
              </w:rPr>
            </w:pPr>
            <w:r w:rsidRPr="1FF1B213">
              <w:rPr>
                <w:sz w:val="22"/>
                <w:szCs w:val="22"/>
              </w:rPr>
              <w:t xml:space="preserve">Perm Staff </w:t>
            </w:r>
          </w:p>
          <w:p w14:paraId="0C45CD50" w14:textId="77777777" w:rsidR="00E91506" w:rsidRPr="00EC1CCF" w:rsidRDefault="00256CC5" w:rsidP="00C07F6E">
            <w:pPr>
              <w:pStyle w:val="tableheaderwhite"/>
              <w:spacing w:before="20" w:after="20"/>
              <w:rPr>
                <w:sz w:val="22"/>
              </w:rPr>
            </w:pPr>
            <w:r w:rsidRPr="1FF1B213">
              <w:rPr>
                <w:sz w:val="22"/>
                <w:szCs w:val="22"/>
              </w:rPr>
              <w:t xml:space="preserve">(Regular </w:t>
            </w:r>
            <w:r w:rsidR="00E91506" w:rsidRPr="1FF1B213">
              <w:rPr>
                <w:sz w:val="22"/>
                <w:szCs w:val="22"/>
              </w:rPr>
              <w:t>Hrs. + OT)</w:t>
            </w:r>
          </w:p>
        </w:tc>
        <w:tc>
          <w:tcPr>
            <w:tcW w:w="1915" w:type="dxa"/>
          </w:tcPr>
          <w:p w14:paraId="6CE238AC" w14:textId="77777777" w:rsidR="00256CC5" w:rsidRDefault="00256CC5" w:rsidP="00C07F6E">
            <w:pPr>
              <w:pStyle w:val="tableheaderwhite"/>
              <w:spacing w:before="20" w:after="20"/>
              <w:rPr>
                <w:sz w:val="22"/>
              </w:rPr>
            </w:pPr>
            <w:r w:rsidRPr="1FF1B213">
              <w:rPr>
                <w:sz w:val="22"/>
                <w:szCs w:val="22"/>
              </w:rPr>
              <w:t>On-Call Staff</w:t>
            </w:r>
          </w:p>
          <w:p w14:paraId="3DA50AAE" w14:textId="77777777" w:rsidR="00E91506" w:rsidRPr="00EC1CCF" w:rsidRDefault="00E91506" w:rsidP="00C07F6E">
            <w:pPr>
              <w:pStyle w:val="tableheaderwhite"/>
              <w:spacing w:before="20" w:after="20"/>
              <w:rPr>
                <w:sz w:val="22"/>
              </w:rPr>
            </w:pPr>
            <w:r w:rsidRPr="1FF1B213">
              <w:rPr>
                <w:sz w:val="22"/>
                <w:szCs w:val="22"/>
              </w:rPr>
              <w:t>(Reg</w:t>
            </w:r>
            <w:r w:rsidR="00256CC5" w:rsidRPr="1FF1B213">
              <w:rPr>
                <w:sz w:val="22"/>
                <w:szCs w:val="22"/>
              </w:rPr>
              <w:t>ular</w:t>
            </w:r>
            <w:r w:rsidRPr="1FF1B213">
              <w:rPr>
                <w:sz w:val="22"/>
                <w:szCs w:val="22"/>
              </w:rPr>
              <w:t xml:space="preserve"> Hrs. + OT)</w:t>
            </w:r>
          </w:p>
        </w:tc>
        <w:tc>
          <w:tcPr>
            <w:tcW w:w="1915" w:type="dxa"/>
          </w:tcPr>
          <w:p w14:paraId="7F979A23" w14:textId="77777777" w:rsidR="00E91506" w:rsidRPr="00EC1CCF" w:rsidRDefault="00E91506" w:rsidP="00C07F6E">
            <w:pPr>
              <w:pStyle w:val="tableheaderwhite"/>
              <w:spacing w:before="20" w:after="20"/>
              <w:rPr>
                <w:sz w:val="22"/>
              </w:rPr>
            </w:pPr>
            <w:r w:rsidRPr="1FF1B213">
              <w:rPr>
                <w:sz w:val="22"/>
                <w:szCs w:val="22"/>
              </w:rPr>
              <w:t xml:space="preserve">Facility Total </w:t>
            </w:r>
          </w:p>
        </w:tc>
        <w:tc>
          <w:tcPr>
            <w:tcW w:w="1916" w:type="dxa"/>
          </w:tcPr>
          <w:p w14:paraId="76012440" w14:textId="77777777" w:rsidR="00E91506" w:rsidRPr="00EC1CCF" w:rsidRDefault="00E91506" w:rsidP="00C07F6E">
            <w:pPr>
              <w:pStyle w:val="tableheaderwhite"/>
              <w:spacing w:before="20" w:after="20"/>
              <w:rPr>
                <w:sz w:val="22"/>
              </w:rPr>
            </w:pPr>
            <w:r w:rsidRPr="1FF1B213">
              <w:rPr>
                <w:sz w:val="22"/>
                <w:szCs w:val="22"/>
              </w:rPr>
              <w:t xml:space="preserve">On-Call as % of Total </w:t>
            </w:r>
          </w:p>
        </w:tc>
      </w:tr>
      <w:tr w:rsidR="00E91506" w14:paraId="2FD850E5" w14:textId="77777777" w:rsidTr="00C07F6E">
        <w:trPr>
          <w:cnfStyle w:val="000000100000" w:firstRow="0" w:lastRow="0" w:firstColumn="0" w:lastColumn="0" w:oddVBand="0" w:evenVBand="0" w:oddHBand="1" w:evenHBand="0" w:firstRowFirstColumn="0" w:firstRowLastColumn="0" w:lastRowFirstColumn="0" w:lastRowLastColumn="0"/>
        </w:trPr>
        <w:tc>
          <w:tcPr>
            <w:tcW w:w="1915" w:type="dxa"/>
            <w:shd w:val="clear" w:color="auto" w:fill="A6A6A6" w:themeFill="background1" w:themeFillShade="A6"/>
          </w:tcPr>
          <w:p w14:paraId="27C04CAE" w14:textId="77777777" w:rsidR="00E91506" w:rsidRPr="00EC1CCF" w:rsidRDefault="00E91506" w:rsidP="00C07F6E">
            <w:pPr>
              <w:pStyle w:val="TableText"/>
              <w:rPr>
                <w:b/>
              </w:rPr>
            </w:pPr>
            <w:r>
              <w:rPr>
                <w:b/>
              </w:rPr>
              <w:t xml:space="preserve">JR Overall </w:t>
            </w:r>
          </w:p>
        </w:tc>
        <w:tc>
          <w:tcPr>
            <w:tcW w:w="1915" w:type="dxa"/>
            <w:shd w:val="clear" w:color="auto" w:fill="A6A6A6" w:themeFill="background1" w:themeFillShade="A6"/>
          </w:tcPr>
          <w:p w14:paraId="174A8994" w14:textId="77777777" w:rsidR="00E91506" w:rsidRPr="00C257FA" w:rsidRDefault="00E91506" w:rsidP="00C07F6E">
            <w:pPr>
              <w:pStyle w:val="TableText"/>
              <w:jc w:val="center"/>
              <w:rPr>
                <w:b/>
              </w:rPr>
            </w:pPr>
            <w:r w:rsidRPr="00C257FA">
              <w:rPr>
                <w:b/>
              </w:rPr>
              <w:t xml:space="preserve"> 676,48</w:t>
            </w:r>
            <w:r>
              <w:rPr>
                <w:b/>
              </w:rPr>
              <w:t>7</w:t>
            </w:r>
            <w:r w:rsidRPr="00C257FA">
              <w:rPr>
                <w:b/>
              </w:rPr>
              <w:t xml:space="preserve"> </w:t>
            </w:r>
          </w:p>
        </w:tc>
        <w:tc>
          <w:tcPr>
            <w:tcW w:w="1915" w:type="dxa"/>
            <w:shd w:val="clear" w:color="auto" w:fill="A6A6A6" w:themeFill="background1" w:themeFillShade="A6"/>
          </w:tcPr>
          <w:p w14:paraId="218CA87E" w14:textId="77777777" w:rsidR="00E91506" w:rsidRPr="00C257FA" w:rsidRDefault="00E91506" w:rsidP="00C07F6E">
            <w:pPr>
              <w:pStyle w:val="TableText"/>
              <w:jc w:val="center"/>
              <w:rPr>
                <w:b/>
              </w:rPr>
            </w:pPr>
            <w:r w:rsidRPr="00C257FA">
              <w:rPr>
                <w:b/>
              </w:rPr>
              <w:t xml:space="preserve"> 171,20</w:t>
            </w:r>
            <w:r>
              <w:rPr>
                <w:b/>
              </w:rPr>
              <w:t>2</w:t>
            </w:r>
            <w:r w:rsidRPr="00C257FA">
              <w:rPr>
                <w:b/>
              </w:rPr>
              <w:t xml:space="preserve"> </w:t>
            </w:r>
          </w:p>
        </w:tc>
        <w:tc>
          <w:tcPr>
            <w:tcW w:w="1915" w:type="dxa"/>
            <w:shd w:val="clear" w:color="auto" w:fill="A6A6A6" w:themeFill="background1" w:themeFillShade="A6"/>
          </w:tcPr>
          <w:p w14:paraId="2C28A651" w14:textId="77777777" w:rsidR="00E91506" w:rsidRPr="00C257FA" w:rsidRDefault="00E91506" w:rsidP="00C07F6E">
            <w:pPr>
              <w:pStyle w:val="TableText"/>
              <w:jc w:val="center"/>
              <w:rPr>
                <w:b/>
              </w:rPr>
            </w:pPr>
            <w:r w:rsidRPr="00C257FA">
              <w:rPr>
                <w:b/>
              </w:rPr>
              <w:t xml:space="preserve"> 847,68</w:t>
            </w:r>
            <w:r>
              <w:rPr>
                <w:b/>
              </w:rPr>
              <w:t>9</w:t>
            </w:r>
            <w:r w:rsidRPr="00C257FA">
              <w:rPr>
                <w:b/>
              </w:rPr>
              <w:t xml:space="preserve"> </w:t>
            </w:r>
          </w:p>
        </w:tc>
        <w:tc>
          <w:tcPr>
            <w:tcW w:w="1916" w:type="dxa"/>
            <w:shd w:val="clear" w:color="auto" w:fill="A6A6A6" w:themeFill="background1" w:themeFillShade="A6"/>
          </w:tcPr>
          <w:p w14:paraId="2E814246" w14:textId="77777777" w:rsidR="00E91506" w:rsidRPr="00C257FA" w:rsidRDefault="00E91506" w:rsidP="00C07F6E">
            <w:pPr>
              <w:pStyle w:val="TableText"/>
              <w:jc w:val="center"/>
              <w:rPr>
                <w:b/>
              </w:rPr>
            </w:pPr>
            <w:r w:rsidRPr="00C257FA">
              <w:rPr>
                <w:b/>
              </w:rPr>
              <w:t>20.2%</w:t>
            </w:r>
          </w:p>
        </w:tc>
      </w:tr>
      <w:tr w:rsidR="00E91506" w14:paraId="55B590F9" w14:textId="77777777" w:rsidTr="00C07F6E">
        <w:tc>
          <w:tcPr>
            <w:tcW w:w="1915" w:type="dxa"/>
          </w:tcPr>
          <w:p w14:paraId="18A43663" w14:textId="77777777" w:rsidR="00E91506" w:rsidRDefault="00E91506" w:rsidP="00C07F6E">
            <w:pPr>
              <w:pStyle w:val="TableText"/>
            </w:pPr>
            <w:r>
              <w:t xml:space="preserve">Echo Glen </w:t>
            </w:r>
          </w:p>
        </w:tc>
        <w:tc>
          <w:tcPr>
            <w:tcW w:w="1915" w:type="dxa"/>
          </w:tcPr>
          <w:p w14:paraId="6EC73B98" w14:textId="77777777" w:rsidR="00E91506" w:rsidRPr="00EC1CCF" w:rsidRDefault="00E91506" w:rsidP="00C07F6E">
            <w:pPr>
              <w:pStyle w:val="TableText"/>
              <w:jc w:val="center"/>
            </w:pPr>
            <w:r w:rsidRPr="008B69F3">
              <w:t xml:space="preserve"> 189,447 </w:t>
            </w:r>
          </w:p>
        </w:tc>
        <w:tc>
          <w:tcPr>
            <w:tcW w:w="1915" w:type="dxa"/>
          </w:tcPr>
          <w:p w14:paraId="6C4628EE" w14:textId="77777777" w:rsidR="00E91506" w:rsidRPr="00EC1CCF" w:rsidRDefault="00E91506" w:rsidP="00C07F6E">
            <w:pPr>
              <w:pStyle w:val="TableText"/>
              <w:jc w:val="center"/>
            </w:pPr>
            <w:r w:rsidRPr="008B69F3">
              <w:t xml:space="preserve"> 51,322 </w:t>
            </w:r>
          </w:p>
        </w:tc>
        <w:tc>
          <w:tcPr>
            <w:tcW w:w="1915" w:type="dxa"/>
          </w:tcPr>
          <w:p w14:paraId="5A9D3642" w14:textId="77777777" w:rsidR="00E91506" w:rsidRPr="00EC1CCF" w:rsidRDefault="00E91506" w:rsidP="00C07F6E">
            <w:pPr>
              <w:pStyle w:val="TableText"/>
              <w:jc w:val="center"/>
            </w:pPr>
            <w:r w:rsidRPr="008B69F3">
              <w:t xml:space="preserve"> 240,76</w:t>
            </w:r>
            <w:r>
              <w:t>9</w:t>
            </w:r>
            <w:r w:rsidRPr="008B69F3">
              <w:t xml:space="preserve"> </w:t>
            </w:r>
          </w:p>
        </w:tc>
        <w:tc>
          <w:tcPr>
            <w:tcW w:w="1916" w:type="dxa"/>
          </w:tcPr>
          <w:p w14:paraId="5C376F4C" w14:textId="77777777" w:rsidR="00E91506" w:rsidRPr="00EC1CCF" w:rsidRDefault="00E91506" w:rsidP="00C07F6E">
            <w:pPr>
              <w:pStyle w:val="TableText"/>
              <w:jc w:val="center"/>
            </w:pPr>
            <w:r w:rsidRPr="00AB2F62">
              <w:t>21.3%</w:t>
            </w:r>
          </w:p>
        </w:tc>
      </w:tr>
      <w:tr w:rsidR="00E91506" w14:paraId="1D3BD48F" w14:textId="77777777" w:rsidTr="00C07F6E">
        <w:trPr>
          <w:cnfStyle w:val="000000100000" w:firstRow="0" w:lastRow="0" w:firstColumn="0" w:lastColumn="0" w:oddVBand="0" w:evenVBand="0" w:oddHBand="1" w:evenHBand="0" w:firstRowFirstColumn="0" w:firstRowLastColumn="0" w:lastRowFirstColumn="0" w:lastRowLastColumn="0"/>
        </w:trPr>
        <w:tc>
          <w:tcPr>
            <w:tcW w:w="1915" w:type="dxa"/>
          </w:tcPr>
          <w:p w14:paraId="31877C8C" w14:textId="77777777" w:rsidR="00E91506" w:rsidRDefault="00E91506" w:rsidP="00C07F6E">
            <w:pPr>
              <w:pStyle w:val="TableText"/>
            </w:pPr>
            <w:r>
              <w:t>Green Hill</w:t>
            </w:r>
          </w:p>
        </w:tc>
        <w:tc>
          <w:tcPr>
            <w:tcW w:w="1915" w:type="dxa"/>
          </w:tcPr>
          <w:p w14:paraId="35C1C367" w14:textId="77777777" w:rsidR="00E91506" w:rsidRPr="00EC1CCF" w:rsidRDefault="00E91506" w:rsidP="00C07F6E">
            <w:pPr>
              <w:pStyle w:val="TableText"/>
              <w:jc w:val="center"/>
            </w:pPr>
            <w:r w:rsidRPr="008B69F3">
              <w:t xml:space="preserve"> 265,668 </w:t>
            </w:r>
          </w:p>
        </w:tc>
        <w:tc>
          <w:tcPr>
            <w:tcW w:w="1915" w:type="dxa"/>
          </w:tcPr>
          <w:p w14:paraId="65721743" w14:textId="77777777" w:rsidR="00E91506" w:rsidRPr="00EC1CCF" w:rsidRDefault="00E91506" w:rsidP="00C07F6E">
            <w:pPr>
              <w:pStyle w:val="TableText"/>
              <w:jc w:val="center"/>
            </w:pPr>
            <w:r w:rsidRPr="008B69F3">
              <w:t xml:space="preserve"> 54,151 </w:t>
            </w:r>
          </w:p>
        </w:tc>
        <w:tc>
          <w:tcPr>
            <w:tcW w:w="1915" w:type="dxa"/>
          </w:tcPr>
          <w:p w14:paraId="64F3652A" w14:textId="77777777" w:rsidR="00E91506" w:rsidRPr="00EC1CCF" w:rsidRDefault="00E91506" w:rsidP="00C07F6E">
            <w:pPr>
              <w:pStyle w:val="TableText"/>
              <w:jc w:val="center"/>
            </w:pPr>
            <w:r w:rsidRPr="008B69F3">
              <w:t xml:space="preserve"> 319,819 </w:t>
            </w:r>
          </w:p>
        </w:tc>
        <w:tc>
          <w:tcPr>
            <w:tcW w:w="1916" w:type="dxa"/>
          </w:tcPr>
          <w:p w14:paraId="687CF7D0" w14:textId="77777777" w:rsidR="00E91506" w:rsidRPr="00EC1CCF" w:rsidRDefault="00E91506" w:rsidP="00C07F6E">
            <w:pPr>
              <w:pStyle w:val="TableText"/>
              <w:jc w:val="center"/>
            </w:pPr>
            <w:r w:rsidRPr="00AB2F62">
              <w:t>16.9%</w:t>
            </w:r>
          </w:p>
        </w:tc>
      </w:tr>
      <w:tr w:rsidR="00E91506" w14:paraId="714D6BDA" w14:textId="77777777" w:rsidTr="00C07F6E">
        <w:tc>
          <w:tcPr>
            <w:tcW w:w="1915" w:type="dxa"/>
          </w:tcPr>
          <w:p w14:paraId="1B563E4E" w14:textId="77777777" w:rsidR="00E91506" w:rsidRDefault="00E91506" w:rsidP="00C07F6E">
            <w:pPr>
              <w:pStyle w:val="TableText"/>
            </w:pPr>
            <w:r>
              <w:t>Naselle</w:t>
            </w:r>
          </w:p>
        </w:tc>
        <w:tc>
          <w:tcPr>
            <w:tcW w:w="1915" w:type="dxa"/>
          </w:tcPr>
          <w:p w14:paraId="56A0ED55" w14:textId="77777777" w:rsidR="00E91506" w:rsidRPr="00EC1CCF" w:rsidRDefault="00E91506" w:rsidP="00C07F6E">
            <w:pPr>
              <w:pStyle w:val="TableText"/>
              <w:jc w:val="center"/>
            </w:pPr>
            <w:r w:rsidRPr="008B69F3">
              <w:t xml:space="preserve"> 88,510 </w:t>
            </w:r>
          </w:p>
        </w:tc>
        <w:tc>
          <w:tcPr>
            <w:tcW w:w="1915" w:type="dxa"/>
          </w:tcPr>
          <w:p w14:paraId="76BDBC27" w14:textId="77777777" w:rsidR="00E91506" w:rsidRPr="00EC1CCF" w:rsidRDefault="00E91506" w:rsidP="00C07F6E">
            <w:pPr>
              <w:pStyle w:val="TableText"/>
              <w:jc w:val="center"/>
            </w:pPr>
            <w:r w:rsidRPr="008B69F3">
              <w:t xml:space="preserve"> 26,729 </w:t>
            </w:r>
          </w:p>
        </w:tc>
        <w:tc>
          <w:tcPr>
            <w:tcW w:w="1915" w:type="dxa"/>
          </w:tcPr>
          <w:p w14:paraId="67E8220C" w14:textId="77777777" w:rsidR="00E91506" w:rsidRPr="00EC1CCF" w:rsidRDefault="00E91506" w:rsidP="00C07F6E">
            <w:pPr>
              <w:pStyle w:val="TableText"/>
              <w:jc w:val="center"/>
            </w:pPr>
            <w:r w:rsidRPr="008B69F3">
              <w:t xml:space="preserve"> 115,239 </w:t>
            </w:r>
          </w:p>
        </w:tc>
        <w:tc>
          <w:tcPr>
            <w:tcW w:w="1916" w:type="dxa"/>
          </w:tcPr>
          <w:p w14:paraId="4F6F0631" w14:textId="77777777" w:rsidR="00E91506" w:rsidRPr="00EC1CCF" w:rsidRDefault="00E91506" w:rsidP="00C07F6E">
            <w:pPr>
              <w:pStyle w:val="TableText"/>
              <w:jc w:val="center"/>
            </w:pPr>
            <w:r w:rsidRPr="00AB2F62">
              <w:t>23.2%</w:t>
            </w:r>
          </w:p>
        </w:tc>
      </w:tr>
      <w:tr w:rsidR="00E91506" w14:paraId="5F21CFCE" w14:textId="77777777" w:rsidTr="00C07F6E">
        <w:trPr>
          <w:cnfStyle w:val="000000100000" w:firstRow="0" w:lastRow="0" w:firstColumn="0" w:lastColumn="0" w:oddVBand="0" w:evenVBand="0" w:oddHBand="1" w:evenHBand="0" w:firstRowFirstColumn="0" w:firstRowLastColumn="0" w:lastRowFirstColumn="0" w:lastRowLastColumn="0"/>
        </w:trPr>
        <w:tc>
          <w:tcPr>
            <w:tcW w:w="1915" w:type="dxa"/>
          </w:tcPr>
          <w:p w14:paraId="422F732C" w14:textId="77777777" w:rsidR="00E91506" w:rsidRDefault="00E91506" w:rsidP="00C07F6E">
            <w:pPr>
              <w:pStyle w:val="TableText"/>
            </w:pPr>
            <w:r>
              <w:t xml:space="preserve">Community Facilities </w:t>
            </w:r>
          </w:p>
        </w:tc>
        <w:tc>
          <w:tcPr>
            <w:tcW w:w="1915" w:type="dxa"/>
          </w:tcPr>
          <w:p w14:paraId="316224E5" w14:textId="77777777" w:rsidR="00E91506" w:rsidRPr="00EC1CCF" w:rsidRDefault="00E91506" w:rsidP="00C07F6E">
            <w:pPr>
              <w:pStyle w:val="TableText"/>
              <w:jc w:val="center"/>
            </w:pPr>
            <w:r w:rsidRPr="008B69F3">
              <w:t xml:space="preserve"> 132,862 </w:t>
            </w:r>
          </w:p>
        </w:tc>
        <w:tc>
          <w:tcPr>
            <w:tcW w:w="1915" w:type="dxa"/>
          </w:tcPr>
          <w:p w14:paraId="1D2E2ABA" w14:textId="77777777" w:rsidR="00E91506" w:rsidRPr="00EC1CCF" w:rsidRDefault="00E91506" w:rsidP="00C07F6E">
            <w:pPr>
              <w:pStyle w:val="TableText"/>
              <w:jc w:val="center"/>
            </w:pPr>
            <w:r w:rsidRPr="008B69F3">
              <w:t xml:space="preserve"> 39,000 </w:t>
            </w:r>
          </w:p>
        </w:tc>
        <w:tc>
          <w:tcPr>
            <w:tcW w:w="1915" w:type="dxa"/>
          </w:tcPr>
          <w:p w14:paraId="0F29EAA1" w14:textId="77777777" w:rsidR="00E91506" w:rsidRPr="00EC1CCF" w:rsidRDefault="00E91506" w:rsidP="00C07F6E">
            <w:pPr>
              <w:pStyle w:val="TableText"/>
              <w:jc w:val="center"/>
            </w:pPr>
            <w:r w:rsidRPr="008B69F3">
              <w:t xml:space="preserve"> 171,86</w:t>
            </w:r>
            <w:r>
              <w:t>2</w:t>
            </w:r>
            <w:r w:rsidRPr="008B69F3">
              <w:t xml:space="preserve"> </w:t>
            </w:r>
          </w:p>
        </w:tc>
        <w:tc>
          <w:tcPr>
            <w:tcW w:w="1916" w:type="dxa"/>
          </w:tcPr>
          <w:p w14:paraId="561AD9C9" w14:textId="77777777" w:rsidR="00E91506" w:rsidRPr="00EC1CCF" w:rsidRDefault="00E91506" w:rsidP="00C07F6E">
            <w:pPr>
              <w:pStyle w:val="TableText"/>
              <w:jc w:val="center"/>
            </w:pPr>
            <w:r w:rsidRPr="00AB2F62">
              <w:t>22.7%</w:t>
            </w:r>
          </w:p>
        </w:tc>
      </w:tr>
    </w:tbl>
    <w:p w14:paraId="2F2DFF3C" w14:textId="77777777" w:rsidR="003C67F8" w:rsidRPr="00553011" w:rsidRDefault="00DC5C16" w:rsidP="00553011">
      <w:pPr>
        <w:pStyle w:val="TableText"/>
        <w:rPr>
          <w:i/>
        </w:rPr>
      </w:pPr>
      <w:r>
        <w:rPr>
          <w:i/>
        </w:rPr>
        <w:t>Source Data</w:t>
      </w:r>
      <w:r w:rsidRPr="00DC5C16">
        <w:rPr>
          <w:i/>
        </w:rPr>
        <w:t xml:space="preserve">: June 2017 – May 2018 </w:t>
      </w:r>
    </w:p>
    <w:p w14:paraId="12A55BC5" w14:textId="77777777" w:rsidR="007E316B" w:rsidRPr="00654AC7" w:rsidRDefault="009D6A3B" w:rsidP="007E316B">
      <w:pPr>
        <w:pStyle w:val="Heading4"/>
      </w:pPr>
      <w:r w:rsidRPr="00BD6E0B">
        <w:rPr>
          <w:color w:val="auto"/>
        </w:rPr>
        <w:t>Leave</w:t>
      </w:r>
      <w:r w:rsidR="003240A8" w:rsidRPr="00654AC7">
        <w:t xml:space="preserve"> </w:t>
      </w:r>
      <w:r w:rsidR="00654AC7" w:rsidRPr="00654AC7">
        <w:t xml:space="preserve"> </w:t>
      </w:r>
    </w:p>
    <w:p w14:paraId="6CBE462B" w14:textId="77777777" w:rsidR="00654AC7" w:rsidRDefault="00654AC7" w:rsidP="00654AC7">
      <w:r>
        <w:t xml:space="preserve">Understanding the amount of leave employees take is an important part of establishing a </w:t>
      </w:r>
      <w:r w:rsidR="005D560D">
        <w:t xml:space="preserve">residential </w:t>
      </w:r>
      <w:r>
        <w:t>staffing model that ensures uninterrupted coverage with the appropriate staff levels. In creating a staff schedule and setting the overall staffing levels for each facility, JR must have enough staff members to account for the planned and unplanned leave staff members will take</w:t>
      </w:r>
      <w:r w:rsidR="00A3786D">
        <w:t xml:space="preserve">. </w:t>
      </w:r>
    </w:p>
    <w:p w14:paraId="5A96C2E6" w14:textId="77777777" w:rsidR="00654AC7" w:rsidRPr="004378CD" w:rsidRDefault="00654AC7" w:rsidP="00654AC7">
      <w:r>
        <w:t xml:space="preserve">Using information on leave taken by staff between June 2017 and May 2018, we reviewed the number of work hours direct services staff members missed for both planned and unplanned reasons, with </w:t>
      </w:r>
      <w:r w:rsidRPr="004378CD">
        <w:t>each category including the following leave types recorded by RA’s time and attendance system:</w:t>
      </w:r>
    </w:p>
    <w:p w14:paraId="64BFE551" w14:textId="77777777" w:rsidR="00654AC7" w:rsidRPr="004378CD" w:rsidRDefault="00654AC7" w:rsidP="00654AC7">
      <w:pPr>
        <w:pStyle w:val="ListBullet"/>
      </w:pPr>
      <w:r w:rsidRPr="004378CD">
        <w:t>Planned missed work: vacation, compensatory time, personal holiday leave, personal leave, military leave, and shared leave;</w:t>
      </w:r>
    </w:p>
    <w:p w14:paraId="30CD469E" w14:textId="77777777" w:rsidR="00654AC7" w:rsidRPr="004378CD" w:rsidRDefault="00654AC7" w:rsidP="00654AC7">
      <w:pPr>
        <w:pStyle w:val="ListBullet"/>
        <w:spacing w:after="120"/>
        <w:contextualSpacing w:val="0"/>
      </w:pPr>
      <w:r w:rsidRPr="004378CD">
        <w:t>Unplanned missed work: assault leave, sick leave and leave without pay</w:t>
      </w:r>
      <w:r w:rsidR="00A3786D" w:rsidRPr="004378CD">
        <w:t xml:space="preserve">. </w:t>
      </w:r>
    </w:p>
    <w:p w14:paraId="4E1AEE58" w14:textId="77777777" w:rsidR="00654AC7" w:rsidRDefault="00654AC7" w:rsidP="00654AC7">
      <w:r w:rsidRPr="004378CD">
        <w:t xml:space="preserve">Exhibit </w:t>
      </w:r>
      <w:r w:rsidR="00C130F7">
        <w:t>5</w:t>
      </w:r>
      <w:r w:rsidR="00513631" w:rsidRPr="004378CD">
        <w:t>-10</w:t>
      </w:r>
      <w:r w:rsidRPr="004378CD">
        <w:t xml:space="preserve"> presents planned</w:t>
      </w:r>
      <w:r w:rsidR="004378CD" w:rsidRPr="004378CD">
        <w:t>,</w:t>
      </w:r>
      <w:r w:rsidRPr="004378CD">
        <w:t xml:space="preserve"> and unplanned leave taken by JR direct services staff, which includes the JRRCs, JRCAs</w:t>
      </w:r>
      <w:r>
        <w:t>, and JRSOs.</w:t>
      </w:r>
    </w:p>
    <w:p w14:paraId="7A3682BA" w14:textId="77777777" w:rsidR="00654AC7" w:rsidRDefault="00654AC7" w:rsidP="00654AC7">
      <w:pPr>
        <w:pStyle w:val="Caption"/>
      </w:pPr>
      <w:r w:rsidRPr="004378CD">
        <w:t xml:space="preserve">Exhibit </w:t>
      </w:r>
      <w:r w:rsidR="00D76D95">
        <w:t>5</w:t>
      </w:r>
      <w:r w:rsidR="00513631" w:rsidRPr="004378CD">
        <w:t>-10</w:t>
      </w:r>
      <w:r w:rsidRPr="004378CD">
        <w:t>.</w:t>
      </w:r>
      <w:r>
        <w:t xml:space="preserve"> Planned and Unplanned Leave Taken by JR Direct Services Staff</w:t>
      </w:r>
    </w:p>
    <w:tbl>
      <w:tblPr>
        <w:tblStyle w:val="HyzerTable"/>
        <w:tblW w:w="5000" w:type="pct"/>
        <w:tblLook w:val="04A0" w:firstRow="1" w:lastRow="0" w:firstColumn="1" w:lastColumn="0" w:noHBand="0" w:noVBand="1"/>
      </w:tblPr>
      <w:tblGrid>
        <w:gridCol w:w="1779"/>
        <w:gridCol w:w="1344"/>
        <w:gridCol w:w="1561"/>
        <w:gridCol w:w="1559"/>
        <w:gridCol w:w="1561"/>
        <w:gridCol w:w="1556"/>
      </w:tblGrid>
      <w:tr w:rsidR="00654AC7" w14:paraId="7823254B" w14:textId="77777777" w:rsidTr="00654AC7">
        <w:trPr>
          <w:cnfStyle w:val="100000000000" w:firstRow="1" w:lastRow="0" w:firstColumn="0" w:lastColumn="0" w:oddVBand="0" w:evenVBand="0" w:oddHBand="0" w:evenHBand="0" w:firstRowFirstColumn="0" w:firstRowLastColumn="0" w:lastRowFirstColumn="0" w:lastRowLastColumn="0"/>
          <w:tblHeader/>
        </w:trPr>
        <w:tc>
          <w:tcPr>
            <w:tcW w:w="950" w:type="pct"/>
          </w:tcPr>
          <w:p w14:paraId="184214D5" w14:textId="77777777" w:rsidR="00654AC7" w:rsidRDefault="00654AC7" w:rsidP="00047390">
            <w:pPr>
              <w:pStyle w:val="TableText"/>
            </w:pPr>
          </w:p>
        </w:tc>
        <w:tc>
          <w:tcPr>
            <w:tcW w:w="718" w:type="pct"/>
          </w:tcPr>
          <w:p w14:paraId="3A25DB36" w14:textId="77777777" w:rsidR="00654AC7" w:rsidRDefault="00654AC7" w:rsidP="00BC0E8E">
            <w:pPr>
              <w:pStyle w:val="tableheaderwhite"/>
              <w:spacing w:before="20" w:after="20"/>
            </w:pPr>
            <w:r w:rsidRPr="00864575">
              <w:t>JR Overall</w:t>
            </w:r>
          </w:p>
        </w:tc>
        <w:tc>
          <w:tcPr>
            <w:tcW w:w="834" w:type="pct"/>
          </w:tcPr>
          <w:p w14:paraId="59578A6C" w14:textId="77777777" w:rsidR="00654AC7" w:rsidRDefault="00654AC7" w:rsidP="00BC0E8E">
            <w:pPr>
              <w:pStyle w:val="tableheaderwhite"/>
              <w:spacing w:before="20" w:after="20"/>
            </w:pPr>
            <w:r w:rsidRPr="00864575">
              <w:t>Echo Glen</w:t>
            </w:r>
          </w:p>
        </w:tc>
        <w:tc>
          <w:tcPr>
            <w:tcW w:w="833" w:type="pct"/>
          </w:tcPr>
          <w:p w14:paraId="0E6628FB" w14:textId="77777777" w:rsidR="00654AC7" w:rsidRDefault="00654AC7" w:rsidP="00BC0E8E">
            <w:pPr>
              <w:pStyle w:val="tableheaderwhite"/>
              <w:spacing w:before="20" w:after="20"/>
            </w:pPr>
            <w:r w:rsidRPr="00864575">
              <w:t>Green Hill</w:t>
            </w:r>
          </w:p>
        </w:tc>
        <w:tc>
          <w:tcPr>
            <w:tcW w:w="834" w:type="pct"/>
          </w:tcPr>
          <w:p w14:paraId="003ECD33" w14:textId="77777777" w:rsidR="00654AC7" w:rsidRDefault="00654AC7" w:rsidP="00BC0E8E">
            <w:pPr>
              <w:pStyle w:val="tableheaderwhite"/>
              <w:spacing w:before="20" w:after="20"/>
            </w:pPr>
            <w:r w:rsidRPr="00864575">
              <w:t>Naselle</w:t>
            </w:r>
          </w:p>
        </w:tc>
        <w:tc>
          <w:tcPr>
            <w:tcW w:w="831" w:type="pct"/>
          </w:tcPr>
          <w:p w14:paraId="0452D0DB" w14:textId="77777777" w:rsidR="00654AC7" w:rsidRDefault="00654AC7" w:rsidP="00BC0E8E">
            <w:pPr>
              <w:pStyle w:val="tableheaderwhite"/>
              <w:spacing w:before="20" w:after="20"/>
            </w:pPr>
            <w:r w:rsidRPr="00864575">
              <w:t>Community Facilities</w:t>
            </w:r>
          </w:p>
        </w:tc>
      </w:tr>
      <w:tr w:rsidR="00654AC7" w14:paraId="4CE210E0"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shd w:val="clear" w:color="auto" w:fill="A6A6A6" w:themeFill="background1" w:themeFillShade="A6"/>
          </w:tcPr>
          <w:p w14:paraId="775A9E3F" w14:textId="77777777" w:rsidR="00654AC7" w:rsidRDefault="00654AC7" w:rsidP="00047390">
            <w:pPr>
              <w:pStyle w:val="TableText"/>
            </w:pPr>
            <w:r>
              <w:rPr>
                <w:b/>
              </w:rPr>
              <w:t xml:space="preserve">Planned Leave </w:t>
            </w:r>
          </w:p>
        </w:tc>
        <w:tc>
          <w:tcPr>
            <w:tcW w:w="718" w:type="pct"/>
            <w:shd w:val="clear" w:color="auto" w:fill="A6A6A6" w:themeFill="background1" w:themeFillShade="A6"/>
          </w:tcPr>
          <w:p w14:paraId="6A75D570" w14:textId="77777777" w:rsidR="00654AC7" w:rsidRPr="007F4E92" w:rsidRDefault="00654AC7" w:rsidP="00047390">
            <w:pPr>
              <w:pStyle w:val="TableText"/>
              <w:jc w:val="center"/>
              <w:rPr>
                <w:b/>
              </w:rPr>
            </w:pPr>
            <w:r w:rsidRPr="007F4E92">
              <w:rPr>
                <w:b/>
              </w:rPr>
              <w:t>67</w:t>
            </w:r>
            <w:r>
              <w:rPr>
                <w:b/>
              </w:rPr>
              <w:t>,</w:t>
            </w:r>
            <w:r w:rsidRPr="007F4E92">
              <w:rPr>
                <w:b/>
              </w:rPr>
              <w:t>902</w:t>
            </w:r>
          </w:p>
        </w:tc>
        <w:tc>
          <w:tcPr>
            <w:tcW w:w="834" w:type="pct"/>
            <w:shd w:val="clear" w:color="auto" w:fill="A6A6A6" w:themeFill="background1" w:themeFillShade="A6"/>
          </w:tcPr>
          <w:p w14:paraId="458A21F3" w14:textId="77777777" w:rsidR="00654AC7" w:rsidRPr="00294334" w:rsidRDefault="00654AC7" w:rsidP="00047390">
            <w:pPr>
              <w:pStyle w:val="TableText"/>
              <w:jc w:val="center"/>
              <w:rPr>
                <w:b/>
              </w:rPr>
            </w:pPr>
            <w:r w:rsidRPr="00294334">
              <w:rPr>
                <w:b/>
              </w:rPr>
              <w:t>16,020</w:t>
            </w:r>
          </w:p>
        </w:tc>
        <w:tc>
          <w:tcPr>
            <w:tcW w:w="833" w:type="pct"/>
            <w:shd w:val="clear" w:color="auto" w:fill="A6A6A6" w:themeFill="background1" w:themeFillShade="A6"/>
          </w:tcPr>
          <w:p w14:paraId="5F452F35" w14:textId="77777777" w:rsidR="00654AC7" w:rsidRPr="00294334" w:rsidRDefault="00654AC7" w:rsidP="00047390">
            <w:pPr>
              <w:pStyle w:val="TableText"/>
              <w:jc w:val="center"/>
              <w:rPr>
                <w:b/>
              </w:rPr>
            </w:pPr>
            <w:r w:rsidRPr="00294334">
              <w:rPr>
                <w:b/>
              </w:rPr>
              <w:t>29,937</w:t>
            </w:r>
          </w:p>
        </w:tc>
        <w:tc>
          <w:tcPr>
            <w:tcW w:w="834" w:type="pct"/>
            <w:shd w:val="clear" w:color="auto" w:fill="A6A6A6" w:themeFill="background1" w:themeFillShade="A6"/>
          </w:tcPr>
          <w:p w14:paraId="7C30EC7A" w14:textId="77777777" w:rsidR="00654AC7" w:rsidRPr="00294334" w:rsidRDefault="00654AC7" w:rsidP="00047390">
            <w:pPr>
              <w:pStyle w:val="TableText"/>
              <w:jc w:val="center"/>
              <w:rPr>
                <w:b/>
              </w:rPr>
            </w:pPr>
            <w:r w:rsidRPr="00294334">
              <w:rPr>
                <w:b/>
              </w:rPr>
              <w:t>8,923</w:t>
            </w:r>
          </w:p>
        </w:tc>
        <w:tc>
          <w:tcPr>
            <w:tcW w:w="831" w:type="pct"/>
            <w:shd w:val="clear" w:color="auto" w:fill="A6A6A6" w:themeFill="background1" w:themeFillShade="A6"/>
          </w:tcPr>
          <w:p w14:paraId="7BECF78F" w14:textId="77777777" w:rsidR="00654AC7" w:rsidRPr="00294334" w:rsidRDefault="00654AC7" w:rsidP="00047390">
            <w:pPr>
              <w:pStyle w:val="TableText"/>
              <w:jc w:val="center"/>
              <w:rPr>
                <w:b/>
              </w:rPr>
            </w:pPr>
            <w:r w:rsidRPr="00294334">
              <w:rPr>
                <w:b/>
              </w:rPr>
              <w:t>13,026</w:t>
            </w:r>
          </w:p>
        </w:tc>
      </w:tr>
      <w:tr w:rsidR="00654AC7" w14:paraId="40EE7BAD" w14:textId="77777777" w:rsidTr="00047390">
        <w:tc>
          <w:tcPr>
            <w:tcW w:w="950" w:type="pct"/>
          </w:tcPr>
          <w:p w14:paraId="17AE38D2" w14:textId="77777777" w:rsidR="00654AC7" w:rsidRDefault="00654AC7" w:rsidP="00047390">
            <w:pPr>
              <w:pStyle w:val="TableText"/>
            </w:pPr>
            <w:r>
              <w:t xml:space="preserve">Vacation </w:t>
            </w:r>
          </w:p>
        </w:tc>
        <w:tc>
          <w:tcPr>
            <w:tcW w:w="718" w:type="pct"/>
          </w:tcPr>
          <w:p w14:paraId="11C682CB" w14:textId="77777777" w:rsidR="00654AC7" w:rsidRDefault="00654AC7" w:rsidP="00047390">
            <w:pPr>
              <w:pStyle w:val="TableText"/>
              <w:jc w:val="center"/>
            </w:pPr>
            <w:r>
              <w:t>45,206</w:t>
            </w:r>
          </w:p>
        </w:tc>
        <w:tc>
          <w:tcPr>
            <w:tcW w:w="834" w:type="pct"/>
          </w:tcPr>
          <w:p w14:paraId="0794698F" w14:textId="77777777" w:rsidR="00654AC7" w:rsidRDefault="00654AC7" w:rsidP="00047390">
            <w:pPr>
              <w:pStyle w:val="TableText"/>
              <w:jc w:val="center"/>
            </w:pPr>
            <w:r>
              <w:t>11,023</w:t>
            </w:r>
          </w:p>
        </w:tc>
        <w:tc>
          <w:tcPr>
            <w:tcW w:w="833" w:type="pct"/>
          </w:tcPr>
          <w:p w14:paraId="63A2552F" w14:textId="77777777" w:rsidR="00654AC7" w:rsidRDefault="00654AC7" w:rsidP="00047390">
            <w:pPr>
              <w:pStyle w:val="TableText"/>
              <w:jc w:val="center"/>
            </w:pPr>
            <w:r>
              <w:t>20,103</w:t>
            </w:r>
          </w:p>
        </w:tc>
        <w:tc>
          <w:tcPr>
            <w:tcW w:w="834" w:type="pct"/>
          </w:tcPr>
          <w:p w14:paraId="65AADBCA" w14:textId="77777777" w:rsidR="00654AC7" w:rsidRDefault="00654AC7" w:rsidP="00047390">
            <w:pPr>
              <w:pStyle w:val="TableText"/>
              <w:jc w:val="center"/>
            </w:pPr>
            <w:r>
              <w:t>5,475</w:t>
            </w:r>
          </w:p>
        </w:tc>
        <w:tc>
          <w:tcPr>
            <w:tcW w:w="831" w:type="pct"/>
          </w:tcPr>
          <w:p w14:paraId="66BECDEA" w14:textId="77777777" w:rsidR="00654AC7" w:rsidRDefault="00654AC7" w:rsidP="00047390">
            <w:pPr>
              <w:pStyle w:val="TableText"/>
              <w:jc w:val="center"/>
            </w:pPr>
            <w:r>
              <w:t>8,606</w:t>
            </w:r>
          </w:p>
        </w:tc>
      </w:tr>
      <w:tr w:rsidR="00654AC7" w14:paraId="294722D5"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tcPr>
          <w:p w14:paraId="180B6462" w14:textId="77777777" w:rsidR="00654AC7" w:rsidRDefault="00654AC7" w:rsidP="00047390">
            <w:pPr>
              <w:pStyle w:val="TableText"/>
            </w:pPr>
            <w:r>
              <w:t xml:space="preserve">Comp Time </w:t>
            </w:r>
          </w:p>
        </w:tc>
        <w:tc>
          <w:tcPr>
            <w:tcW w:w="718" w:type="pct"/>
          </w:tcPr>
          <w:p w14:paraId="0816B07D" w14:textId="77777777" w:rsidR="00654AC7" w:rsidRDefault="00654AC7" w:rsidP="00047390">
            <w:pPr>
              <w:pStyle w:val="TableText"/>
              <w:jc w:val="center"/>
            </w:pPr>
            <w:r>
              <w:t>13,107</w:t>
            </w:r>
          </w:p>
        </w:tc>
        <w:tc>
          <w:tcPr>
            <w:tcW w:w="834" w:type="pct"/>
          </w:tcPr>
          <w:p w14:paraId="697D5751" w14:textId="77777777" w:rsidR="00654AC7" w:rsidRDefault="00654AC7" w:rsidP="00047390">
            <w:pPr>
              <w:pStyle w:val="TableText"/>
              <w:jc w:val="center"/>
            </w:pPr>
            <w:r>
              <w:t>3,262</w:t>
            </w:r>
          </w:p>
        </w:tc>
        <w:tc>
          <w:tcPr>
            <w:tcW w:w="833" w:type="pct"/>
          </w:tcPr>
          <w:p w14:paraId="088BA934" w14:textId="77777777" w:rsidR="00654AC7" w:rsidRDefault="00654AC7" w:rsidP="00047390">
            <w:pPr>
              <w:pStyle w:val="TableText"/>
              <w:jc w:val="center"/>
            </w:pPr>
            <w:r>
              <w:t>6,606</w:t>
            </w:r>
          </w:p>
        </w:tc>
        <w:tc>
          <w:tcPr>
            <w:tcW w:w="834" w:type="pct"/>
          </w:tcPr>
          <w:p w14:paraId="70E6DD25" w14:textId="77777777" w:rsidR="00654AC7" w:rsidRDefault="00654AC7" w:rsidP="00047390">
            <w:pPr>
              <w:pStyle w:val="TableText"/>
              <w:jc w:val="center"/>
            </w:pPr>
            <w:r>
              <w:t>1,624</w:t>
            </w:r>
          </w:p>
        </w:tc>
        <w:tc>
          <w:tcPr>
            <w:tcW w:w="831" w:type="pct"/>
          </w:tcPr>
          <w:p w14:paraId="63BEC98D" w14:textId="77777777" w:rsidR="00654AC7" w:rsidRDefault="00654AC7" w:rsidP="00047390">
            <w:pPr>
              <w:pStyle w:val="TableText"/>
              <w:jc w:val="center"/>
            </w:pPr>
            <w:r>
              <w:t>1,615</w:t>
            </w:r>
          </w:p>
        </w:tc>
      </w:tr>
      <w:tr w:rsidR="00654AC7" w14:paraId="4A374AC8" w14:textId="77777777" w:rsidTr="00047390">
        <w:tc>
          <w:tcPr>
            <w:tcW w:w="950" w:type="pct"/>
          </w:tcPr>
          <w:p w14:paraId="290FFB7B" w14:textId="77777777" w:rsidR="00654AC7" w:rsidRDefault="00654AC7" w:rsidP="00047390">
            <w:pPr>
              <w:pStyle w:val="TableText"/>
            </w:pPr>
            <w:r>
              <w:t xml:space="preserve">Personal Leave </w:t>
            </w:r>
          </w:p>
        </w:tc>
        <w:tc>
          <w:tcPr>
            <w:tcW w:w="718" w:type="pct"/>
          </w:tcPr>
          <w:p w14:paraId="652F56B4" w14:textId="77777777" w:rsidR="00654AC7" w:rsidRDefault="00654AC7" w:rsidP="00047390">
            <w:pPr>
              <w:pStyle w:val="TableText"/>
              <w:jc w:val="center"/>
            </w:pPr>
            <w:r>
              <w:t>3,368</w:t>
            </w:r>
          </w:p>
        </w:tc>
        <w:tc>
          <w:tcPr>
            <w:tcW w:w="834" w:type="pct"/>
          </w:tcPr>
          <w:p w14:paraId="641E19FF" w14:textId="77777777" w:rsidR="00654AC7" w:rsidRDefault="00654AC7" w:rsidP="00047390">
            <w:pPr>
              <w:pStyle w:val="TableText"/>
              <w:jc w:val="center"/>
            </w:pPr>
            <w:r>
              <w:t>781</w:t>
            </w:r>
          </w:p>
        </w:tc>
        <w:tc>
          <w:tcPr>
            <w:tcW w:w="833" w:type="pct"/>
          </w:tcPr>
          <w:p w14:paraId="71D826F9" w14:textId="77777777" w:rsidR="00654AC7" w:rsidRDefault="00654AC7" w:rsidP="00047390">
            <w:pPr>
              <w:pStyle w:val="TableText"/>
              <w:jc w:val="center"/>
            </w:pPr>
            <w:r>
              <w:t>1,346</w:t>
            </w:r>
          </w:p>
        </w:tc>
        <w:tc>
          <w:tcPr>
            <w:tcW w:w="834" w:type="pct"/>
          </w:tcPr>
          <w:p w14:paraId="0C5C0869" w14:textId="77777777" w:rsidR="00654AC7" w:rsidRDefault="00654AC7" w:rsidP="00047390">
            <w:pPr>
              <w:pStyle w:val="TableText"/>
              <w:jc w:val="center"/>
            </w:pPr>
            <w:r>
              <w:t>446</w:t>
            </w:r>
          </w:p>
        </w:tc>
        <w:tc>
          <w:tcPr>
            <w:tcW w:w="831" w:type="pct"/>
          </w:tcPr>
          <w:p w14:paraId="41BB51A0" w14:textId="77777777" w:rsidR="00654AC7" w:rsidRDefault="00654AC7" w:rsidP="00047390">
            <w:pPr>
              <w:pStyle w:val="TableText"/>
              <w:jc w:val="center"/>
            </w:pPr>
            <w:r>
              <w:t>796</w:t>
            </w:r>
          </w:p>
        </w:tc>
      </w:tr>
      <w:tr w:rsidR="00654AC7" w14:paraId="710A3797"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tcPr>
          <w:p w14:paraId="463CA476" w14:textId="77777777" w:rsidR="00654AC7" w:rsidRDefault="00654AC7" w:rsidP="00047390">
            <w:pPr>
              <w:pStyle w:val="TableText"/>
            </w:pPr>
            <w:r>
              <w:t xml:space="preserve">Personal Holiday </w:t>
            </w:r>
          </w:p>
        </w:tc>
        <w:tc>
          <w:tcPr>
            <w:tcW w:w="718" w:type="pct"/>
          </w:tcPr>
          <w:p w14:paraId="1F7E197D" w14:textId="77777777" w:rsidR="00654AC7" w:rsidRDefault="00654AC7" w:rsidP="00047390">
            <w:pPr>
              <w:pStyle w:val="TableText"/>
              <w:jc w:val="center"/>
            </w:pPr>
            <w:r>
              <w:t>2,695</w:t>
            </w:r>
          </w:p>
        </w:tc>
        <w:tc>
          <w:tcPr>
            <w:tcW w:w="834" w:type="pct"/>
          </w:tcPr>
          <w:p w14:paraId="43A482FD" w14:textId="77777777" w:rsidR="00654AC7" w:rsidRDefault="00654AC7" w:rsidP="00047390">
            <w:pPr>
              <w:pStyle w:val="TableText"/>
              <w:jc w:val="center"/>
            </w:pPr>
            <w:r>
              <w:t>527</w:t>
            </w:r>
          </w:p>
        </w:tc>
        <w:tc>
          <w:tcPr>
            <w:tcW w:w="833" w:type="pct"/>
          </w:tcPr>
          <w:p w14:paraId="1941EEB1" w14:textId="77777777" w:rsidR="00654AC7" w:rsidRDefault="00654AC7" w:rsidP="00047390">
            <w:pPr>
              <w:pStyle w:val="TableText"/>
              <w:jc w:val="center"/>
            </w:pPr>
            <w:r>
              <w:t>1,112</w:t>
            </w:r>
          </w:p>
        </w:tc>
        <w:tc>
          <w:tcPr>
            <w:tcW w:w="834" w:type="pct"/>
          </w:tcPr>
          <w:p w14:paraId="116EBA6B" w14:textId="77777777" w:rsidR="00654AC7" w:rsidRDefault="00654AC7" w:rsidP="00047390">
            <w:pPr>
              <w:pStyle w:val="TableText"/>
              <w:jc w:val="center"/>
            </w:pPr>
            <w:r>
              <w:t>345</w:t>
            </w:r>
          </w:p>
        </w:tc>
        <w:tc>
          <w:tcPr>
            <w:tcW w:w="831" w:type="pct"/>
          </w:tcPr>
          <w:p w14:paraId="5FF26499" w14:textId="77777777" w:rsidR="00654AC7" w:rsidRDefault="00654AC7" w:rsidP="00047390">
            <w:pPr>
              <w:pStyle w:val="TableText"/>
              <w:jc w:val="center"/>
            </w:pPr>
            <w:r>
              <w:t>711</w:t>
            </w:r>
          </w:p>
        </w:tc>
      </w:tr>
      <w:tr w:rsidR="00654AC7" w14:paraId="7E53AC0D" w14:textId="77777777" w:rsidTr="00047390">
        <w:tc>
          <w:tcPr>
            <w:tcW w:w="950" w:type="pct"/>
          </w:tcPr>
          <w:p w14:paraId="30039F48" w14:textId="77777777" w:rsidR="00654AC7" w:rsidRDefault="00654AC7" w:rsidP="00047390">
            <w:pPr>
              <w:pStyle w:val="TableText"/>
            </w:pPr>
            <w:r>
              <w:t xml:space="preserve">Holiday </w:t>
            </w:r>
          </w:p>
        </w:tc>
        <w:tc>
          <w:tcPr>
            <w:tcW w:w="718" w:type="pct"/>
          </w:tcPr>
          <w:p w14:paraId="160257B6" w14:textId="77777777" w:rsidR="00654AC7" w:rsidRDefault="00654AC7" w:rsidP="00047390">
            <w:pPr>
              <w:pStyle w:val="TableText"/>
              <w:jc w:val="center"/>
            </w:pPr>
            <w:r>
              <w:t>1,685</w:t>
            </w:r>
          </w:p>
        </w:tc>
        <w:tc>
          <w:tcPr>
            <w:tcW w:w="834" w:type="pct"/>
          </w:tcPr>
          <w:p w14:paraId="72EBB0B0" w14:textId="77777777" w:rsidR="00654AC7" w:rsidRDefault="00654AC7" w:rsidP="00047390">
            <w:pPr>
              <w:pStyle w:val="TableText"/>
              <w:jc w:val="center"/>
            </w:pPr>
            <w:r>
              <w:t>309</w:t>
            </w:r>
          </w:p>
        </w:tc>
        <w:tc>
          <w:tcPr>
            <w:tcW w:w="833" w:type="pct"/>
          </w:tcPr>
          <w:p w14:paraId="56E64C64" w14:textId="77777777" w:rsidR="00654AC7" w:rsidRDefault="00654AC7" w:rsidP="00047390">
            <w:pPr>
              <w:pStyle w:val="TableText"/>
              <w:jc w:val="center"/>
            </w:pPr>
            <w:r>
              <w:t>334</w:t>
            </w:r>
          </w:p>
        </w:tc>
        <w:tc>
          <w:tcPr>
            <w:tcW w:w="834" w:type="pct"/>
          </w:tcPr>
          <w:p w14:paraId="5C0D8D4A" w14:textId="77777777" w:rsidR="00654AC7" w:rsidRDefault="00654AC7" w:rsidP="00047390">
            <w:pPr>
              <w:pStyle w:val="TableText"/>
              <w:jc w:val="center"/>
            </w:pPr>
            <w:r>
              <w:t>731</w:t>
            </w:r>
          </w:p>
        </w:tc>
        <w:tc>
          <w:tcPr>
            <w:tcW w:w="831" w:type="pct"/>
          </w:tcPr>
          <w:p w14:paraId="0EF23E7B" w14:textId="77777777" w:rsidR="00654AC7" w:rsidRDefault="00654AC7" w:rsidP="00047390">
            <w:pPr>
              <w:pStyle w:val="TableText"/>
              <w:jc w:val="center"/>
            </w:pPr>
            <w:r>
              <w:t>312</w:t>
            </w:r>
          </w:p>
        </w:tc>
      </w:tr>
      <w:tr w:rsidR="00654AC7" w14:paraId="071A6D29"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tcPr>
          <w:p w14:paraId="6AFC77D7" w14:textId="77777777" w:rsidR="00654AC7" w:rsidRDefault="00654AC7" w:rsidP="00047390">
            <w:pPr>
              <w:pStyle w:val="TableText"/>
            </w:pPr>
            <w:r>
              <w:t xml:space="preserve">Shared Leave </w:t>
            </w:r>
          </w:p>
        </w:tc>
        <w:tc>
          <w:tcPr>
            <w:tcW w:w="718" w:type="pct"/>
          </w:tcPr>
          <w:p w14:paraId="728E5C87" w14:textId="77777777" w:rsidR="00654AC7" w:rsidRDefault="00654AC7" w:rsidP="00047390">
            <w:pPr>
              <w:pStyle w:val="TableText"/>
              <w:jc w:val="center"/>
            </w:pPr>
            <w:r>
              <w:t>1,495</w:t>
            </w:r>
          </w:p>
        </w:tc>
        <w:tc>
          <w:tcPr>
            <w:tcW w:w="834" w:type="pct"/>
          </w:tcPr>
          <w:p w14:paraId="5A8096C2" w14:textId="77777777" w:rsidR="00654AC7" w:rsidRDefault="00654AC7" w:rsidP="00047390">
            <w:pPr>
              <w:pStyle w:val="TableText"/>
              <w:jc w:val="center"/>
            </w:pPr>
            <w:r>
              <w:t>118</w:t>
            </w:r>
          </w:p>
        </w:tc>
        <w:tc>
          <w:tcPr>
            <w:tcW w:w="833" w:type="pct"/>
          </w:tcPr>
          <w:p w14:paraId="12248A17" w14:textId="77777777" w:rsidR="00654AC7" w:rsidRDefault="00654AC7" w:rsidP="00047390">
            <w:pPr>
              <w:pStyle w:val="TableText"/>
              <w:jc w:val="center"/>
            </w:pPr>
            <w:r>
              <w:t>266</w:t>
            </w:r>
          </w:p>
        </w:tc>
        <w:tc>
          <w:tcPr>
            <w:tcW w:w="834" w:type="pct"/>
          </w:tcPr>
          <w:p w14:paraId="1ED24044" w14:textId="77777777" w:rsidR="00654AC7" w:rsidRDefault="00654AC7" w:rsidP="00047390">
            <w:pPr>
              <w:pStyle w:val="TableText"/>
              <w:jc w:val="center"/>
            </w:pPr>
            <w:r>
              <w:t>302</w:t>
            </w:r>
          </w:p>
        </w:tc>
        <w:tc>
          <w:tcPr>
            <w:tcW w:w="831" w:type="pct"/>
          </w:tcPr>
          <w:p w14:paraId="02F8351E" w14:textId="77777777" w:rsidR="00654AC7" w:rsidRDefault="00654AC7" w:rsidP="00047390">
            <w:pPr>
              <w:pStyle w:val="TableText"/>
              <w:jc w:val="center"/>
            </w:pPr>
            <w:r>
              <w:t>810</w:t>
            </w:r>
          </w:p>
        </w:tc>
      </w:tr>
      <w:tr w:rsidR="00654AC7" w14:paraId="5D0C326F" w14:textId="77777777" w:rsidTr="00047390">
        <w:tc>
          <w:tcPr>
            <w:tcW w:w="950" w:type="pct"/>
          </w:tcPr>
          <w:p w14:paraId="1BDA6649" w14:textId="77777777" w:rsidR="00654AC7" w:rsidRDefault="00654AC7" w:rsidP="00047390">
            <w:pPr>
              <w:pStyle w:val="TableText"/>
            </w:pPr>
            <w:r>
              <w:t xml:space="preserve">Military </w:t>
            </w:r>
          </w:p>
        </w:tc>
        <w:tc>
          <w:tcPr>
            <w:tcW w:w="718" w:type="pct"/>
          </w:tcPr>
          <w:p w14:paraId="2492C552" w14:textId="77777777" w:rsidR="00654AC7" w:rsidRDefault="00654AC7" w:rsidP="00047390">
            <w:pPr>
              <w:pStyle w:val="TableText"/>
              <w:jc w:val="center"/>
            </w:pPr>
            <w:r>
              <w:t>346</w:t>
            </w:r>
          </w:p>
        </w:tc>
        <w:tc>
          <w:tcPr>
            <w:tcW w:w="834" w:type="pct"/>
          </w:tcPr>
          <w:p w14:paraId="2DA897F8" w14:textId="77777777" w:rsidR="00654AC7" w:rsidRDefault="00654AC7" w:rsidP="00047390">
            <w:pPr>
              <w:pStyle w:val="TableText"/>
              <w:jc w:val="center"/>
            </w:pPr>
            <w:r>
              <w:t>0</w:t>
            </w:r>
          </w:p>
        </w:tc>
        <w:tc>
          <w:tcPr>
            <w:tcW w:w="833" w:type="pct"/>
          </w:tcPr>
          <w:p w14:paraId="37DAD7A1" w14:textId="77777777" w:rsidR="00654AC7" w:rsidRDefault="00654AC7" w:rsidP="00047390">
            <w:pPr>
              <w:pStyle w:val="TableText"/>
              <w:jc w:val="center"/>
            </w:pPr>
            <w:r>
              <w:t>170</w:t>
            </w:r>
          </w:p>
        </w:tc>
        <w:tc>
          <w:tcPr>
            <w:tcW w:w="834" w:type="pct"/>
          </w:tcPr>
          <w:p w14:paraId="618F051B" w14:textId="77777777" w:rsidR="00654AC7" w:rsidRDefault="00654AC7" w:rsidP="00047390">
            <w:pPr>
              <w:pStyle w:val="TableText"/>
              <w:jc w:val="center"/>
            </w:pPr>
            <w:r>
              <w:t>0</w:t>
            </w:r>
          </w:p>
        </w:tc>
        <w:tc>
          <w:tcPr>
            <w:tcW w:w="831" w:type="pct"/>
          </w:tcPr>
          <w:p w14:paraId="46C3B539" w14:textId="77777777" w:rsidR="00654AC7" w:rsidRDefault="00654AC7" w:rsidP="00047390">
            <w:pPr>
              <w:pStyle w:val="TableText"/>
              <w:jc w:val="center"/>
            </w:pPr>
            <w:r>
              <w:t>176</w:t>
            </w:r>
          </w:p>
        </w:tc>
      </w:tr>
      <w:tr w:rsidR="00654AC7" w14:paraId="5C0DA4AA"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shd w:val="clear" w:color="auto" w:fill="A6A6A6" w:themeFill="background1" w:themeFillShade="A6"/>
          </w:tcPr>
          <w:p w14:paraId="37F7A74A" w14:textId="77777777" w:rsidR="00654AC7" w:rsidRPr="00536041" w:rsidRDefault="00654AC7" w:rsidP="00635E40">
            <w:pPr>
              <w:pStyle w:val="TableText"/>
              <w:keepNext/>
              <w:keepLines/>
              <w:rPr>
                <w:b/>
              </w:rPr>
            </w:pPr>
            <w:r w:rsidRPr="00536041">
              <w:rPr>
                <w:b/>
              </w:rPr>
              <w:lastRenderedPageBreak/>
              <w:t xml:space="preserve">Unplanned Leave </w:t>
            </w:r>
          </w:p>
        </w:tc>
        <w:tc>
          <w:tcPr>
            <w:tcW w:w="718" w:type="pct"/>
            <w:shd w:val="clear" w:color="auto" w:fill="A6A6A6" w:themeFill="background1" w:themeFillShade="A6"/>
          </w:tcPr>
          <w:p w14:paraId="32D988FE" w14:textId="77777777" w:rsidR="00654AC7" w:rsidRPr="007F4E92" w:rsidRDefault="00654AC7" w:rsidP="00635E40">
            <w:pPr>
              <w:pStyle w:val="TableText"/>
              <w:keepNext/>
              <w:keepLines/>
              <w:jc w:val="center"/>
              <w:rPr>
                <w:b/>
              </w:rPr>
            </w:pPr>
            <w:r w:rsidRPr="007F4E92">
              <w:rPr>
                <w:b/>
              </w:rPr>
              <w:t>51,607</w:t>
            </w:r>
          </w:p>
        </w:tc>
        <w:tc>
          <w:tcPr>
            <w:tcW w:w="834" w:type="pct"/>
            <w:shd w:val="clear" w:color="auto" w:fill="A6A6A6" w:themeFill="background1" w:themeFillShade="A6"/>
          </w:tcPr>
          <w:p w14:paraId="5E693A35" w14:textId="77777777" w:rsidR="00654AC7" w:rsidRPr="00294334" w:rsidRDefault="00654AC7" w:rsidP="00635E40">
            <w:pPr>
              <w:pStyle w:val="TableText"/>
              <w:keepNext/>
              <w:keepLines/>
              <w:jc w:val="center"/>
              <w:rPr>
                <w:b/>
              </w:rPr>
            </w:pPr>
            <w:r w:rsidRPr="00294334">
              <w:rPr>
                <w:b/>
              </w:rPr>
              <w:t>14,267</w:t>
            </w:r>
          </w:p>
        </w:tc>
        <w:tc>
          <w:tcPr>
            <w:tcW w:w="833" w:type="pct"/>
            <w:shd w:val="clear" w:color="auto" w:fill="A6A6A6" w:themeFill="background1" w:themeFillShade="A6"/>
          </w:tcPr>
          <w:p w14:paraId="05EAFD77" w14:textId="77777777" w:rsidR="00654AC7" w:rsidRPr="00294334" w:rsidRDefault="00654AC7" w:rsidP="00635E40">
            <w:pPr>
              <w:pStyle w:val="TableText"/>
              <w:keepNext/>
              <w:keepLines/>
              <w:jc w:val="center"/>
              <w:rPr>
                <w:b/>
              </w:rPr>
            </w:pPr>
            <w:r w:rsidRPr="00294334">
              <w:rPr>
                <w:b/>
              </w:rPr>
              <w:t>22,781</w:t>
            </w:r>
          </w:p>
        </w:tc>
        <w:tc>
          <w:tcPr>
            <w:tcW w:w="834" w:type="pct"/>
            <w:shd w:val="clear" w:color="auto" w:fill="A6A6A6" w:themeFill="background1" w:themeFillShade="A6"/>
          </w:tcPr>
          <w:p w14:paraId="230A7B86" w14:textId="77777777" w:rsidR="00654AC7" w:rsidRPr="00294334" w:rsidRDefault="00654AC7" w:rsidP="00635E40">
            <w:pPr>
              <w:pStyle w:val="TableText"/>
              <w:keepNext/>
              <w:keepLines/>
              <w:jc w:val="center"/>
              <w:rPr>
                <w:b/>
              </w:rPr>
            </w:pPr>
            <w:r w:rsidRPr="00294334">
              <w:rPr>
                <w:b/>
              </w:rPr>
              <w:t>4,715</w:t>
            </w:r>
          </w:p>
        </w:tc>
        <w:tc>
          <w:tcPr>
            <w:tcW w:w="831" w:type="pct"/>
            <w:shd w:val="clear" w:color="auto" w:fill="A6A6A6" w:themeFill="background1" w:themeFillShade="A6"/>
          </w:tcPr>
          <w:p w14:paraId="64318D7B" w14:textId="77777777" w:rsidR="00654AC7" w:rsidRPr="00294334" w:rsidRDefault="00654AC7" w:rsidP="00635E40">
            <w:pPr>
              <w:pStyle w:val="TableText"/>
              <w:keepNext/>
              <w:keepLines/>
              <w:jc w:val="center"/>
              <w:rPr>
                <w:b/>
              </w:rPr>
            </w:pPr>
            <w:r w:rsidRPr="00294334">
              <w:rPr>
                <w:b/>
              </w:rPr>
              <w:t>9,845</w:t>
            </w:r>
          </w:p>
        </w:tc>
      </w:tr>
      <w:tr w:rsidR="00654AC7" w14:paraId="4EBBF455" w14:textId="77777777" w:rsidTr="00047390">
        <w:tc>
          <w:tcPr>
            <w:tcW w:w="950" w:type="pct"/>
          </w:tcPr>
          <w:p w14:paraId="1272E6B3" w14:textId="77777777" w:rsidR="00654AC7" w:rsidRDefault="00654AC7" w:rsidP="00635E40">
            <w:pPr>
              <w:pStyle w:val="TableText"/>
              <w:keepNext/>
              <w:keepLines/>
            </w:pPr>
            <w:r>
              <w:t>Sick Leave</w:t>
            </w:r>
          </w:p>
        </w:tc>
        <w:tc>
          <w:tcPr>
            <w:tcW w:w="718" w:type="pct"/>
          </w:tcPr>
          <w:p w14:paraId="5D092BCE" w14:textId="77777777" w:rsidR="00654AC7" w:rsidRDefault="00654AC7" w:rsidP="00635E40">
            <w:pPr>
              <w:pStyle w:val="TableText"/>
              <w:keepNext/>
              <w:keepLines/>
              <w:jc w:val="center"/>
            </w:pPr>
            <w:r>
              <w:t>30,432</w:t>
            </w:r>
          </w:p>
        </w:tc>
        <w:tc>
          <w:tcPr>
            <w:tcW w:w="834" w:type="pct"/>
          </w:tcPr>
          <w:p w14:paraId="43E26251" w14:textId="77777777" w:rsidR="00654AC7" w:rsidRDefault="00654AC7" w:rsidP="00635E40">
            <w:pPr>
              <w:pStyle w:val="TableText"/>
              <w:keepNext/>
              <w:keepLines/>
              <w:jc w:val="center"/>
            </w:pPr>
            <w:r>
              <w:t>7,203</w:t>
            </w:r>
          </w:p>
        </w:tc>
        <w:tc>
          <w:tcPr>
            <w:tcW w:w="833" w:type="pct"/>
          </w:tcPr>
          <w:p w14:paraId="5EE28727" w14:textId="77777777" w:rsidR="00654AC7" w:rsidRDefault="00654AC7" w:rsidP="00635E40">
            <w:pPr>
              <w:pStyle w:val="TableText"/>
              <w:keepNext/>
              <w:keepLines/>
              <w:jc w:val="center"/>
            </w:pPr>
            <w:r>
              <w:t>12,578</w:t>
            </w:r>
          </w:p>
        </w:tc>
        <w:tc>
          <w:tcPr>
            <w:tcW w:w="834" w:type="pct"/>
          </w:tcPr>
          <w:p w14:paraId="3367D92E" w14:textId="77777777" w:rsidR="00654AC7" w:rsidRDefault="00654AC7" w:rsidP="00635E40">
            <w:pPr>
              <w:pStyle w:val="TableText"/>
              <w:keepNext/>
              <w:keepLines/>
              <w:jc w:val="center"/>
            </w:pPr>
            <w:r>
              <w:t>4,179</w:t>
            </w:r>
          </w:p>
        </w:tc>
        <w:tc>
          <w:tcPr>
            <w:tcW w:w="831" w:type="pct"/>
          </w:tcPr>
          <w:p w14:paraId="320396C6" w14:textId="77777777" w:rsidR="00654AC7" w:rsidRDefault="00654AC7" w:rsidP="00635E40">
            <w:pPr>
              <w:pStyle w:val="TableText"/>
              <w:keepNext/>
              <w:keepLines/>
              <w:jc w:val="center"/>
            </w:pPr>
            <w:r>
              <w:t>6,473</w:t>
            </w:r>
          </w:p>
        </w:tc>
      </w:tr>
      <w:tr w:rsidR="00654AC7" w14:paraId="4BAF8B4C"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tcPr>
          <w:p w14:paraId="1B9948E2" w14:textId="77777777" w:rsidR="00654AC7" w:rsidRDefault="00654AC7" w:rsidP="00047390">
            <w:pPr>
              <w:pStyle w:val="TableText"/>
            </w:pPr>
            <w:r>
              <w:t xml:space="preserve">Leave w/o Pay </w:t>
            </w:r>
          </w:p>
        </w:tc>
        <w:tc>
          <w:tcPr>
            <w:tcW w:w="718" w:type="pct"/>
          </w:tcPr>
          <w:p w14:paraId="628DBE12" w14:textId="77777777" w:rsidR="00654AC7" w:rsidRDefault="00654AC7" w:rsidP="00047390">
            <w:pPr>
              <w:pStyle w:val="TableText"/>
              <w:jc w:val="center"/>
            </w:pPr>
            <w:r>
              <w:t>18,882</w:t>
            </w:r>
          </w:p>
        </w:tc>
        <w:tc>
          <w:tcPr>
            <w:tcW w:w="834" w:type="pct"/>
          </w:tcPr>
          <w:p w14:paraId="72C1ACAD" w14:textId="77777777" w:rsidR="00654AC7" w:rsidRDefault="00654AC7" w:rsidP="00047390">
            <w:pPr>
              <w:pStyle w:val="TableText"/>
              <w:jc w:val="center"/>
            </w:pPr>
            <w:r>
              <w:t>5,706</w:t>
            </w:r>
          </w:p>
        </w:tc>
        <w:tc>
          <w:tcPr>
            <w:tcW w:w="833" w:type="pct"/>
          </w:tcPr>
          <w:p w14:paraId="0B0A5785" w14:textId="77777777" w:rsidR="00654AC7" w:rsidRDefault="00654AC7" w:rsidP="00047390">
            <w:pPr>
              <w:pStyle w:val="TableText"/>
              <w:jc w:val="center"/>
            </w:pPr>
            <w:r>
              <w:t>9,604</w:t>
            </w:r>
          </w:p>
        </w:tc>
        <w:tc>
          <w:tcPr>
            <w:tcW w:w="834" w:type="pct"/>
          </w:tcPr>
          <w:p w14:paraId="26CC47BC" w14:textId="77777777" w:rsidR="00654AC7" w:rsidRDefault="00654AC7" w:rsidP="00047390">
            <w:pPr>
              <w:pStyle w:val="TableText"/>
              <w:jc w:val="center"/>
            </w:pPr>
            <w:r>
              <w:t>439</w:t>
            </w:r>
          </w:p>
        </w:tc>
        <w:tc>
          <w:tcPr>
            <w:tcW w:w="831" w:type="pct"/>
          </w:tcPr>
          <w:p w14:paraId="05E8B68A" w14:textId="77777777" w:rsidR="00654AC7" w:rsidRDefault="00654AC7" w:rsidP="00047390">
            <w:pPr>
              <w:pStyle w:val="TableText"/>
              <w:jc w:val="center"/>
            </w:pPr>
            <w:r>
              <w:t>3,133</w:t>
            </w:r>
          </w:p>
        </w:tc>
      </w:tr>
      <w:tr w:rsidR="00654AC7" w14:paraId="2D8D72F8" w14:textId="77777777" w:rsidTr="00047390">
        <w:tc>
          <w:tcPr>
            <w:tcW w:w="950" w:type="pct"/>
          </w:tcPr>
          <w:p w14:paraId="287FC12C" w14:textId="77777777" w:rsidR="00654AC7" w:rsidRDefault="00654AC7" w:rsidP="00047390">
            <w:pPr>
              <w:pStyle w:val="TableText"/>
            </w:pPr>
            <w:r>
              <w:t>Assault Leave</w:t>
            </w:r>
          </w:p>
        </w:tc>
        <w:tc>
          <w:tcPr>
            <w:tcW w:w="718" w:type="pct"/>
          </w:tcPr>
          <w:p w14:paraId="4822714D" w14:textId="77777777" w:rsidR="00654AC7" w:rsidRDefault="00654AC7" w:rsidP="00047390">
            <w:pPr>
              <w:pStyle w:val="TableText"/>
              <w:jc w:val="center"/>
            </w:pPr>
            <w:r>
              <w:t>1,257</w:t>
            </w:r>
          </w:p>
        </w:tc>
        <w:tc>
          <w:tcPr>
            <w:tcW w:w="834" w:type="pct"/>
          </w:tcPr>
          <w:p w14:paraId="6C617947" w14:textId="77777777" w:rsidR="00654AC7" w:rsidRDefault="00654AC7" w:rsidP="00047390">
            <w:pPr>
              <w:pStyle w:val="TableText"/>
              <w:jc w:val="center"/>
            </w:pPr>
            <w:r>
              <w:t>976</w:t>
            </w:r>
          </w:p>
        </w:tc>
        <w:tc>
          <w:tcPr>
            <w:tcW w:w="833" w:type="pct"/>
          </w:tcPr>
          <w:p w14:paraId="72767E9E" w14:textId="77777777" w:rsidR="00654AC7" w:rsidRDefault="00654AC7" w:rsidP="00047390">
            <w:pPr>
              <w:pStyle w:val="TableText"/>
              <w:jc w:val="center"/>
            </w:pPr>
            <w:r>
              <w:t>281</w:t>
            </w:r>
          </w:p>
        </w:tc>
        <w:tc>
          <w:tcPr>
            <w:tcW w:w="834" w:type="pct"/>
          </w:tcPr>
          <w:p w14:paraId="46E46DE8" w14:textId="77777777" w:rsidR="00654AC7" w:rsidRDefault="00654AC7" w:rsidP="00047390">
            <w:pPr>
              <w:pStyle w:val="TableText"/>
              <w:jc w:val="center"/>
            </w:pPr>
            <w:r>
              <w:t>0</w:t>
            </w:r>
          </w:p>
        </w:tc>
        <w:tc>
          <w:tcPr>
            <w:tcW w:w="831" w:type="pct"/>
          </w:tcPr>
          <w:p w14:paraId="44593685" w14:textId="77777777" w:rsidR="00654AC7" w:rsidRDefault="00654AC7" w:rsidP="00047390">
            <w:pPr>
              <w:pStyle w:val="TableText"/>
              <w:jc w:val="center"/>
            </w:pPr>
            <w:r>
              <w:t>0</w:t>
            </w:r>
          </w:p>
        </w:tc>
      </w:tr>
      <w:tr w:rsidR="00654AC7" w14:paraId="35153C52"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tcPr>
          <w:p w14:paraId="26806817" w14:textId="77777777" w:rsidR="00654AC7" w:rsidRDefault="00654AC7" w:rsidP="00047390">
            <w:pPr>
              <w:pStyle w:val="TableText"/>
            </w:pPr>
            <w:r>
              <w:t xml:space="preserve">Bereavement Leave  </w:t>
            </w:r>
          </w:p>
        </w:tc>
        <w:tc>
          <w:tcPr>
            <w:tcW w:w="718" w:type="pct"/>
          </w:tcPr>
          <w:p w14:paraId="27260596" w14:textId="77777777" w:rsidR="00654AC7" w:rsidRDefault="00654AC7" w:rsidP="00047390">
            <w:pPr>
              <w:pStyle w:val="TableText"/>
              <w:jc w:val="center"/>
            </w:pPr>
            <w:r>
              <w:t>659</w:t>
            </w:r>
          </w:p>
        </w:tc>
        <w:tc>
          <w:tcPr>
            <w:tcW w:w="834" w:type="pct"/>
          </w:tcPr>
          <w:p w14:paraId="78B10D0D" w14:textId="77777777" w:rsidR="00654AC7" w:rsidRDefault="00654AC7" w:rsidP="00047390">
            <w:pPr>
              <w:pStyle w:val="TableText"/>
              <w:jc w:val="center"/>
            </w:pPr>
            <w:r>
              <w:t>192</w:t>
            </w:r>
          </w:p>
        </w:tc>
        <w:tc>
          <w:tcPr>
            <w:tcW w:w="833" w:type="pct"/>
          </w:tcPr>
          <w:p w14:paraId="3B4EA974" w14:textId="77777777" w:rsidR="00654AC7" w:rsidRDefault="00654AC7" w:rsidP="00047390">
            <w:pPr>
              <w:pStyle w:val="TableText"/>
              <w:jc w:val="center"/>
            </w:pPr>
            <w:r>
              <w:t>268</w:t>
            </w:r>
          </w:p>
        </w:tc>
        <w:tc>
          <w:tcPr>
            <w:tcW w:w="834" w:type="pct"/>
          </w:tcPr>
          <w:p w14:paraId="53C79930" w14:textId="77777777" w:rsidR="00654AC7" w:rsidRDefault="00654AC7" w:rsidP="00047390">
            <w:pPr>
              <w:pStyle w:val="TableText"/>
              <w:jc w:val="center"/>
            </w:pPr>
            <w:r>
              <w:t>97</w:t>
            </w:r>
          </w:p>
        </w:tc>
        <w:tc>
          <w:tcPr>
            <w:tcW w:w="831" w:type="pct"/>
          </w:tcPr>
          <w:p w14:paraId="2B4C9C4F" w14:textId="77777777" w:rsidR="00654AC7" w:rsidRDefault="00654AC7" w:rsidP="00047390">
            <w:pPr>
              <w:pStyle w:val="TableText"/>
              <w:jc w:val="center"/>
            </w:pPr>
            <w:r>
              <w:t>102</w:t>
            </w:r>
          </w:p>
        </w:tc>
      </w:tr>
      <w:tr w:rsidR="00654AC7" w14:paraId="16EAE5CB" w14:textId="77777777" w:rsidTr="00047390">
        <w:tc>
          <w:tcPr>
            <w:tcW w:w="950" w:type="pct"/>
          </w:tcPr>
          <w:p w14:paraId="0AB7E36B" w14:textId="77777777" w:rsidR="00654AC7" w:rsidRDefault="00654AC7" w:rsidP="00047390">
            <w:pPr>
              <w:pStyle w:val="TableText"/>
            </w:pPr>
            <w:r>
              <w:t xml:space="preserve">Miscellaneous </w:t>
            </w:r>
          </w:p>
        </w:tc>
        <w:tc>
          <w:tcPr>
            <w:tcW w:w="718" w:type="pct"/>
          </w:tcPr>
          <w:p w14:paraId="4B9C3A3D" w14:textId="77777777" w:rsidR="00654AC7" w:rsidRDefault="00654AC7" w:rsidP="00047390">
            <w:pPr>
              <w:pStyle w:val="TableText"/>
              <w:jc w:val="center"/>
            </w:pPr>
            <w:r>
              <w:t>377</w:t>
            </w:r>
          </w:p>
        </w:tc>
        <w:tc>
          <w:tcPr>
            <w:tcW w:w="834" w:type="pct"/>
          </w:tcPr>
          <w:p w14:paraId="4373231B" w14:textId="77777777" w:rsidR="00654AC7" w:rsidRDefault="00654AC7" w:rsidP="00047390">
            <w:pPr>
              <w:pStyle w:val="TableText"/>
              <w:jc w:val="center"/>
            </w:pPr>
            <w:r>
              <w:t>190</w:t>
            </w:r>
          </w:p>
        </w:tc>
        <w:tc>
          <w:tcPr>
            <w:tcW w:w="833" w:type="pct"/>
          </w:tcPr>
          <w:p w14:paraId="3316A0B2" w14:textId="77777777" w:rsidR="00654AC7" w:rsidRDefault="00654AC7" w:rsidP="00047390">
            <w:pPr>
              <w:pStyle w:val="TableText"/>
              <w:jc w:val="center"/>
            </w:pPr>
            <w:r>
              <w:t>50</w:t>
            </w:r>
          </w:p>
        </w:tc>
        <w:tc>
          <w:tcPr>
            <w:tcW w:w="834" w:type="pct"/>
          </w:tcPr>
          <w:p w14:paraId="061F96FF" w14:textId="77777777" w:rsidR="00654AC7" w:rsidRDefault="00654AC7" w:rsidP="00047390">
            <w:pPr>
              <w:pStyle w:val="TableText"/>
              <w:jc w:val="center"/>
            </w:pPr>
            <w:r>
              <w:t>0</w:t>
            </w:r>
          </w:p>
        </w:tc>
        <w:tc>
          <w:tcPr>
            <w:tcW w:w="831" w:type="pct"/>
          </w:tcPr>
          <w:p w14:paraId="04F06F4F" w14:textId="77777777" w:rsidR="00654AC7" w:rsidRDefault="00654AC7" w:rsidP="00047390">
            <w:pPr>
              <w:pStyle w:val="TableText"/>
              <w:jc w:val="center"/>
            </w:pPr>
            <w:r>
              <w:t>137</w:t>
            </w:r>
          </w:p>
        </w:tc>
      </w:tr>
      <w:tr w:rsidR="00654AC7" w14:paraId="38FFE341" w14:textId="77777777" w:rsidTr="00047390">
        <w:trPr>
          <w:cnfStyle w:val="000000100000" w:firstRow="0" w:lastRow="0" w:firstColumn="0" w:lastColumn="0" w:oddVBand="0" w:evenVBand="0" w:oddHBand="1" w:evenHBand="0" w:firstRowFirstColumn="0" w:firstRowLastColumn="0" w:lastRowFirstColumn="0" w:lastRowLastColumn="0"/>
        </w:trPr>
        <w:tc>
          <w:tcPr>
            <w:tcW w:w="950" w:type="pct"/>
            <w:tcBorders>
              <w:bottom w:val="single" w:sz="2" w:space="0" w:color="808080"/>
            </w:tcBorders>
            <w:shd w:val="clear" w:color="auto" w:fill="A6A6A6" w:themeFill="background1" w:themeFillShade="A6"/>
          </w:tcPr>
          <w:p w14:paraId="4C7E6A26" w14:textId="77777777" w:rsidR="00654AC7" w:rsidRPr="00294334" w:rsidRDefault="00654AC7" w:rsidP="00047390">
            <w:pPr>
              <w:pStyle w:val="TableText"/>
              <w:rPr>
                <w:b/>
              </w:rPr>
            </w:pPr>
            <w:r w:rsidRPr="00294334">
              <w:rPr>
                <w:b/>
              </w:rPr>
              <w:t xml:space="preserve">Total Leave </w:t>
            </w:r>
          </w:p>
        </w:tc>
        <w:tc>
          <w:tcPr>
            <w:tcW w:w="718" w:type="pct"/>
            <w:tcBorders>
              <w:bottom w:val="single" w:sz="2" w:space="0" w:color="808080"/>
            </w:tcBorders>
            <w:shd w:val="clear" w:color="auto" w:fill="A6A6A6" w:themeFill="background1" w:themeFillShade="A6"/>
          </w:tcPr>
          <w:p w14:paraId="28BAFFA2" w14:textId="77777777" w:rsidR="00654AC7" w:rsidRPr="007F4E92" w:rsidRDefault="00654AC7" w:rsidP="00047390">
            <w:pPr>
              <w:pStyle w:val="TableText"/>
              <w:jc w:val="center"/>
              <w:rPr>
                <w:b/>
              </w:rPr>
            </w:pPr>
            <w:r w:rsidRPr="007F4E92">
              <w:rPr>
                <w:b/>
              </w:rPr>
              <w:t>119,510</w:t>
            </w:r>
          </w:p>
        </w:tc>
        <w:tc>
          <w:tcPr>
            <w:tcW w:w="834" w:type="pct"/>
            <w:tcBorders>
              <w:bottom w:val="single" w:sz="2" w:space="0" w:color="808080"/>
            </w:tcBorders>
            <w:shd w:val="clear" w:color="auto" w:fill="A6A6A6" w:themeFill="background1" w:themeFillShade="A6"/>
          </w:tcPr>
          <w:p w14:paraId="28EDBCCD" w14:textId="77777777" w:rsidR="00654AC7" w:rsidRPr="00294334" w:rsidRDefault="00654AC7" w:rsidP="00047390">
            <w:pPr>
              <w:pStyle w:val="TableText"/>
              <w:jc w:val="center"/>
              <w:rPr>
                <w:b/>
              </w:rPr>
            </w:pPr>
            <w:r w:rsidRPr="00294334">
              <w:rPr>
                <w:b/>
              </w:rPr>
              <w:t>30,287</w:t>
            </w:r>
          </w:p>
        </w:tc>
        <w:tc>
          <w:tcPr>
            <w:tcW w:w="833" w:type="pct"/>
            <w:tcBorders>
              <w:bottom w:val="single" w:sz="2" w:space="0" w:color="808080"/>
            </w:tcBorders>
            <w:shd w:val="clear" w:color="auto" w:fill="A6A6A6" w:themeFill="background1" w:themeFillShade="A6"/>
          </w:tcPr>
          <w:p w14:paraId="4370BADF" w14:textId="77777777" w:rsidR="00654AC7" w:rsidRPr="00294334" w:rsidRDefault="00654AC7" w:rsidP="00047390">
            <w:pPr>
              <w:pStyle w:val="TableText"/>
              <w:jc w:val="center"/>
              <w:rPr>
                <w:b/>
              </w:rPr>
            </w:pPr>
            <w:r w:rsidRPr="00294334">
              <w:rPr>
                <w:b/>
              </w:rPr>
              <w:t>52,718</w:t>
            </w:r>
          </w:p>
        </w:tc>
        <w:tc>
          <w:tcPr>
            <w:tcW w:w="834" w:type="pct"/>
            <w:tcBorders>
              <w:bottom w:val="single" w:sz="2" w:space="0" w:color="808080"/>
            </w:tcBorders>
            <w:shd w:val="clear" w:color="auto" w:fill="A6A6A6" w:themeFill="background1" w:themeFillShade="A6"/>
          </w:tcPr>
          <w:p w14:paraId="56BDD1E8" w14:textId="77777777" w:rsidR="00654AC7" w:rsidRPr="00294334" w:rsidRDefault="00654AC7" w:rsidP="00047390">
            <w:pPr>
              <w:pStyle w:val="TableText"/>
              <w:jc w:val="center"/>
              <w:rPr>
                <w:b/>
              </w:rPr>
            </w:pPr>
            <w:r w:rsidRPr="00294334">
              <w:rPr>
                <w:b/>
              </w:rPr>
              <w:t>13,638</w:t>
            </w:r>
          </w:p>
        </w:tc>
        <w:tc>
          <w:tcPr>
            <w:tcW w:w="831" w:type="pct"/>
            <w:tcBorders>
              <w:bottom w:val="single" w:sz="2" w:space="0" w:color="808080"/>
            </w:tcBorders>
            <w:shd w:val="clear" w:color="auto" w:fill="A6A6A6" w:themeFill="background1" w:themeFillShade="A6"/>
          </w:tcPr>
          <w:p w14:paraId="4B2A8367" w14:textId="77777777" w:rsidR="00654AC7" w:rsidRPr="00294334" w:rsidRDefault="00654AC7" w:rsidP="00047390">
            <w:pPr>
              <w:pStyle w:val="TableText"/>
              <w:jc w:val="center"/>
              <w:rPr>
                <w:b/>
              </w:rPr>
            </w:pPr>
            <w:r w:rsidRPr="00294334">
              <w:rPr>
                <w:b/>
              </w:rPr>
              <w:t>22,871</w:t>
            </w:r>
          </w:p>
        </w:tc>
      </w:tr>
      <w:tr w:rsidR="00654AC7" w:rsidRPr="00294334" w14:paraId="6A9AB57C" w14:textId="77777777" w:rsidTr="00047390">
        <w:tc>
          <w:tcPr>
            <w:tcW w:w="950" w:type="pct"/>
            <w:tcBorders>
              <w:top w:val="single" w:sz="2" w:space="0" w:color="808080"/>
              <w:bottom w:val="single" w:sz="12" w:space="0" w:color="808080"/>
            </w:tcBorders>
            <w:shd w:val="clear" w:color="auto" w:fill="FFFFFF" w:themeFill="background1"/>
          </w:tcPr>
          <w:p w14:paraId="4BBE107A" w14:textId="77777777" w:rsidR="00654AC7" w:rsidRPr="00294334" w:rsidRDefault="00654AC7" w:rsidP="00047390">
            <w:pPr>
              <w:pStyle w:val="TableText"/>
              <w:rPr>
                <w:b/>
              </w:rPr>
            </w:pPr>
            <w:r w:rsidRPr="00294334">
              <w:rPr>
                <w:b/>
              </w:rPr>
              <w:t>Leave Expressed as FTEs</w:t>
            </w:r>
          </w:p>
        </w:tc>
        <w:tc>
          <w:tcPr>
            <w:tcW w:w="718" w:type="pct"/>
            <w:tcBorders>
              <w:top w:val="single" w:sz="2" w:space="0" w:color="808080"/>
              <w:bottom w:val="single" w:sz="12" w:space="0" w:color="808080"/>
            </w:tcBorders>
            <w:shd w:val="clear" w:color="auto" w:fill="FFFFFF" w:themeFill="background1"/>
            <w:vAlign w:val="center"/>
          </w:tcPr>
          <w:p w14:paraId="558AE652" w14:textId="77777777" w:rsidR="00654AC7" w:rsidRPr="00294334" w:rsidRDefault="00654AC7" w:rsidP="00047390">
            <w:pPr>
              <w:pStyle w:val="TableText"/>
              <w:jc w:val="center"/>
              <w:rPr>
                <w:b/>
              </w:rPr>
            </w:pPr>
            <w:r w:rsidRPr="00294334">
              <w:rPr>
                <w:b/>
              </w:rPr>
              <w:t>57.5</w:t>
            </w:r>
          </w:p>
        </w:tc>
        <w:tc>
          <w:tcPr>
            <w:tcW w:w="834" w:type="pct"/>
            <w:tcBorders>
              <w:top w:val="single" w:sz="2" w:space="0" w:color="808080"/>
              <w:bottom w:val="single" w:sz="12" w:space="0" w:color="808080"/>
            </w:tcBorders>
            <w:shd w:val="clear" w:color="auto" w:fill="FFFFFF" w:themeFill="background1"/>
            <w:vAlign w:val="center"/>
          </w:tcPr>
          <w:p w14:paraId="4CB2B500" w14:textId="77777777" w:rsidR="00654AC7" w:rsidRPr="00294334" w:rsidRDefault="00654AC7" w:rsidP="00047390">
            <w:pPr>
              <w:pStyle w:val="TableText"/>
              <w:jc w:val="center"/>
              <w:rPr>
                <w:b/>
              </w:rPr>
            </w:pPr>
            <w:r w:rsidRPr="00294334">
              <w:rPr>
                <w:b/>
              </w:rPr>
              <w:t>14.6</w:t>
            </w:r>
          </w:p>
        </w:tc>
        <w:tc>
          <w:tcPr>
            <w:tcW w:w="833" w:type="pct"/>
            <w:tcBorders>
              <w:top w:val="single" w:sz="2" w:space="0" w:color="808080"/>
              <w:bottom w:val="single" w:sz="12" w:space="0" w:color="808080"/>
            </w:tcBorders>
            <w:shd w:val="clear" w:color="auto" w:fill="FFFFFF" w:themeFill="background1"/>
            <w:vAlign w:val="center"/>
          </w:tcPr>
          <w:p w14:paraId="7ED69956" w14:textId="77777777" w:rsidR="00654AC7" w:rsidRPr="00294334" w:rsidRDefault="00654AC7" w:rsidP="00047390">
            <w:pPr>
              <w:pStyle w:val="TableText"/>
              <w:jc w:val="center"/>
              <w:rPr>
                <w:b/>
              </w:rPr>
            </w:pPr>
            <w:r w:rsidRPr="00294334">
              <w:rPr>
                <w:b/>
              </w:rPr>
              <w:t>25.3</w:t>
            </w:r>
          </w:p>
        </w:tc>
        <w:tc>
          <w:tcPr>
            <w:tcW w:w="834" w:type="pct"/>
            <w:tcBorders>
              <w:top w:val="single" w:sz="2" w:space="0" w:color="808080"/>
              <w:bottom w:val="single" w:sz="12" w:space="0" w:color="808080"/>
            </w:tcBorders>
            <w:shd w:val="clear" w:color="auto" w:fill="FFFFFF" w:themeFill="background1"/>
            <w:vAlign w:val="center"/>
          </w:tcPr>
          <w:p w14:paraId="09C57E5E" w14:textId="77777777" w:rsidR="00654AC7" w:rsidRPr="00294334" w:rsidRDefault="00654AC7" w:rsidP="00047390">
            <w:pPr>
              <w:pStyle w:val="TableText"/>
              <w:jc w:val="center"/>
              <w:rPr>
                <w:b/>
              </w:rPr>
            </w:pPr>
            <w:r w:rsidRPr="00294334">
              <w:rPr>
                <w:b/>
              </w:rPr>
              <w:t>6.6</w:t>
            </w:r>
          </w:p>
        </w:tc>
        <w:tc>
          <w:tcPr>
            <w:tcW w:w="831" w:type="pct"/>
            <w:tcBorders>
              <w:top w:val="single" w:sz="2" w:space="0" w:color="808080"/>
              <w:bottom w:val="single" w:sz="12" w:space="0" w:color="808080"/>
            </w:tcBorders>
            <w:shd w:val="clear" w:color="auto" w:fill="FFFFFF" w:themeFill="background1"/>
            <w:vAlign w:val="center"/>
          </w:tcPr>
          <w:p w14:paraId="788D9504" w14:textId="77777777" w:rsidR="00654AC7" w:rsidRPr="00294334" w:rsidRDefault="00654AC7" w:rsidP="00047390">
            <w:pPr>
              <w:pStyle w:val="TableText"/>
              <w:jc w:val="center"/>
              <w:rPr>
                <w:b/>
              </w:rPr>
            </w:pPr>
            <w:r>
              <w:rPr>
                <w:b/>
              </w:rPr>
              <w:t>11.0</w:t>
            </w:r>
          </w:p>
        </w:tc>
      </w:tr>
    </w:tbl>
    <w:p w14:paraId="4C3139C7" w14:textId="77777777" w:rsidR="00654AC7" w:rsidRPr="00553011" w:rsidRDefault="00654AC7" w:rsidP="00654AC7">
      <w:pPr>
        <w:pStyle w:val="TableText"/>
        <w:rPr>
          <w:i/>
        </w:rPr>
      </w:pPr>
      <w:r>
        <w:rPr>
          <w:i/>
        </w:rPr>
        <w:t>Source Data</w:t>
      </w:r>
      <w:r w:rsidRPr="00DC5C16">
        <w:rPr>
          <w:i/>
        </w:rPr>
        <w:t xml:space="preserve">: June 2017 – May 2018 </w:t>
      </w:r>
    </w:p>
    <w:p w14:paraId="17825812" w14:textId="77777777" w:rsidR="00654AC7" w:rsidRDefault="00654AC7" w:rsidP="00741BE1">
      <w:r>
        <w:t>As seen in the exhibit, vacation and comp time are, b</w:t>
      </w:r>
      <w:r w:rsidR="00806652">
        <w:t>y</w:t>
      </w:r>
      <w:r>
        <w:t xml:space="preserve"> far, the two categories of planned leave with the most recorded hours. For unplanned leave, the most hours were recorded in sick leave and leave without pay. The major implication from the table is that, overall, the amount of leave taken equals approximately 57.5 full time employees (119,510 hours of total leave divided by 2,080, the average number of work hours in a year). This means that JR’s staffing plan should account for 57.5 </w:t>
      </w:r>
      <w:r w:rsidR="000974E4">
        <w:t>full-time equivalents (</w:t>
      </w:r>
      <w:r>
        <w:t>FTEs</w:t>
      </w:r>
      <w:r w:rsidR="000974E4">
        <w:t>)</w:t>
      </w:r>
      <w:r>
        <w:t xml:space="preserve"> represented by the aggregate number of leave hours taken by J</w:t>
      </w:r>
      <w:r w:rsidR="000974E4">
        <w:t>uvenile Rehabilitation Residential Counselors (J</w:t>
      </w:r>
      <w:r>
        <w:t>RRCs</w:t>
      </w:r>
      <w:r w:rsidR="000974E4">
        <w:t>)</w:t>
      </w:r>
      <w:r>
        <w:t xml:space="preserve">, </w:t>
      </w:r>
      <w:r w:rsidR="003728A2">
        <w:t>Juvenile Rehabilitation Counselor Assistants (</w:t>
      </w:r>
      <w:r>
        <w:t>JRCAs</w:t>
      </w:r>
      <w:r w:rsidR="003728A2">
        <w:t>)</w:t>
      </w:r>
      <w:r>
        <w:t>, and</w:t>
      </w:r>
      <w:r w:rsidR="003728A2">
        <w:t xml:space="preserve"> Juvenile Rehabilitation Security Officer 1s (</w:t>
      </w:r>
      <w:r>
        <w:t>JRSOs</w:t>
      </w:r>
      <w:r w:rsidR="003728A2">
        <w:t>)</w:t>
      </w:r>
      <w:r w:rsidR="00A3786D">
        <w:t xml:space="preserve">. </w:t>
      </w:r>
      <w:r>
        <w:t xml:space="preserve"> </w:t>
      </w:r>
    </w:p>
    <w:p w14:paraId="7E7956AB" w14:textId="77777777" w:rsidR="00654AC7" w:rsidRPr="004378CD" w:rsidRDefault="00654AC7" w:rsidP="00362B0E">
      <w:pPr>
        <w:spacing w:after="60"/>
      </w:pPr>
      <w:r>
        <w:t xml:space="preserve">At JR’s request, we also looked at the amount of leave staff take as the result of a worker’s compensation claim and the amount leave </w:t>
      </w:r>
      <w:r w:rsidR="003728A2">
        <w:t>taken under the Family Medical L</w:t>
      </w:r>
      <w:r>
        <w:t>eave Act (FMLA). In the data set, leave resulting from a worker’s compensation claim is indicated as “Industrial</w:t>
      </w:r>
      <w:r w:rsidR="001169E8">
        <w:t xml:space="preserve"> Leave</w:t>
      </w:r>
      <w:r w:rsidR="00CE77EE">
        <w:t>”</w:t>
      </w:r>
      <w:r>
        <w:t xml:space="preserve"> (L&amp;I)” and is a sub-type of the</w:t>
      </w:r>
      <w:r w:rsidR="00806652">
        <w:t xml:space="preserve"> leave without pay (</w:t>
      </w:r>
      <w:r>
        <w:t>LWOP</w:t>
      </w:r>
      <w:r w:rsidR="00806652">
        <w:t>)</w:t>
      </w:r>
      <w:r>
        <w:t xml:space="preserve"> category</w:t>
      </w:r>
      <w:r w:rsidR="00A3786D">
        <w:t xml:space="preserve">. </w:t>
      </w:r>
      <w:r>
        <w:t>For FMLA, per the C</w:t>
      </w:r>
      <w:r w:rsidR="00806652">
        <w:t>ollective Bargaining Agreement (C</w:t>
      </w:r>
      <w:r>
        <w:t>BA</w:t>
      </w:r>
      <w:r w:rsidR="00806652">
        <w:t>)</w:t>
      </w:r>
      <w:r>
        <w:t>, employees with at least 12 months of service and who have worked at least 1,250 hours in the prior 12 months can request up to 12 weeks of FMLA leave during a 12-month period</w:t>
      </w:r>
      <w:r w:rsidR="00C130F7">
        <w:t>.</w:t>
      </w:r>
      <w:r>
        <w:rPr>
          <w:rStyle w:val="FootnoteReference"/>
        </w:rPr>
        <w:footnoteReference w:id="72"/>
      </w:r>
      <w:r w:rsidR="00C130F7">
        <w:t xml:space="preserve"> </w:t>
      </w:r>
      <w:r>
        <w:t>FMLA is unpaid leave. However, per the CBA, any paid or unpaid absences the employee has can run concurrently with the employee’s FMLA leave, and therefore</w:t>
      </w:r>
      <w:r w:rsidR="00B34AFE">
        <w:t>,</w:t>
      </w:r>
      <w:r>
        <w:t xml:space="preserve"> the employee may receive compensation while on FM</w:t>
      </w:r>
      <w:r w:rsidR="00B34AFE">
        <w:t>LA</w:t>
      </w:r>
      <w:r>
        <w:t xml:space="preserve">. As a result, FMLA leave is designed as a sub-leave type, and can be included in the multiple leave type categories (e.g., LWOP, sick leave, vacation, etc.). We used the FMLA records from all categories. </w:t>
      </w:r>
      <w:r w:rsidRPr="004378CD">
        <w:t xml:space="preserve">Exhibit </w:t>
      </w:r>
      <w:r w:rsidR="00C130F7">
        <w:t>5</w:t>
      </w:r>
      <w:r w:rsidR="00513631" w:rsidRPr="004378CD">
        <w:t>-11</w:t>
      </w:r>
      <w:r w:rsidRPr="004378CD">
        <w:t xml:space="preserve"> presents information regarding L&amp;I and FMLA leave. </w:t>
      </w:r>
    </w:p>
    <w:p w14:paraId="0FFEDDCD" w14:textId="77777777" w:rsidR="00654AC7" w:rsidRDefault="00654AC7" w:rsidP="00362B0E">
      <w:pPr>
        <w:pStyle w:val="Caption"/>
        <w:spacing w:after="0"/>
      </w:pPr>
      <w:r w:rsidRPr="004378CD">
        <w:t xml:space="preserve">Exhibit </w:t>
      </w:r>
      <w:r w:rsidR="00C130F7">
        <w:t>5</w:t>
      </w:r>
      <w:r w:rsidR="00513631" w:rsidRPr="004378CD">
        <w:t>-11</w:t>
      </w:r>
      <w:r w:rsidRPr="004378CD">
        <w:t>. Planned and Unplanned</w:t>
      </w:r>
      <w:r>
        <w:t xml:space="preserve"> Leave Taken by JR Direct Services Staff</w:t>
      </w:r>
    </w:p>
    <w:tbl>
      <w:tblPr>
        <w:tblStyle w:val="HyzerTable"/>
        <w:tblW w:w="3273" w:type="pct"/>
        <w:tblLook w:val="04A0" w:firstRow="1" w:lastRow="0" w:firstColumn="1" w:lastColumn="0" w:noHBand="0" w:noVBand="1"/>
      </w:tblPr>
      <w:tblGrid>
        <w:gridCol w:w="3223"/>
        <w:gridCol w:w="1453"/>
        <w:gridCol w:w="1451"/>
      </w:tblGrid>
      <w:tr w:rsidR="00654AC7" w14:paraId="485551E0" w14:textId="77777777" w:rsidTr="00DF0C28">
        <w:trPr>
          <w:cnfStyle w:val="100000000000" w:firstRow="1" w:lastRow="0" w:firstColumn="0" w:lastColumn="0" w:oddVBand="0" w:evenVBand="0" w:oddHBand="0" w:evenHBand="0" w:firstRowFirstColumn="0" w:firstRowLastColumn="0" w:lastRowFirstColumn="0" w:lastRowLastColumn="0"/>
          <w:tblHeader/>
        </w:trPr>
        <w:tc>
          <w:tcPr>
            <w:tcW w:w="2630" w:type="pct"/>
          </w:tcPr>
          <w:p w14:paraId="3F8FC8BB" w14:textId="77777777" w:rsidR="00654AC7" w:rsidRDefault="00654AC7" w:rsidP="00047390">
            <w:pPr>
              <w:pStyle w:val="TableText"/>
            </w:pPr>
          </w:p>
        </w:tc>
        <w:tc>
          <w:tcPr>
            <w:tcW w:w="1186" w:type="pct"/>
            <w:vAlign w:val="center"/>
          </w:tcPr>
          <w:p w14:paraId="0A147DD0" w14:textId="77777777" w:rsidR="00654AC7" w:rsidRDefault="00654AC7" w:rsidP="00BC0E8E">
            <w:pPr>
              <w:pStyle w:val="tableheaderwhite"/>
              <w:spacing w:before="20" w:after="20"/>
            </w:pPr>
            <w:r>
              <w:t>L&amp;I</w:t>
            </w:r>
          </w:p>
        </w:tc>
        <w:tc>
          <w:tcPr>
            <w:tcW w:w="1184" w:type="pct"/>
            <w:vAlign w:val="center"/>
          </w:tcPr>
          <w:p w14:paraId="4F2B39CD" w14:textId="77777777" w:rsidR="00654AC7" w:rsidRDefault="00654AC7" w:rsidP="00BC0E8E">
            <w:pPr>
              <w:pStyle w:val="tableheaderwhite"/>
              <w:spacing w:before="20" w:after="20"/>
            </w:pPr>
            <w:r>
              <w:t>FMLA</w:t>
            </w:r>
          </w:p>
        </w:tc>
      </w:tr>
      <w:tr w:rsidR="00654AC7" w14:paraId="363B560A" w14:textId="77777777" w:rsidTr="00047390">
        <w:trPr>
          <w:cnfStyle w:val="000000100000" w:firstRow="0" w:lastRow="0" w:firstColumn="0" w:lastColumn="0" w:oddVBand="0" w:evenVBand="0" w:oddHBand="1" w:evenHBand="0" w:firstRowFirstColumn="0" w:firstRowLastColumn="0" w:lastRowFirstColumn="0" w:lastRowLastColumn="0"/>
        </w:trPr>
        <w:tc>
          <w:tcPr>
            <w:tcW w:w="2630" w:type="pct"/>
            <w:shd w:val="clear" w:color="auto" w:fill="A6A6A6" w:themeFill="background1" w:themeFillShade="A6"/>
          </w:tcPr>
          <w:p w14:paraId="0C32E781" w14:textId="77777777" w:rsidR="00654AC7" w:rsidRDefault="00654AC7" w:rsidP="00362B0E">
            <w:pPr>
              <w:pStyle w:val="TableText"/>
              <w:spacing w:before="20" w:after="20"/>
            </w:pPr>
            <w:r>
              <w:rPr>
                <w:b/>
              </w:rPr>
              <w:t xml:space="preserve">JR Overall </w:t>
            </w:r>
          </w:p>
        </w:tc>
        <w:tc>
          <w:tcPr>
            <w:tcW w:w="1186" w:type="pct"/>
            <w:shd w:val="clear" w:color="auto" w:fill="A6A6A6" w:themeFill="background1" w:themeFillShade="A6"/>
          </w:tcPr>
          <w:p w14:paraId="17E7ED46" w14:textId="77777777" w:rsidR="00654AC7" w:rsidRPr="00294334" w:rsidRDefault="00654AC7" w:rsidP="00362B0E">
            <w:pPr>
              <w:pStyle w:val="TableText"/>
              <w:spacing w:before="20" w:after="20"/>
              <w:jc w:val="center"/>
              <w:rPr>
                <w:b/>
              </w:rPr>
            </w:pPr>
            <w:r>
              <w:rPr>
                <w:b/>
              </w:rPr>
              <w:t>6,577</w:t>
            </w:r>
          </w:p>
        </w:tc>
        <w:tc>
          <w:tcPr>
            <w:tcW w:w="1184" w:type="pct"/>
            <w:shd w:val="clear" w:color="auto" w:fill="A6A6A6" w:themeFill="background1" w:themeFillShade="A6"/>
          </w:tcPr>
          <w:p w14:paraId="37864CC1" w14:textId="77777777" w:rsidR="00654AC7" w:rsidRDefault="00654AC7" w:rsidP="00362B0E">
            <w:pPr>
              <w:pStyle w:val="TableText"/>
              <w:spacing w:before="20" w:after="20"/>
              <w:jc w:val="center"/>
              <w:rPr>
                <w:b/>
              </w:rPr>
            </w:pPr>
            <w:r>
              <w:rPr>
                <w:b/>
              </w:rPr>
              <w:t>7,221</w:t>
            </w:r>
          </w:p>
        </w:tc>
      </w:tr>
      <w:tr w:rsidR="00654AC7" w14:paraId="45D2AF3B" w14:textId="77777777" w:rsidTr="00047390">
        <w:tc>
          <w:tcPr>
            <w:tcW w:w="2630" w:type="pct"/>
          </w:tcPr>
          <w:p w14:paraId="1D6093E1" w14:textId="77777777" w:rsidR="00654AC7" w:rsidRDefault="00654AC7" w:rsidP="00362B0E">
            <w:pPr>
              <w:pStyle w:val="TableText"/>
              <w:spacing w:before="20" w:after="20"/>
            </w:pPr>
            <w:r>
              <w:t xml:space="preserve">Echo Glenn </w:t>
            </w:r>
          </w:p>
        </w:tc>
        <w:tc>
          <w:tcPr>
            <w:tcW w:w="1186" w:type="pct"/>
          </w:tcPr>
          <w:p w14:paraId="1D15D4D7" w14:textId="77777777" w:rsidR="00654AC7" w:rsidRDefault="00654AC7" w:rsidP="00362B0E">
            <w:pPr>
              <w:pStyle w:val="TableText"/>
              <w:spacing w:before="20" w:after="20"/>
              <w:jc w:val="center"/>
            </w:pPr>
            <w:r>
              <w:t>1,216</w:t>
            </w:r>
          </w:p>
        </w:tc>
        <w:tc>
          <w:tcPr>
            <w:tcW w:w="1184" w:type="pct"/>
          </w:tcPr>
          <w:p w14:paraId="6992F520" w14:textId="77777777" w:rsidR="00654AC7" w:rsidRDefault="00654AC7" w:rsidP="00362B0E">
            <w:pPr>
              <w:pStyle w:val="TableText"/>
              <w:spacing w:before="20" w:after="20"/>
              <w:jc w:val="center"/>
            </w:pPr>
            <w:r>
              <w:t>1,573</w:t>
            </w:r>
          </w:p>
        </w:tc>
      </w:tr>
      <w:tr w:rsidR="00654AC7" w14:paraId="1C2A8506" w14:textId="77777777" w:rsidTr="00047390">
        <w:trPr>
          <w:cnfStyle w:val="000000100000" w:firstRow="0" w:lastRow="0" w:firstColumn="0" w:lastColumn="0" w:oddVBand="0" w:evenVBand="0" w:oddHBand="1" w:evenHBand="0" w:firstRowFirstColumn="0" w:firstRowLastColumn="0" w:lastRowFirstColumn="0" w:lastRowLastColumn="0"/>
        </w:trPr>
        <w:tc>
          <w:tcPr>
            <w:tcW w:w="2630" w:type="pct"/>
          </w:tcPr>
          <w:p w14:paraId="3E9945C6" w14:textId="77777777" w:rsidR="00654AC7" w:rsidRDefault="00654AC7" w:rsidP="00362B0E">
            <w:pPr>
              <w:pStyle w:val="TableText"/>
              <w:spacing w:before="20" w:after="20"/>
            </w:pPr>
            <w:r>
              <w:t xml:space="preserve">Green Hill </w:t>
            </w:r>
          </w:p>
        </w:tc>
        <w:tc>
          <w:tcPr>
            <w:tcW w:w="1186" w:type="pct"/>
          </w:tcPr>
          <w:p w14:paraId="19168085" w14:textId="77777777" w:rsidR="00654AC7" w:rsidRDefault="00654AC7" w:rsidP="00362B0E">
            <w:pPr>
              <w:pStyle w:val="TableText"/>
              <w:spacing w:before="20" w:after="20"/>
              <w:jc w:val="center"/>
            </w:pPr>
            <w:r>
              <w:t>5,361</w:t>
            </w:r>
          </w:p>
        </w:tc>
        <w:tc>
          <w:tcPr>
            <w:tcW w:w="1184" w:type="pct"/>
          </w:tcPr>
          <w:p w14:paraId="0F4D1BA7" w14:textId="77777777" w:rsidR="00654AC7" w:rsidRDefault="00654AC7" w:rsidP="00362B0E">
            <w:pPr>
              <w:pStyle w:val="TableText"/>
              <w:spacing w:before="20" w:after="20"/>
              <w:jc w:val="center"/>
            </w:pPr>
            <w:r>
              <w:t>3,772</w:t>
            </w:r>
          </w:p>
        </w:tc>
      </w:tr>
      <w:tr w:rsidR="00654AC7" w14:paraId="7ECDE39B" w14:textId="77777777" w:rsidTr="00047390">
        <w:tc>
          <w:tcPr>
            <w:tcW w:w="2630" w:type="pct"/>
          </w:tcPr>
          <w:p w14:paraId="263E093A" w14:textId="77777777" w:rsidR="00654AC7" w:rsidRDefault="00654AC7" w:rsidP="00362B0E">
            <w:pPr>
              <w:pStyle w:val="TableText"/>
              <w:spacing w:before="20" w:after="20"/>
            </w:pPr>
            <w:r>
              <w:t xml:space="preserve">Naselle </w:t>
            </w:r>
          </w:p>
        </w:tc>
        <w:tc>
          <w:tcPr>
            <w:tcW w:w="1186" w:type="pct"/>
          </w:tcPr>
          <w:p w14:paraId="34F4CBF0" w14:textId="77777777" w:rsidR="00654AC7" w:rsidRDefault="00654AC7" w:rsidP="00362B0E">
            <w:pPr>
              <w:pStyle w:val="TableText"/>
              <w:spacing w:before="20" w:after="20"/>
              <w:jc w:val="center"/>
            </w:pPr>
            <w:r>
              <w:t>0</w:t>
            </w:r>
          </w:p>
        </w:tc>
        <w:tc>
          <w:tcPr>
            <w:tcW w:w="1184" w:type="pct"/>
          </w:tcPr>
          <w:p w14:paraId="2E40962C" w14:textId="77777777" w:rsidR="00654AC7" w:rsidRDefault="00654AC7" w:rsidP="00362B0E">
            <w:pPr>
              <w:pStyle w:val="TableText"/>
              <w:spacing w:before="20" w:after="20"/>
              <w:jc w:val="center"/>
            </w:pPr>
            <w:r>
              <w:t>993</w:t>
            </w:r>
          </w:p>
        </w:tc>
      </w:tr>
      <w:tr w:rsidR="00654AC7" w14:paraId="63B047B4" w14:textId="77777777" w:rsidTr="00047390">
        <w:trPr>
          <w:cnfStyle w:val="000000100000" w:firstRow="0" w:lastRow="0" w:firstColumn="0" w:lastColumn="0" w:oddVBand="0" w:evenVBand="0" w:oddHBand="1" w:evenHBand="0" w:firstRowFirstColumn="0" w:firstRowLastColumn="0" w:lastRowFirstColumn="0" w:lastRowLastColumn="0"/>
        </w:trPr>
        <w:tc>
          <w:tcPr>
            <w:tcW w:w="2630" w:type="pct"/>
          </w:tcPr>
          <w:p w14:paraId="3BA1B868" w14:textId="77777777" w:rsidR="00654AC7" w:rsidRDefault="00654AC7" w:rsidP="00362B0E">
            <w:pPr>
              <w:pStyle w:val="TableText"/>
              <w:spacing w:before="20" w:after="20"/>
            </w:pPr>
            <w:r>
              <w:t xml:space="preserve">Community Facilities </w:t>
            </w:r>
          </w:p>
        </w:tc>
        <w:tc>
          <w:tcPr>
            <w:tcW w:w="1186" w:type="pct"/>
          </w:tcPr>
          <w:p w14:paraId="462C3470" w14:textId="77777777" w:rsidR="00654AC7" w:rsidRDefault="00654AC7" w:rsidP="00362B0E">
            <w:pPr>
              <w:pStyle w:val="TableText"/>
              <w:spacing w:before="20" w:after="20"/>
              <w:jc w:val="center"/>
            </w:pPr>
            <w:r>
              <w:t>0</w:t>
            </w:r>
          </w:p>
        </w:tc>
        <w:tc>
          <w:tcPr>
            <w:tcW w:w="1184" w:type="pct"/>
          </w:tcPr>
          <w:p w14:paraId="28E4918B" w14:textId="77777777" w:rsidR="00654AC7" w:rsidRDefault="00654AC7" w:rsidP="00362B0E">
            <w:pPr>
              <w:pStyle w:val="TableText"/>
              <w:spacing w:before="20" w:after="20"/>
              <w:jc w:val="center"/>
            </w:pPr>
            <w:r>
              <w:t>955</w:t>
            </w:r>
          </w:p>
        </w:tc>
      </w:tr>
      <w:tr w:rsidR="00654AC7" w14:paraId="5534EF1A" w14:textId="77777777" w:rsidTr="00047390">
        <w:tc>
          <w:tcPr>
            <w:tcW w:w="2630" w:type="pct"/>
            <w:shd w:val="clear" w:color="auto" w:fill="A6A6A6" w:themeFill="background1" w:themeFillShade="A6"/>
          </w:tcPr>
          <w:p w14:paraId="7CBBA5CB" w14:textId="77777777" w:rsidR="00654AC7" w:rsidRDefault="00654AC7" w:rsidP="00362B0E">
            <w:pPr>
              <w:pStyle w:val="TableText"/>
              <w:spacing w:before="20" w:after="20"/>
            </w:pPr>
            <w:r w:rsidRPr="00294334">
              <w:rPr>
                <w:b/>
              </w:rPr>
              <w:t>Expressed as FTEs</w:t>
            </w:r>
          </w:p>
        </w:tc>
        <w:tc>
          <w:tcPr>
            <w:tcW w:w="1186" w:type="pct"/>
            <w:shd w:val="clear" w:color="auto" w:fill="A6A6A6" w:themeFill="background1" w:themeFillShade="A6"/>
          </w:tcPr>
          <w:p w14:paraId="45D4620B" w14:textId="77777777" w:rsidR="00654AC7" w:rsidRPr="002E05FC" w:rsidRDefault="00654AC7" w:rsidP="00362B0E">
            <w:pPr>
              <w:pStyle w:val="TableText"/>
              <w:spacing w:before="20" w:after="20"/>
              <w:jc w:val="center"/>
              <w:rPr>
                <w:b/>
              </w:rPr>
            </w:pPr>
            <w:r w:rsidRPr="002E05FC">
              <w:rPr>
                <w:b/>
              </w:rPr>
              <w:t>3.2</w:t>
            </w:r>
          </w:p>
        </w:tc>
        <w:tc>
          <w:tcPr>
            <w:tcW w:w="1184" w:type="pct"/>
            <w:shd w:val="clear" w:color="auto" w:fill="A6A6A6" w:themeFill="background1" w:themeFillShade="A6"/>
          </w:tcPr>
          <w:p w14:paraId="7FC21F3A" w14:textId="77777777" w:rsidR="00654AC7" w:rsidRPr="002E05FC" w:rsidRDefault="00654AC7" w:rsidP="00362B0E">
            <w:pPr>
              <w:pStyle w:val="TableText"/>
              <w:spacing w:before="20" w:after="20"/>
              <w:jc w:val="center"/>
              <w:rPr>
                <w:b/>
              </w:rPr>
            </w:pPr>
            <w:r w:rsidRPr="002E05FC">
              <w:rPr>
                <w:b/>
              </w:rPr>
              <w:t>3.5</w:t>
            </w:r>
          </w:p>
        </w:tc>
      </w:tr>
    </w:tbl>
    <w:p w14:paraId="6AC59C2C" w14:textId="77777777" w:rsidR="00654AC7" w:rsidRDefault="00654AC7" w:rsidP="00654AC7">
      <w:pPr>
        <w:pStyle w:val="TableText"/>
        <w:ind w:left="720" w:firstLine="720"/>
        <w:rPr>
          <w:i/>
        </w:rPr>
      </w:pPr>
      <w:r>
        <w:rPr>
          <w:i/>
        </w:rPr>
        <w:t xml:space="preserve">  Source Data</w:t>
      </w:r>
      <w:r w:rsidRPr="00DC5C16">
        <w:rPr>
          <w:i/>
        </w:rPr>
        <w:t xml:space="preserve">: June 2017 – May 2018 </w:t>
      </w:r>
    </w:p>
    <w:p w14:paraId="3A053B1F" w14:textId="77777777" w:rsidR="00654AC7" w:rsidRDefault="00047390" w:rsidP="00741BE1">
      <w:r w:rsidRPr="00047390">
        <w:lastRenderedPageBreak/>
        <w:t>Overall the levels of L&amp;I and FMLA account for 3.2 and 3.5 FTEs, respectively</w:t>
      </w:r>
      <w:r w:rsidR="00A3786D">
        <w:t xml:space="preserve">. </w:t>
      </w:r>
      <w:r w:rsidRPr="00047390">
        <w:t xml:space="preserve">While not exceedingly high, this is unplanned leave that impacts the ability of each facility to maintain appropriate staff coverage and should be considered for any new </w:t>
      </w:r>
      <w:r w:rsidR="005D560D">
        <w:t xml:space="preserve">residential </w:t>
      </w:r>
      <w:r w:rsidRPr="00047390">
        <w:t>staffing model.</w:t>
      </w:r>
    </w:p>
    <w:p w14:paraId="75B9E6E8" w14:textId="77777777" w:rsidR="003F3A02" w:rsidRDefault="002577F6" w:rsidP="003F3A02">
      <w:pPr>
        <w:pStyle w:val="Heading3"/>
      </w:pPr>
      <w:bookmarkStart w:id="51" w:name="_Toc531597498"/>
      <w:r w:rsidRPr="007E316B">
        <w:t>Case Management</w:t>
      </w:r>
      <w:bookmarkEnd w:id="51"/>
    </w:p>
    <w:p w14:paraId="77DC3988" w14:textId="77777777" w:rsidR="00C553E8" w:rsidRPr="00CB1DB0" w:rsidRDefault="003F3A02" w:rsidP="003F3A02">
      <w:pPr>
        <w:pStyle w:val="RFPtext"/>
        <w:rPr>
          <w:b/>
          <w:color w:val="auto"/>
          <w:sz w:val="24"/>
        </w:rPr>
      </w:pPr>
      <w:r w:rsidRPr="00CB1DB0">
        <w:rPr>
          <w:b/>
          <w:color w:val="auto"/>
          <w:sz w:val="24"/>
        </w:rPr>
        <w:t xml:space="preserve">The Guidelines for Protected Time Off </w:t>
      </w:r>
      <w:r w:rsidR="009E26DD" w:rsidRPr="00CB1DB0">
        <w:rPr>
          <w:b/>
          <w:color w:val="auto"/>
          <w:sz w:val="24"/>
        </w:rPr>
        <w:t>the Floor require tha</w:t>
      </w:r>
      <w:r w:rsidR="003728A2">
        <w:rPr>
          <w:b/>
          <w:color w:val="auto"/>
          <w:sz w:val="24"/>
        </w:rPr>
        <w:t>t Juvenile Rehabilitation Residential Counselors (JRRCs) and Juvenile Rehabilitation Counselor Assistants (JRCAs) who carry a</w:t>
      </w:r>
      <w:r w:rsidR="009E26DD" w:rsidRPr="00CB1DB0">
        <w:rPr>
          <w:b/>
          <w:color w:val="auto"/>
          <w:sz w:val="24"/>
        </w:rPr>
        <w:t xml:space="preserve"> caseload</w:t>
      </w:r>
      <w:r w:rsidRPr="00CB1DB0">
        <w:rPr>
          <w:b/>
          <w:color w:val="auto"/>
          <w:sz w:val="24"/>
        </w:rPr>
        <w:t xml:space="preserve"> will be scheduled for a minimum of eight hours per week of protected time off the floor. Less than a quarter of the caseload carrying staff “always” or “usually</w:t>
      </w:r>
      <w:r w:rsidR="009E26DD" w:rsidRPr="00CB1DB0">
        <w:rPr>
          <w:b/>
          <w:color w:val="auto"/>
          <w:sz w:val="24"/>
        </w:rPr>
        <w:t>”</w:t>
      </w:r>
      <w:r w:rsidRPr="00CB1DB0">
        <w:rPr>
          <w:b/>
          <w:color w:val="auto"/>
          <w:sz w:val="24"/>
        </w:rPr>
        <w:t xml:space="preserve"> receive this ti</w:t>
      </w:r>
      <w:r w:rsidR="009E26DD" w:rsidRPr="00CB1DB0">
        <w:rPr>
          <w:b/>
          <w:color w:val="auto"/>
          <w:sz w:val="24"/>
        </w:rPr>
        <w:t>me. Almost all of the staff (88</w:t>
      </w:r>
      <w:r w:rsidR="004962BA" w:rsidRPr="00CB1DB0">
        <w:rPr>
          <w:b/>
          <w:color w:val="auto"/>
          <w:sz w:val="24"/>
        </w:rPr>
        <w:t>%</w:t>
      </w:r>
      <w:r w:rsidRPr="00CB1DB0">
        <w:rPr>
          <w:b/>
          <w:color w:val="auto"/>
          <w:sz w:val="24"/>
        </w:rPr>
        <w:t xml:space="preserve">) indicated when they get </w:t>
      </w:r>
      <w:r w:rsidR="00FD2536">
        <w:rPr>
          <w:b/>
          <w:color w:val="auto"/>
          <w:sz w:val="24"/>
        </w:rPr>
        <w:t>time off the floor</w:t>
      </w:r>
      <w:r w:rsidR="009E26DD" w:rsidRPr="00CB1DB0">
        <w:rPr>
          <w:b/>
          <w:color w:val="auto"/>
          <w:sz w:val="24"/>
        </w:rPr>
        <w:t>,</w:t>
      </w:r>
      <w:r w:rsidRPr="00CB1DB0">
        <w:rPr>
          <w:b/>
          <w:color w:val="auto"/>
          <w:sz w:val="24"/>
        </w:rPr>
        <w:t xml:space="preserve"> they are “often” or “half the time” called to perform other duties.</w:t>
      </w:r>
    </w:p>
    <w:p w14:paraId="5697FBEF" w14:textId="77777777" w:rsidR="002577F6" w:rsidRDefault="002577F6" w:rsidP="002577F6">
      <w:r w:rsidRPr="000B4734">
        <w:t>The Guidelines f</w:t>
      </w:r>
      <w:r>
        <w:t>or Protected Time of</w:t>
      </w:r>
      <w:r w:rsidR="00160506">
        <w:t>f the Floor indicate, “</w:t>
      </w:r>
      <w:r w:rsidR="00D37220">
        <w:t>Caseload-carrying</w:t>
      </w:r>
      <w:r>
        <w:t xml:space="preserve"> staff will be scheduled for a </w:t>
      </w:r>
      <w:r w:rsidR="00D65408">
        <w:t>minimum of eight</w:t>
      </w:r>
      <w:r w:rsidRPr="000B4734">
        <w:t xml:space="preserve"> hours per week</w:t>
      </w:r>
      <w:r w:rsidRPr="000B4734">
        <w:rPr>
          <w:b/>
        </w:rPr>
        <w:t xml:space="preserve"> </w:t>
      </w:r>
      <w:r>
        <w:t>of protected time off the floor.</w:t>
      </w:r>
      <w:r w:rsidR="00D65408">
        <w:t>”</w:t>
      </w:r>
      <w:r w:rsidR="00D37220">
        <w:t xml:space="preserve"> Caseload-</w:t>
      </w:r>
      <w:r>
        <w:t xml:space="preserve">carrying staff </w:t>
      </w:r>
      <w:r w:rsidRPr="000B4734">
        <w:t>must complete the following</w:t>
      </w:r>
      <w:r>
        <w:t xml:space="preserve"> during time off the floor:</w:t>
      </w:r>
    </w:p>
    <w:p w14:paraId="1FA8DE76" w14:textId="77777777" w:rsidR="002577F6" w:rsidRDefault="009477E4" w:rsidP="002577F6">
      <w:pPr>
        <w:pStyle w:val="ListBullet"/>
      </w:pPr>
      <w:r>
        <w:t>Conduct i</w:t>
      </w:r>
      <w:r w:rsidR="002577F6">
        <w:t>ndividual case sessions</w:t>
      </w:r>
      <w:r w:rsidR="00896053">
        <w:t>;</w:t>
      </w:r>
    </w:p>
    <w:p w14:paraId="2C6B1828" w14:textId="77777777" w:rsidR="002577F6" w:rsidRDefault="009477E4" w:rsidP="002577F6">
      <w:pPr>
        <w:pStyle w:val="ListBullet"/>
      </w:pPr>
      <w:r>
        <w:t xml:space="preserve">Complete </w:t>
      </w:r>
      <w:r w:rsidR="002577F6">
        <w:t>JR-required case management paperwork</w:t>
      </w:r>
      <w:r w:rsidR="00896053">
        <w:t>;</w:t>
      </w:r>
    </w:p>
    <w:p w14:paraId="238A6E5B" w14:textId="77777777" w:rsidR="002577F6" w:rsidRDefault="00EC3A4A" w:rsidP="002577F6">
      <w:pPr>
        <w:pStyle w:val="ListBullet"/>
      </w:pPr>
      <w:r>
        <w:t xml:space="preserve">Make contacts with youth </w:t>
      </w:r>
      <w:r w:rsidR="002577F6">
        <w:t xml:space="preserve">family </w:t>
      </w:r>
      <w:r>
        <w:t>members</w:t>
      </w:r>
      <w:r w:rsidR="00896053">
        <w:t>;</w:t>
      </w:r>
    </w:p>
    <w:p w14:paraId="10B858E7" w14:textId="77777777" w:rsidR="002577F6" w:rsidRDefault="002577F6" w:rsidP="002577F6">
      <w:pPr>
        <w:pStyle w:val="ListBullet"/>
      </w:pPr>
      <w:r>
        <w:t>Prepare to facilitate groups</w:t>
      </w:r>
      <w:r w:rsidR="00896053">
        <w:t>;</w:t>
      </w:r>
    </w:p>
    <w:p w14:paraId="0B37401B" w14:textId="77777777" w:rsidR="002577F6" w:rsidRDefault="002577F6" w:rsidP="002577F6">
      <w:pPr>
        <w:pStyle w:val="ListBullet"/>
      </w:pPr>
      <w:r>
        <w:t xml:space="preserve">Complete assigned trainings in </w:t>
      </w:r>
      <w:r w:rsidR="009477E4">
        <w:t xml:space="preserve">the </w:t>
      </w:r>
      <w:r>
        <w:t>L</w:t>
      </w:r>
      <w:r w:rsidR="009477E4">
        <w:t xml:space="preserve">earning </w:t>
      </w:r>
      <w:r>
        <w:t>M</w:t>
      </w:r>
      <w:r w:rsidR="009477E4">
        <w:t xml:space="preserve">anagement </w:t>
      </w:r>
      <w:r>
        <w:t>S</w:t>
      </w:r>
      <w:r w:rsidR="009477E4">
        <w:t>ystem (LMS)</w:t>
      </w:r>
      <w:r w:rsidR="00896053">
        <w:t>;</w:t>
      </w:r>
    </w:p>
    <w:p w14:paraId="61A30966" w14:textId="77777777" w:rsidR="002577F6" w:rsidRDefault="002577F6" w:rsidP="002577F6">
      <w:pPr>
        <w:pStyle w:val="ListBullet"/>
      </w:pPr>
      <w:r>
        <w:t>Engage in consultation time</w:t>
      </w:r>
      <w:r w:rsidR="00896053">
        <w:t xml:space="preserve">; and </w:t>
      </w:r>
    </w:p>
    <w:p w14:paraId="46AC73BB" w14:textId="77777777" w:rsidR="002577F6" w:rsidRDefault="002577F6" w:rsidP="002577F6">
      <w:pPr>
        <w:pStyle w:val="ListBullet"/>
      </w:pPr>
      <w:r>
        <w:t>Read DBT</w:t>
      </w:r>
      <w:r w:rsidR="009477E4">
        <w:t>- or JR-</w:t>
      </w:r>
      <w:r>
        <w:t>related information</w:t>
      </w:r>
      <w:r w:rsidR="00896053">
        <w:t>.</w:t>
      </w:r>
    </w:p>
    <w:p w14:paraId="60E0B96E" w14:textId="77777777" w:rsidR="002577F6" w:rsidRDefault="002577F6" w:rsidP="002577F6">
      <w:r w:rsidRPr="000B4734">
        <w:t xml:space="preserve">During </w:t>
      </w:r>
      <w:r w:rsidR="00896053">
        <w:t xml:space="preserve">their </w:t>
      </w:r>
      <w:r w:rsidR="00896053" w:rsidRPr="00896053">
        <w:t xml:space="preserve">protected time off the floor, </w:t>
      </w:r>
      <w:r w:rsidR="00B44FA7">
        <w:t xml:space="preserve">Juvenile Rehabilitation Residential Counselors </w:t>
      </w:r>
      <w:r w:rsidR="00CB1DB0">
        <w:t xml:space="preserve">(JRRCs) </w:t>
      </w:r>
      <w:r w:rsidR="00B44FA7">
        <w:t>and Juvenile Rehabilitation Counselors Assistants (JRCAs)</w:t>
      </w:r>
      <w:r w:rsidR="00B44FA7" w:rsidRPr="00896053">
        <w:t xml:space="preserve"> </w:t>
      </w:r>
      <w:r w:rsidRPr="00896053">
        <w:t>may not answer the phones, cover the floor, or transport youth.</w:t>
      </w:r>
      <w:r w:rsidRPr="00896053">
        <w:rPr>
          <w:rStyle w:val="FootnoteReference"/>
        </w:rPr>
        <w:footnoteReference w:id="73"/>
      </w:r>
      <w:r w:rsidRPr="00896053">
        <w:t xml:space="preserve"> </w:t>
      </w:r>
      <w:r w:rsidR="00976DC4" w:rsidRPr="00896053">
        <w:t>C</w:t>
      </w:r>
      <w:r w:rsidRPr="00896053">
        <w:t>ounselors have many additiona</w:t>
      </w:r>
      <w:r w:rsidR="003728A2">
        <w:t>l case management</w:t>
      </w:r>
      <w:r w:rsidR="00976DC4" w:rsidRPr="00896053">
        <w:t xml:space="preserve"> duties,</w:t>
      </w:r>
      <w:r w:rsidRPr="00896053">
        <w:t xml:space="preserve"> summarized in </w:t>
      </w:r>
      <w:r w:rsidR="00AE63DD" w:rsidRPr="00896053">
        <w:t xml:space="preserve">Exhibit </w:t>
      </w:r>
      <w:r w:rsidR="00C130F7">
        <w:t>5</w:t>
      </w:r>
      <w:r w:rsidR="00AE63DD" w:rsidRPr="00896053">
        <w:t>-1</w:t>
      </w:r>
      <w:r w:rsidR="00513631">
        <w:t>2</w:t>
      </w:r>
      <w:r w:rsidRPr="00896053">
        <w:t>.</w:t>
      </w:r>
    </w:p>
    <w:p w14:paraId="28368B67" w14:textId="77777777" w:rsidR="002577F6" w:rsidRPr="00131649" w:rsidRDefault="00AE63DD" w:rsidP="001C3BE2">
      <w:pPr>
        <w:pStyle w:val="Caption"/>
        <w:keepLines/>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C130F7">
        <w:rPr>
          <w:noProof/>
        </w:rPr>
        <w:t>12</w:t>
      </w:r>
      <w:r w:rsidR="00E251C1">
        <w:t>.</w:t>
      </w:r>
      <w:r>
        <w:t xml:space="preserve"> </w:t>
      </w:r>
      <w:r w:rsidR="002577F6">
        <w:t>Other Select Case Manager Duties</w:t>
      </w:r>
    </w:p>
    <w:tbl>
      <w:tblPr>
        <w:tblStyle w:val="HyzerTable"/>
        <w:tblW w:w="9175" w:type="dxa"/>
        <w:tblLayout w:type="fixed"/>
        <w:tblLook w:val="0420" w:firstRow="1" w:lastRow="0" w:firstColumn="0" w:lastColumn="0" w:noHBand="0" w:noVBand="1"/>
      </w:tblPr>
      <w:tblGrid>
        <w:gridCol w:w="2149"/>
        <w:gridCol w:w="7026"/>
      </w:tblGrid>
      <w:tr w:rsidR="002577F6" w:rsidRPr="00CD1826" w14:paraId="59079B3A" w14:textId="77777777" w:rsidTr="00AC3699">
        <w:trPr>
          <w:cnfStyle w:val="100000000000" w:firstRow="1" w:lastRow="0" w:firstColumn="0" w:lastColumn="0" w:oddVBand="0" w:evenVBand="0" w:oddHBand="0" w:evenHBand="0" w:firstRowFirstColumn="0" w:firstRowLastColumn="0" w:lastRowFirstColumn="0" w:lastRowLastColumn="0"/>
          <w:trHeight w:val="393"/>
          <w:tblHeader/>
        </w:trPr>
        <w:tc>
          <w:tcPr>
            <w:tcW w:w="2149" w:type="dxa"/>
          </w:tcPr>
          <w:p w14:paraId="4F8EAB1C" w14:textId="77777777" w:rsidR="002577F6" w:rsidRPr="00CD1826" w:rsidRDefault="002577F6" w:rsidP="001C3BE2">
            <w:pPr>
              <w:pStyle w:val="tableheaderwhite"/>
              <w:keepNext/>
              <w:keepLines/>
            </w:pPr>
            <w:r>
              <w:t>Timeline</w:t>
            </w:r>
          </w:p>
        </w:tc>
        <w:tc>
          <w:tcPr>
            <w:tcW w:w="7026" w:type="dxa"/>
          </w:tcPr>
          <w:p w14:paraId="2F472FF5" w14:textId="77777777" w:rsidR="002577F6" w:rsidRPr="00CD1826" w:rsidRDefault="002577F6" w:rsidP="001C3BE2">
            <w:pPr>
              <w:pStyle w:val="tableheaderwhite"/>
              <w:keepNext/>
              <w:keepLines/>
            </w:pPr>
            <w:r>
              <w:t>Duty</w:t>
            </w:r>
          </w:p>
        </w:tc>
      </w:tr>
      <w:tr w:rsidR="002577F6" w:rsidRPr="00CD1826" w14:paraId="3B142780" w14:textId="77777777" w:rsidTr="00AC3699">
        <w:trPr>
          <w:cnfStyle w:val="000000100000" w:firstRow="0" w:lastRow="0" w:firstColumn="0" w:lastColumn="0" w:oddVBand="0" w:evenVBand="0" w:oddHBand="1" w:evenHBand="0" w:firstRowFirstColumn="0" w:firstRowLastColumn="0" w:lastRowFirstColumn="0" w:lastRowLastColumn="0"/>
          <w:trHeight w:val="310"/>
        </w:trPr>
        <w:tc>
          <w:tcPr>
            <w:tcW w:w="2149" w:type="dxa"/>
          </w:tcPr>
          <w:p w14:paraId="13DAD604" w14:textId="77777777" w:rsidR="002577F6" w:rsidRPr="00A05593" w:rsidRDefault="002577F6" w:rsidP="001C3BE2">
            <w:pPr>
              <w:pStyle w:val="TableText"/>
              <w:keepNext/>
              <w:keepLines/>
              <w:rPr>
                <w:rStyle w:val="TableTextBold"/>
                <w:b w:val="0"/>
              </w:rPr>
            </w:pPr>
            <w:r w:rsidRPr="00A05593">
              <w:rPr>
                <w:b/>
              </w:rPr>
              <w:t>Within 7 Days of Counselor Assignment</w:t>
            </w:r>
          </w:p>
        </w:tc>
        <w:tc>
          <w:tcPr>
            <w:tcW w:w="7026" w:type="dxa"/>
          </w:tcPr>
          <w:p w14:paraId="4D51180A" w14:textId="77777777" w:rsidR="002577F6" w:rsidRPr="00A05593" w:rsidRDefault="002577F6" w:rsidP="00DF77CE">
            <w:pPr>
              <w:pStyle w:val="TableBullet"/>
              <w:keepLines/>
              <w:rPr>
                <w:rStyle w:val="TableTextBold"/>
                <w:b w:val="0"/>
              </w:rPr>
            </w:pPr>
            <w:r>
              <w:t xml:space="preserve">Initial Pre-Treatment Session and Associated Treatment Planning </w:t>
            </w:r>
            <w:r w:rsidR="00DF77CE">
              <w:t xml:space="preserve"> </w:t>
            </w:r>
            <w:r>
              <w:t>&amp; Progress Note (TPPN</w:t>
            </w:r>
            <w:r w:rsidR="00AC3699">
              <w:t>)</w:t>
            </w:r>
          </w:p>
        </w:tc>
      </w:tr>
      <w:tr w:rsidR="002577F6" w:rsidRPr="00CD1826" w14:paraId="07973695" w14:textId="77777777" w:rsidTr="00AC3699">
        <w:tc>
          <w:tcPr>
            <w:tcW w:w="2149" w:type="dxa"/>
          </w:tcPr>
          <w:p w14:paraId="0F3C3A9C" w14:textId="77777777" w:rsidR="002577F6" w:rsidRPr="00A05593" w:rsidRDefault="002577F6" w:rsidP="001C3BE2">
            <w:pPr>
              <w:pStyle w:val="tabletextcenter"/>
              <w:keepNext/>
              <w:keepLines/>
              <w:jc w:val="left"/>
              <w:rPr>
                <w:b/>
              </w:rPr>
            </w:pPr>
            <w:r w:rsidRPr="00A05593">
              <w:rPr>
                <w:b/>
              </w:rPr>
              <w:t>72 Hours</w:t>
            </w:r>
          </w:p>
        </w:tc>
        <w:tc>
          <w:tcPr>
            <w:tcW w:w="7026" w:type="dxa"/>
          </w:tcPr>
          <w:p w14:paraId="14A135BC" w14:textId="77777777" w:rsidR="002577F6" w:rsidRPr="00A05593" w:rsidRDefault="002577F6" w:rsidP="001C3BE2">
            <w:pPr>
              <w:pStyle w:val="TableBullet"/>
              <w:keepLines/>
              <w:rPr>
                <w:b/>
              </w:rPr>
            </w:pPr>
            <w:r>
              <w:t>Initial Family Contact</w:t>
            </w:r>
          </w:p>
        </w:tc>
      </w:tr>
      <w:tr w:rsidR="002577F6" w:rsidRPr="00CD1826" w14:paraId="18ACBA7A" w14:textId="77777777" w:rsidTr="00AC3699">
        <w:trPr>
          <w:cnfStyle w:val="000000100000" w:firstRow="0" w:lastRow="0" w:firstColumn="0" w:lastColumn="0" w:oddVBand="0" w:evenVBand="0" w:oddHBand="1" w:evenHBand="0" w:firstRowFirstColumn="0" w:firstRowLastColumn="0" w:lastRowFirstColumn="0" w:lastRowLastColumn="0"/>
        </w:trPr>
        <w:tc>
          <w:tcPr>
            <w:tcW w:w="2149" w:type="dxa"/>
          </w:tcPr>
          <w:p w14:paraId="4F1597F8" w14:textId="77777777" w:rsidR="002577F6" w:rsidRPr="006426B0" w:rsidRDefault="002577F6" w:rsidP="00AC3699">
            <w:pPr>
              <w:pStyle w:val="TableBullet"/>
              <w:numPr>
                <w:ilvl w:val="0"/>
                <w:numId w:val="0"/>
              </w:numPr>
              <w:ind w:left="130" w:hanging="130"/>
              <w:rPr>
                <w:b/>
              </w:rPr>
            </w:pPr>
            <w:r w:rsidRPr="006426B0">
              <w:rPr>
                <w:b/>
              </w:rPr>
              <w:t>14 Days</w:t>
            </w:r>
          </w:p>
        </w:tc>
        <w:tc>
          <w:tcPr>
            <w:tcW w:w="7026" w:type="dxa"/>
          </w:tcPr>
          <w:p w14:paraId="0A73D485" w14:textId="77777777" w:rsidR="002577F6" w:rsidRPr="006D322C" w:rsidRDefault="002577F6" w:rsidP="000B3AD8">
            <w:pPr>
              <w:pStyle w:val="TableBullet"/>
            </w:pPr>
            <w:r w:rsidRPr="00A05593">
              <w:t>Client Behavioral Assessment (CBA)</w:t>
            </w:r>
          </w:p>
        </w:tc>
      </w:tr>
      <w:tr w:rsidR="002577F6" w:rsidRPr="00CD1826" w14:paraId="08448846" w14:textId="77777777" w:rsidTr="00AC3699">
        <w:tc>
          <w:tcPr>
            <w:tcW w:w="2149" w:type="dxa"/>
          </w:tcPr>
          <w:p w14:paraId="357A8ABA" w14:textId="77777777" w:rsidR="002577F6" w:rsidRPr="00CC2FC7" w:rsidRDefault="002577F6" w:rsidP="00AC3699">
            <w:pPr>
              <w:pStyle w:val="TableText"/>
              <w:rPr>
                <w:b/>
              </w:rPr>
            </w:pPr>
            <w:r w:rsidRPr="00CC2FC7">
              <w:rPr>
                <w:b/>
              </w:rPr>
              <w:t>By 30 Days</w:t>
            </w:r>
          </w:p>
        </w:tc>
        <w:tc>
          <w:tcPr>
            <w:tcW w:w="7026" w:type="dxa"/>
          </w:tcPr>
          <w:p w14:paraId="3928C216" w14:textId="77777777" w:rsidR="002577F6" w:rsidRDefault="002577F6" w:rsidP="000B3AD8">
            <w:pPr>
              <w:pStyle w:val="TableBullet"/>
            </w:pPr>
            <w:r>
              <w:t>Initial Reentry Team Meeting (RTM)</w:t>
            </w:r>
          </w:p>
          <w:p w14:paraId="6BAA8887" w14:textId="77777777" w:rsidR="002577F6" w:rsidRDefault="002577F6" w:rsidP="00DF77CE">
            <w:pPr>
              <w:pStyle w:val="TableBullet"/>
            </w:pPr>
            <w:r>
              <w:t xml:space="preserve">Initial Reentry Plan within 7 days of the </w:t>
            </w:r>
            <w:r w:rsidR="00DF77CE">
              <w:t xml:space="preserve">RTM </w:t>
            </w:r>
            <w:r>
              <w:t>and in collaboration with the youth</w:t>
            </w:r>
          </w:p>
        </w:tc>
      </w:tr>
      <w:tr w:rsidR="002577F6" w:rsidRPr="00CD1826" w14:paraId="1770FB54" w14:textId="77777777" w:rsidTr="00AC3699">
        <w:trPr>
          <w:cnfStyle w:val="000000100000" w:firstRow="0" w:lastRow="0" w:firstColumn="0" w:lastColumn="0" w:oddVBand="0" w:evenVBand="0" w:oddHBand="1" w:evenHBand="0" w:firstRowFirstColumn="0" w:firstRowLastColumn="0" w:lastRowFirstColumn="0" w:lastRowLastColumn="0"/>
        </w:trPr>
        <w:tc>
          <w:tcPr>
            <w:tcW w:w="2149" w:type="dxa"/>
          </w:tcPr>
          <w:p w14:paraId="482CA831" w14:textId="77777777" w:rsidR="002577F6" w:rsidRPr="00CC2FC7" w:rsidRDefault="002577F6" w:rsidP="00AC3699">
            <w:pPr>
              <w:pStyle w:val="TableText"/>
              <w:rPr>
                <w:b/>
              </w:rPr>
            </w:pPr>
            <w:r w:rsidRPr="00CC2FC7">
              <w:rPr>
                <w:b/>
              </w:rPr>
              <w:t>Ongoing</w:t>
            </w:r>
          </w:p>
        </w:tc>
        <w:tc>
          <w:tcPr>
            <w:tcW w:w="7026" w:type="dxa"/>
          </w:tcPr>
          <w:p w14:paraId="743D3391" w14:textId="77777777" w:rsidR="002577F6" w:rsidRDefault="002577F6" w:rsidP="000B3AD8">
            <w:pPr>
              <w:pStyle w:val="TableBullet"/>
            </w:pPr>
            <w:r>
              <w:t>CBA every 30 days</w:t>
            </w:r>
          </w:p>
          <w:p w14:paraId="6AF044B9" w14:textId="77777777" w:rsidR="002577F6" w:rsidRDefault="002577F6" w:rsidP="000B3AD8">
            <w:pPr>
              <w:pStyle w:val="TableBullet"/>
            </w:pPr>
            <w:r>
              <w:t>Weekly Treatment Planning &amp; Progress Note (TPPN)</w:t>
            </w:r>
          </w:p>
          <w:p w14:paraId="1E896193" w14:textId="77777777" w:rsidR="002577F6" w:rsidRDefault="002577F6" w:rsidP="00B44FA7">
            <w:pPr>
              <w:pStyle w:val="TableBullet"/>
            </w:pPr>
            <w:r>
              <w:t>Family contacts (2 times/month)</w:t>
            </w:r>
          </w:p>
        </w:tc>
      </w:tr>
      <w:tr w:rsidR="002577F6" w:rsidRPr="00CD1826" w14:paraId="7F334452" w14:textId="77777777" w:rsidTr="00AC3699">
        <w:tc>
          <w:tcPr>
            <w:tcW w:w="2149" w:type="dxa"/>
          </w:tcPr>
          <w:p w14:paraId="64667E76" w14:textId="77777777" w:rsidR="002577F6" w:rsidRPr="00CC2FC7" w:rsidRDefault="002577F6" w:rsidP="00AC3699">
            <w:pPr>
              <w:pStyle w:val="TableText"/>
              <w:rPr>
                <w:b/>
              </w:rPr>
            </w:pPr>
            <w:r w:rsidRPr="00CC2FC7">
              <w:rPr>
                <w:b/>
              </w:rPr>
              <w:t>45-60 Days Pre-Release</w:t>
            </w:r>
          </w:p>
        </w:tc>
        <w:tc>
          <w:tcPr>
            <w:tcW w:w="7026" w:type="dxa"/>
          </w:tcPr>
          <w:p w14:paraId="4B0E5081" w14:textId="77777777" w:rsidR="002577F6" w:rsidRDefault="002577F6" w:rsidP="000B3AD8">
            <w:pPr>
              <w:pStyle w:val="TableBullet"/>
            </w:pPr>
            <w:r>
              <w:t>Homeless</w:t>
            </w:r>
            <w:r w:rsidR="008C2E14">
              <w:t>ness</w:t>
            </w:r>
            <w:r>
              <w:t xml:space="preserve"> Incident Report </w:t>
            </w:r>
            <w:r w:rsidR="00DF0C28">
              <w:t>(not required)</w:t>
            </w:r>
          </w:p>
        </w:tc>
      </w:tr>
      <w:tr w:rsidR="002577F6" w:rsidRPr="00CD1826" w14:paraId="074D4E17" w14:textId="77777777" w:rsidTr="00AC3699">
        <w:trPr>
          <w:cnfStyle w:val="000000100000" w:firstRow="0" w:lastRow="0" w:firstColumn="0" w:lastColumn="0" w:oddVBand="0" w:evenVBand="0" w:oddHBand="1" w:evenHBand="0" w:firstRowFirstColumn="0" w:firstRowLastColumn="0" w:lastRowFirstColumn="0" w:lastRowLastColumn="0"/>
        </w:trPr>
        <w:tc>
          <w:tcPr>
            <w:tcW w:w="2149" w:type="dxa"/>
          </w:tcPr>
          <w:p w14:paraId="6CD0E75C" w14:textId="77777777" w:rsidR="002577F6" w:rsidRPr="00CC2FC7" w:rsidRDefault="002577F6" w:rsidP="00AC3699">
            <w:pPr>
              <w:pStyle w:val="TableText"/>
              <w:rPr>
                <w:b/>
              </w:rPr>
            </w:pPr>
            <w:r w:rsidRPr="00CC2FC7">
              <w:rPr>
                <w:b/>
              </w:rPr>
              <w:t>35-45 Days Pre-Release</w:t>
            </w:r>
          </w:p>
        </w:tc>
        <w:tc>
          <w:tcPr>
            <w:tcW w:w="7026" w:type="dxa"/>
          </w:tcPr>
          <w:p w14:paraId="2548B214" w14:textId="77777777" w:rsidR="002577F6" w:rsidRDefault="002577F6" w:rsidP="000B3AD8">
            <w:pPr>
              <w:pStyle w:val="TableBullet"/>
            </w:pPr>
            <w:r>
              <w:t>Release RTM</w:t>
            </w:r>
          </w:p>
          <w:p w14:paraId="70E47444" w14:textId="77777777" w:rsidR="002577F6" w:rsidRDefault="002577F6" w:rsidP="008C2E14">
            <w:pPr>
              <w:pStyle w:val="TableBullet"/>
            </w:pPr>
            <w:r>
              <w:t>35 Day Notifications (School</w:t>
            </w:r>
            <w:r w:rsidR="00D0239E">
              <w:t>,</w:t>
            </w:r>
            <w:r>
              <w:t xml:space="preserve"> Law Enforcement</w:t>
            </w:r>
            <w:r w:rsidR="00D0239E">
              <w:t>,</w:t>
            </w:r>
            <w:r>
              <w:t xml:space="preserve"> Victim Witness)</w:t>
            </w:r>
          </w:p>
        </w:tc>
      </w:tr>
    </w:tbl>
    <w:p w14:paraId="3BB985B9" w14:textId="77777777" w:rsidR="002577F6" w:rsidRDefault="002577F6" w:rsidP="002577F6">
      <w:r>
        <w:t>The staff survey</w:t>
      </w:r>
      <w:r w:rsidR="006934F3">
        <w:t xml:space="preserve"> asked direct-</w:t>
      </w:r>
      <w:r>
        <w:t>care staff carrying caseloads:</w:t>
      </w:r>
    </w:p>
    <w:p w14:paraId="574BDAFB" w14:textId="77777777" w:rsidR="002577F6" w:rsidRPr="00255A14" w:rsidRDefault="002577F6" w:rsidP="002577F6">
      <w:pPr>
        <w:pStyle w:val="ListBullet"/>
      </w:pPr>
      <w:r>
        <w:rPr>
          <w:bdr w:val="none" w:sz="0" w:space="0" w:color="auto" w:frame="1"/>
        </w:rPr>
        <w:lastRenderedPageBreak/>
        <w:t>Did they receive scheduled case management time?</w:t>
      </w:r>
    </w:p>
    <w:p w14:paraId="141CA1AF" w14:textId="77777777" w:rsidR="002577F6" w:rsidRPr="00255A14" w:rsidRDefault="00E33FD7" w:rsidP="002577F6">
      <w:pPr>
        <w:pStyle w:val="ListBullet"/>
      </w:pPr>
      <w:r>
        <w:rPr>
          <w:bdr w:val="none" w:sz="0" w:space="0" w:color="auto" w:frame="1"/>
        </w:rPr>
        <w:t>How often did they get their</w:t>
      </w:r>
      <w:r w:rsidR="002577F6">
        <w:rPr>
          <w:bdr w:val="none" w:sz="0" w:space="0" w:color="auto" w:frame="1"/>
        </w:rPr>
        <w:t xml:space="preserve"> allotted </w:t>
      </w:r>
      <w:r w:rsidR="006934F3">
        <w:rPr>
          <w:bdr w:val="none" w:sz="0" w:space="0" w:color="auto" w:frame="1"/>
        </w:rPr>
        <w:t>off-the-floor</w:t>
      </w:r>
      <w:r w:rsidR="002577F6">
        <w:rPr>
          <w:bdr w:val="none" w:sz="0" w:space="0" w:color="auto" w:frame="1"/>
        </w:rPr>
        <w:t xml:space="preserve"> time</w:t>
      </w:r>
      <w:r>
        <w:rPr>
          <w:bdr w:val="none" w:sz="0" w:space="0" w:color="auto" w:frame="1"/>
        </w:rPr>
        <w:t xml:space="preserve"> in full</w:t>
      </w:r>
      <w:r w:rsidR="002577F6">
        <w:rPr>
          <w:bdr w:val="none" w:sz="0" w:space="0" w:color="auto" w:frame="1"/>
        </w:rPr>
        <w:t xml:space="preserve">? </w:t>
      </w:r>
    </w:p>
    <w:p w14:paraId="29736987" w14:textId="77777777" w:rsidR="002577F6" w:rsidRPr="00896053" w:rsidRDefault="002577F6" w:rsidP="004378CD">
      <w:pPr>
        <w:pStyle w:val="ListBullet"/>
        <w:spacing w:after="120"/>
        <w:contextualSpacing w:val="0"/>
      </w:pPr>
      <w:r>
        <w:rPr>
          <w:bdr w:val="none" w:sz="0" w:space="0" w:color="auto" w:frame="1"/>
        </w:rPr>
        <w:t>How often is the scheduled time interrupted</w:t>
      </w:r>
      <w:r w:rsidR="000E57E7">
        <w:rPr>
          <w:bdr w:val="none" w:sz="0" w:space="0" w:color="auto" w:frame="1"/>
        </w:rPr>
        <w:t xml:space="preserve"> </w:t>
      </w:r>
      <w:r>
        <w:rPr>
          <w:bdr w:val="none" w:sz="0" w:space="0" w:color="auto" w:frame="1"/>
        </w:rPr>
        <w:t>for them to conduct other duties?</w:t>
      </w:r>
    </w:p>
    <w:p w14:paraId="4BA4274D" w14:textId="77777777" w:rsidR="00896053" w:rsidRDefault="00896053" w:rsidP="00896053">
      <w:r>
        <w:t xml:space="preserve">Exhibit </w:t>
      </w:r>
      <w:r w:rsidR="00C130F7">
        <w:t>5</w:t>
      </w:r>
      <w:r>
        <w:t>-1</w:t>
      </w:r>
      <w:r w:rsidR="00513631">
        <w:t>3</w:t>
      </w:r>
      <w:r>
        <w:t xml:space="preserve"> presents the results from these questions. </w:t>
      </w:r>
    </w:p>
    <w:p w14:paraId="738484D8" w14:textId="77777777" w:rsidR="002577F6" w:rsidRDefault="00AE63DD" w:rsidP="002577F6">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C130F7">
        <w:rPr>
          <w:noProof/>
        </w:rPr>
        <w:t>13</w:t>
      </w:r>
      <w:r w:rsidR="00E251C1">
        <w:t>.</w:t>
      </w:r>
      <w:r w:rsidR="002804F7">
        <w:t xml:space="preserve"> </w:t>
      </w:r>
      <w:r w:rsidR="002577F6">
        <w:t>JRRC</w:t>
      </w:r>
      <w:r w:rsidR="003728A2">
        <w:t>s</w:t>
      </w:r>
      <w:r w:rsidR="002577F6">
        <w:t xml:space="preserve"> and JRCA</w:t>
      </w:r>
      <w:r w:rsidR="003728A2">
        <w:t>s</w:t>
      </w:r>
      <w:r w:rsidR="002577F6">
        <w:t xml:space="preserve"> Scheduled Time Off the Floor</w:t>
      </w:r>
    </w:p>
    <w:tbl>
      <w:tblPr>
        <w:tblStyle w:val="HyzerTable"/>
        <w:tblW w:w="4939" w:type="pct"/>
        <w:tblLayout w:type="fixed"/>
        <w:tblLook w:val="0420" w:firstRow="1" w:lastRow="0" w:firstColumn="0" w:lastColumn="0" w:noHBand="0" w:noVBand="1"/>
      </w:tblPr>
      <w:tblGrid>
        <w:gridCol w:w="1105"/>
        <w:gridCol w:w="791"/>
        <w:gridCol w:w="823"/>
        <w:gridCol w:w="782"/>
        <w:gridCol w:w="1067"/>
        <w:gridCol w:w="714"/>
        <w:gridCol w:w="730"/>
        <w:gridCol w:w="716"/>
        <w:gridCol w:w="993"/>
        <w:gridCol w:w="717"/>
        <w:gridCol w:w="808"/>
      </w:tblGrid>
      <w:tr w:rsidR="002577F6" w:rsidRPr="00CD1826" w14:paraId="2EB6FD63" w14:textId="77777777" w:rsidTr="009E0BD4">
        <w:trPr>
          <w:cnfStyle w:val="100000000000" w:firstRow="1" w:lastRow="0" w:firstColumn="0" w:lastColumn="0" w:oddVBand="0" w:evenVBand="0" w:oddHBand="0" w:evenHBand="0" w:firstRowFirstColumn="0" w:firstRowLastColumn="0" w:lastRowFirstColumn="0" w:lastRowLastColumn="0"/>
        </w:trPr>
        <w:tc>
          <w:tcPr>
            <w:tcW w:w="597" w:type="pct"/>
            <w:vMerge w:val="restart"/>
          </w:tcPr>
          <w:p w14:paraId="3DE9446F" w14:textId="77777777" w:rsidR="002577F6" w:rsidRPr="00200166" w:rsidRDefault="002577F6" w:rsidP="000B3AD8">
            <w:pPr>
              <w:pStyle w:val="tableheaderwhite"/>
              <w:keepNext/>
              <w:rPr>
                <w:sz w:val="22"/>
                <w:szCs w:val="22"/>
              </w:rPr>
            </w:pPr>
            <w:r w:rsidRPr="00200166">
              <w:rPr>
                <w:sz w:val="22"/>
                <w:szCs w:val="22"/>
              </w:rPr>
              <w:t>Facility</w:t>
            </w:r>
          </w:p>
        </w:tc>
        <w:tc>
          <w:tcPr>
            <w:tcW w:w="428" w:type="pct"/>
            <w:vMerge w:val="restart"/>
          </w:tcPr>
          <w:p w14:paraId="38F33ACE" w14:textId="77777777" w:rsidR="002577F6" w:rsidRPr="00200166" w:rsidRDefault="002577F6" w:rsidP="000B3AD8">
            <w:pPr>
              <w:pStyle w:val="tableheaderwhite"/>
              <w:keepNext/>
              <w:rPr>
                <w:sz w:val="22"/>
                <w:szCs w:val="22"/>
              </w:rPr>
            </w:pPr>
            <w:r>
              <w:rPr>
                <w:sz w:val="22"/>
                <w:szCs w:val="22"/>
              </w:rPr>
              <w:t>N</w:t>
            </w:r>
          </w:p>
        </w:tc>
        <w:tc>
          <w:tcPr>
            <w:tcW w:w="2226" w:type="pct"/>
            <w:gridSpan w:val="5"/>
          </w:tcPr>
          <w:p w14:paraId="6623BA90" w14:textId="77777777" w:rsidR="002577F6" w:rsidRPr="00200166" w:rsidRDefault="002577F6" w:rsidP="000B3AD8">
            <w:pPr>
              <w:pStyle w:val="tableheaderwhite"/>
              <w:keepNext/>
              <w:rPr>
                <w:sz w:val="22"/>
                <w:szCs w:val="22"/>
              </w:rPr>
            </w:pPr>
            <w:r w:rsidRPr="00200166">
              <w:rPr>
                <w:sz w:val="22"/>
                <w:szCs w:val="22"/>
              </w:rPr>
              <w:t>How Often Receive Fully Allotted Time</w:t>
            </w:r>
          </w:p>
          <w:p w14:paraId="03B91C54" w14:textId="77777777" w:rsidR="002577F6" w:rsidRPr="00200166" w:rsidRDefault="002577F6" w:rsidP="000B3AD8">
            <w:pPr>
              <w:pStyle w:val="tableheaderwhite"/>
              <w:keepNext/>
              <w:rPr>
                <w:sz w:val="22"/>
                <w:szCs w:val="22"/>
              </w:rPr>
            </w:pPr>
          </w:p>
        </w:tc>
        <w:tc>
          <w:tcPr>
            <w:tcW w:w="1749" w:type="pct"/>
            <w:gridSpan w:val="4"/>
          </w:tcPr>
          <w:p w14:paraId="6F807936" w14:textId="77777777" w:rsidR="002577F6" w:rsidRPr="00200166" w:rsidRDefault="002577F6" w:rsidP="000B3AD8">
            <w:pPr>
              <w:pStyle w:val="tableheaderwhite"/>
              <w:keepNext/>
              <w:rPr>
                <w:sz w:val="22"/>
                <w:szCs w:val="22"/>
              </w:rPr>
            </w:pPr>
            <w:r w:rsidRPr="00200166">
              <w:rPr>
                <w:sz w:val="22"/>
                <w:szCs w:val="22"/>
              </w:rPr>
              <w:t>How Often Called for Other Duties</w:t>
            </w:r>
          </w:p>
        </w:tc>
      </w:tr>
      <w:tr w:rsidR="002577F6" w:rsidRPr="00CD1826" w14:paraId="5B14E4CF" w14:textId="77777777" w:rsidTr="002577F6">
        <w:trPr>
          <w:cnfStyle w:val="000000100000" w:firstRow="0" w:lastRow="0" w:firstColumn="0" w:lastColumn="0" w:oddVBand="0" w:evenVBand="0" w:oddHBand="1" w:evenHBand="0" w:firstRowFirstColumn="0" w:firstRowLastColumn="0" w:lastRowFirstColumn="0" w:lastRowLastColumn="0"/>
          <w:trHeight w:val="517"/>
        </w:trPr>
        <w:tc>
          <w:tcPr>
            <w:tcW w:w="597" w:type="pct"/>
            <w:vMerge/>
          </w:tcPr>
          <w:p w14:paraId="3D2380AD" w14:textId="77777777" w:rsidR="002577F6" w:rsidRPr="00800B44" w:rsidRDefault="002577F6" w:rsidP="000B3AD8">
            <w:pPr>
              <w:pStyle w:val="TableBullet"/>
              <w:numPr>
                <w:ilvl w:val="0"/>
                <w:numId w:val="0"/>
              </w:numPr>
            </w:pPr>
          </w:p>
        </w:tc>
        <w:tc>
          <w:tcPr>
            <w:tcW w:w="428" w:type="pct"/>
            <w:vMerge/>
          </w:tcPr>
          <w:p w14:paraId="160C5227" w14:textId="77777777" w:rsidR="002577F6" w:rsidRPr="00800B44" w:rsidRDefault="002577F6" w:rsidP="000B3AD8">
            <w:pPr>
              <w:pStyle w:val="TableBullet"/>
              <w:numPr>
                <w:ilvl w:val="0"/>
                <w:numId w:val="0"/>
              </w:numPr>
            </w:pPr>
          </w:p>
        </w:tc>
        <w:tc>
          <w:tcPr>
            <w:tcW w:w="445" w:type="pct"/>
            <w:shd w:val="clear" w:color="auto" w:fill="DBE5F1" w:themeFill="accent1" w:themeFillTint="33"/>
          </w:tcPr>
          <w:p w14:paraId="71B86BD2" w14:textId="77777777" w:rsidR="002577F6" w:rsidRPr="00C807FB" w:rsidRDefault="002577F6" w:rsidP="000B3AD8">
            <w:pPr>
              <w:pStyle w:val="TableBullet"/>
              <w:numPr>
                <w:ilvl w:val="0"/>
                <w:numId w:val="0"/>
              </w:numPr>
              <w:ind w:left="130" w:hanging="130"/>
              <w:jc w:val="center"/>
              <w:rPr>
                <w:b/>
              </w:rPr>
            </w:pPr>
            <w:r w:rsidRPr="00C807FB">
              <w:rPr>
                <w:b/>
              </w:rPr>
              <w:t>Always</w:t>
            </w:r>
          </w:p>
        </w:tc>
        <w:tc>
          <w:tcPr>
            <w:tcW w:w="423" w:type="pct"/>
            <w:shd w:val="clear" w:color="auto" w:fill="DBE5F1" w:themeFill="accent1" w:themeFillTint="33"/>
          </w:tcPr>
          <w:p w14:paraId="4B0D4655" w14:textId="77777777" w:rsidR="002577F6" w:rsidRPr="00C807FB" w:rsidRDefault="002577F6" w:rsidP="000B3AD8">
            <w:pPr>
              <w:pStyle w:val="TableBullet"/>
              <w:numPr>
                <w:ilvl w:val="0"/>
                <w:numId w:val="0"/>
              </w:numPr>
              <w:ind w:left="130" w:hanging="130"/>
              <w:jc w:val="center"/>
              <w:rPr>
                <w:b/>
              </w:rPr>
            </w:pPr>
            <w:r w:rsidRPr="00C807FB">
              <w:rPr>
                <w:b/>
              </w:rPr>
              <w:t>Usually</w:t>
            </w:r>
          </w:p>
        </w:tc>
        <w:tc>
          <w:tcPr>
            <w:tcW w:w="577" w:type="pct"/>
            <w:shd w:val="clear" w:color="auto" w:fill="DBE5F1" w:themeFill="accent1" w:themeFillTint="33"/>
          </w:tcPr>
          <w:p w14:paraId="57500C36" w14:textId="77777777" w:rsidR="002577F6" w:rsidRPr="00C807FB" w:rsidRDefault="002577F6" w:rsidP="000B3AD8">
            <w:pPr>
              <w:pStyle w:val="TableBullet"/>
              <w:numPr>
                <w:ilvl w:val="0"/>
                <w:numId w:val="0"/>
              </w:numPr>
              <w:ind w:left="130" w:hanging="130"/>
              <w:jc w:val="center"/>
              <w:rPr>
                <w:b/>
              </w:rPr>
            </w:pPr>
            <w:r w:rsidRPr="00C807FB">
              <w:rPr>
                <w:b/>
              </w:rPr>
              <w:t>Sometimes</w:t>
            </w:r>
          </w:p>
        </w:tc>
        <w:tc>
          <w:tcPr>
            <w:tcW w:w="386" w:type="pct"/>
            <w:shd w:val="clear" w:color="auto" w:fill="DBE5F1" w:themeFill="accent1" w:themeFillTint="33"/>
          </w:tcPr>
          <w:p w14:paraId="34F14B96" w14:textId="77777777" w:rsidR="002577F6" w:rsidRPr="00C807FB" w:rsidRDefault="002577F6" w:rsidP="000B3AD8">
            <w:pPr>
              <w:pStyle w:val="TableBullet"/>
              <w:numPr>
                <w:ilvl w:val="0"/>
                <w:numId w:val="0"/>
              </w:numPr>
              <w:ind w:left="130" w:hanging="130"/>
              <w:jc w:val="center"/>
              <w:rPr>
                <w:b/>
              </w:rPr>
            </w:pPr>
            <w:r w:rsidRPr="00C807FB">
              <w:rPr>
                <w:b/>
              </w:rPr>
              <w:t>Rarely</w:t>
            </w:r>
          </w:p>
        </w:tc>
        <w:tc>
          <w:tcPr>
            <w:tcW w:w="395" w:type="pct"/>
            <w:shd w:val="clear" w:color="auto" w:fill="DBE5F1" w:themeFill="accent1" w:themeFillTint="33"/>
          </w:tcPr>
          <w:p w14:paraId="27ED7669" w14:textId="77777777" w:rsidR="002577F6" w:rsidRPr="00C807FB" w:rsidRDefault="002577F6" w:rsidP="000B3AD8">
            <w:pPr>
              <w:pStyle w:val="TableBullet"/>
              <w:numPr>
                <w:ilvl w:val="0"/>
                <w:numId w:val="0"/>
              </w:numPr>
              <w:ind w:left="130" w:hanging="130"/>
              <w:jc w:val="center"/>
              <w:rPr>
                <w:b/>
              </w:rPr>
            </w:pPr>
            <w:r w:rsidRPr="00C807FB">
              <w:rPr>
                <w:b/>
              </w:rPr>
              <w:t>Never</w:t>
            </w:r>
          </w:p>
        </w:tc>
        <w:tc>
          <w:tcPr>
            <w:tcW w:w="387" w:type="pct"/>
            <w:shd w:val="clear" w:color="auto" w:fill="DBE5F1" w:themeFill="accent1" w:themeFillTint="33"/>
          </w:tcPr>
          <w:p w14:paraId="5BE46778" w14:textId="77777777" w:rsidR="002577F6" w:rsidRPr="00C807FB" w:rsidRDefault="002577F6" w:rsidP="000B3AD8">
            <w:pPr>
              <w:pStyle w:val="TableBullet"/>
              <w:numPr>
                <w:ilvl w:val="0"/>
                <w:numId w:val="0"/>
              </w:numPr>
              <w:ind w:left="130" w:hanging="130"/>
              <w:jc w:val="center"/>
              <w:rPr>
                <w:b/>
              </w:rPr>
            </w:pPr>
            <w:r w:rsidRPr="00C807FB">
              <w:rPr>
                <w:b/>
              </w:rPr>
              <w:t>Often</w:t>
            </w:r>
          </w:p>
        </w:tc>
        <w:tc>
          <w:tcPr>
            <w:tcW w:w="537" w:type="pct"/>
            <w:shd w:val="clear" w:color="auto" w:fill="DBE5F1" w:themeFill="accent1" w:themeFillTint="33"/>
          </w:tcPr>
          <w:p w14:paraId="646251D0" w14:textId="77777777" w:rsidR="002577F6" w:rsidRPr="00C807FB" w:rsidRDefault="002577F6" w:rsidP="000B3AD8">
            <w:pPr>
              <w:pStyle w:val="TableBullet"/>
              <w:numPr>
                <w:ilvl w:val="0"/>
                <w:numId w:val="0"/>
              </w:numPr>
              <w:ind w:left="130" w:hanging="130"/>
              <w:jc w:val="center"/>
              <w:rPr>
                <w:b/>
              </w:rPr>
            </w:pPr>
            <w:r w:rsidRPr="00C807FB">
              <w:rPr>
                <w:b/>
              </w:rPr>
              <w:t>Half the Time</w:t>
            </w:r>
          </w:p>
        </w:tc>
        <w:tc>
          <w:tcPr>
            <w:tcW w:w="388" w:type="pct"/>
            <w:shd w:val="clear" w:color="auto" w:fill="DBE5F1" w:themeFill="accent1" w:themeFillTint="33"/>
          </w:tcPr>
          <w:p w14:paraId="2AE995FE" w14:textId="77777777" w:rsidR="002577F6" w:rsidRPr="00C807FB" w:rsidRDefault="002577F6" w:rsidP="000B3AD8">
            <w:pPr>
              <w:pStyle w:val="TableBullet"/>
              <w:numPr>
                <w:ilvl w:val="0"/>
                <w:numId w:val="0"/>
              </w:numPr>
              <w:ind w:left="130" w:hanging="130"/>
              <w:jc w:val="center"/>
              <w:rPr>
                <w:b/>
              </w:rPr>
            </w:pPr>
            <w:r w:rsidRPr="00C807FB">
              <w:rPr>
                <w:b/>
              </w:rPr>
              <w:t>Rarely</w:t>
            </w:r>
          </w:p>
        </w:tc>
        <w:tc>
          <w:tcPr>
            <w:tcW w:w="437" w:type="pct"/>
            <w:shd w:val="clear" w:color="auto" w:fill="DBE5F1" w:themeFill="accent1" w:themeFillTint="33"/>
          </w:tcPr>
          <w:p w14:paraId="5E2C0DA9" w14:textId="77777777" w:rsidR="002577F6" w:rsidRPr="00C807FB" w:rsidRDefault="002577F6" w:rsidP="000B3AD8">
            <w:pPr>
              <w:pStyle w:val="TableBullet"/>
              <w:numPr>
                <w:ilvl w:val="0"/>
                <w:numId w:val="0"/>
              </w:numPr>
              <w:jc w:val="center"/>
              <w:rPr>
                <w:b/>
              </w:rPr>
            </w:pPr>
            <w:r w:rsidRPr="00C807FB">
              <w:rPr>
                <w:b/>
              </w:rPr>
              <w:t>Never</w:t>
            </w:r>
          </w:p>
        </w:tc>
      </w:tr>
      <w:tr w:rsidR="002577F6" w:rsidRPr="00CD1826" w14:paraId="192284BA" w14:textId="77777777" w:rsidTr="00AC3095">
        <w:tc>
          <w:tcPr>
            <w:tcW w:w="597" w:type="pct"/>
          </w:tcPr>
          <w:p w14:paraId="4B9ABFED" w14:textId="77777777" w:rsidR="002577F6" w:rsidRPr="00C807FB" w:rsidRDefault="002577F6" w:rsidP="000B3AD8">
            <w:pPr>
              <w:pStyle w:val="TableBullet"/>
              <w:numPr>
                <w:ilvl w:val="0"/>
                <w:numId w:val="0"/>
              </w:numPr>
              <w:ind w:left="130" w:hanging="130"/>
              <w:rPr>
                <w:b/>
              </w:rPr>
            </w:pPr>
            <w:r w:rsidRPr="00C807FB">
              <w:rPr>
                <w:b/>
              </w:rPr>
              <w:t xml:space="preserve">JR Total </w:t>
            </w:r>
          </w:p>
        </w:tc>
        <w:tc>
          <w:tcPr>
            <w:tcW w:w="428" w:type="pct"/>
            <w:vAlign w:val="center"/>
          </w:tcPr>
          <w:p w14:paraId="0AC1C210" w14:textId="77777777" w:rsidR="002577F6" w:rsidRPr="002577F6" w:rsidRDefault="009E0BD4" w:rsidP="00AC3095">
            <w:pPr>
              <w:pStyle w:val="TableBullet"/>
              <w:numPr>
                <w:ilvl w:val="0"/>
                <w:numId w:val="0"/>
              </w:numPr>
              <w:ind w:left="130" w:hanging="130"/>
              <w:jc w:val="center"/>
              <w:rPr>
                <w:rStyle w:val="TableTextBold"/>
              </w:rPr>
            </w:pPr>
            <w:r>
              <w:rPr>
                <w:rStyle w:val="TableTextBold"/>
              </w:rPr>
              <w:t>59</w:t>
            </w:r>
          </w:p>
        </w:tc>
        <w:tc>
          <w:tcPr>
            <w:tcW w:w="445" w:type="pct"/>
            <w:vAlign w:val="center"/>
          </w:tcPr>
          <w:p w14:paraId="463EA6EB" w14:textId="77777777" w:rsidR="002577F6" w:rsidRPr="009E0BD4" w:rsidRDefault="002577F6" w:rsidP="00AC3095">
            <w:pPr>
              <w:pStyle w:val="TableBullet"/>
              <w:numPr>
                <w:ilvl w:val="0"/>
                <w:numId w:val="0"/>
              </w:numPr>
              <w:ind w:left="130" w:hanging="130"/>
              <w:jc w:val="center"/>
              <w:rPr>
                <w:b/>
              </w:rPr>
            </w:pPr>
            <w:r w:rsidRPr="009E0BD4">
              <w:rPr>
                <w:b/>
              </w:rPr>
              <w:t>9.7%</w:t>
            </w:r>
          </w:p>
        </w:tc>
        <w:tc>
          <w:tcPr>
            <w:tcW w:w="423" w:type="pct"/>
            <w:vAlign w:val="center"/>
          </w:tcPr>
          <w:p w14:paraId="6C966DAB" w14:textId="77777777" w:rsidR="002577F6" w:rsidRPr="009E0BD4" w:rsidRDefault="009E0BD4" w:rsidP="00AC3095">
            <w:pPr>
              <w:pStyle w:val="TableBullet"/>
              <w:numPr>
                <w:ilvl w:val="0"/>
                <w:numId w:val="0"/>
              </w:numPr>
              <w:ind w:left="130" w:hanging="130"/>
              <w:jc w:val="center"/>
              <w:rPr>
                <w:b/>
              </w:rPr>
            </w:pPr>
            <w:r w:rsidRPr="009E0BD4">
              <w:rPr>
                <w:b/>
              </w:rPr>
              <w:t>21.0</w:t>
            </w:r>
            <w:r w:rsidR="002577F6" w:rsidRPr="009E0BD4">
              <w:rPr>
                <w:b/>
              </w:rPr>
              <w:t>%</w:t>
            </w:r>
          </w:p>
        </w:tc>
        <w:tc>
          <w:tcPr>
            <w:tcW w:w="577" w:type="pct"/>
            <w:vAlign w:val="center"/>
          </w:tcPr>
          <w:p w14:paraId="61FA3354" w14:textId="77777777" w:rsidR="002577F6" w:rsidRPr="009E0BD4" w:rsidRDefault="002577F6" w:rsidP="00AC3095">
            <w:pPr>
              <w:pStyle w:val="TableBullet"/>
              <w:numPr>
                <w:ilvl w:val="0"/>
                <w:numId w:val="0"/>
              </w:numPr>
              <w:ind w:left="130" w:hanging="130"/>
              <w:jc w:val="center"/>
              <w:rPr>
                <w:b/>
              </w:rPr>
            </w:pPr>
            <w:r w:rsidRPr="009E0BD4">
              <w:rPr>
                <w:b/>
              </w:rPr>
              <w:t>27.4%</w:t>
            </w:r>
          </w:p>
        </w:tc>
        <w:tc>
          <w:tcPr>
            <w:tcW w:w="386" w:type="pct"/>
            <w:vAlign w:val="center"/>
          </w:tcPr>
          <w:p w14:paraId="5690013E" w14:textId="77777777" w:rsidR="002577F6" w:rsidRPr="009E0BD4" w:rsidRDefault="002577F6" w:rsidP="00AC3095">
            <w:pPr>
              <w:pStyle w:val="TableBullet"/>
              <w:numPr>
                <w:ilvl w:val="0"/>
                <w:numId w:val="0"/>
              </w:numPr>
              <w:ind w:left="130" w:hanging="130"/>
              <w:jc w:val="center"/>
              <w:rPr>
                <w:b/>
              </w:rPr>
            </w:pPr>
            <w:r w:rsidRPr="009E0BD4">
              <w:rPr>
                <w:b/>
              </w:rPr>
              <w:t>33.9%</w:t>
            </w:r>
          </w:p>
        </w:tc>
        <w:tc>
          <w:tcPr>
            <w:tcW w:w="395" w:type="pct"/>
            <w:vAlign w:val="center"/>
          </w:tcPr>
          <w:p w14:paraId="6D8C9EA8" w14:textId="77777777" w:rsidR="002577F6" w:rsidRPr="009E0BD4" w:rsidRDefault="002577F6" w:rsidP="00AC3095">
            <w:pPr>
              <w:pStyle w:val="TableBullet"/>
              <w:numPr>
                <w:ilvl w:val="0"/>
                <w:numId w:val="0"/>
              </w:numPr>
              <w:ind w:left="130" w:hanging="130"/>
              <w:jc w:val="center"/>
              <w:rPr>
                <w:b/>
              </w:rPr>
            </w:pPr>
            <w:r w:rsidRPr="009E0BD4">
              <w:rPr>
                <w:b/>
              </w:rPr>
              <w:t>8.1%</w:t>
            </w:r>
          </w:p>
        </w:tc>
        <w:tc>
          <w:tcPr>
            <w:tcW w:w="387" w:type="pct"/>
            <w:vAlign w:val="center"/>
          </w:tcPr>
          <w:p w14:paraId="46AF8BE4" w14:textId="77777777" w:rsidR="002577F6" w:rsidRPr="009E0BD4" w:rsidRDefault="002577F6" w:rsidP="00AC3095">
            <w:pPr>
              <w:pStyle w:val="TableBullet"/>
              <w:numPr>
                <w:ilvl w:val="0"/>
                <w:numId w:val="0"/>
              </w:numPr>
              <w:spacing w:before="0" w:after="0"/>
              <w:ind w:left="130" w:hanging="130"/>
              <w:jc w:val="center"/>
              <w:rPr>
                <w:b/>
              </w:rPr>
            </w:pPr>
            <w:r w:rsidRPr="009E0BD4">
              <w:rPr>
                <w:b/>
              </w:rPr>
              <w:t>59.0%</w:t>
            </w:r>
          </w:p>
        </w:tc>
        <w:tc>
          <w:tcPr>
            <w:tcW w:w="537" w:type="pct"/>
            <w:vAlign w:val="center"/>
          </w:tcPr>
          <w:p w14:paraId="57968337" w14:textId="77777777" w:rsidR="002577F6" w:rsidRPr="009E0BD4" w:rsidRDefault="002577F6" w:rsidP="00AC3095">
            <w:pPr>
              <w:spacing w:beforeLines="20" w:before="48" w:afterLines="20" w:after="48"/>
              <w:jc w:val="center"/>
              <w:rPr>
                <w:rFonts w:ascii="Arial Narrow" w:hAnsi="Arial Narrow"/>
                <w:b/>
                <w:sz w:val="20"/>
                <w:szCs w:val="20"/>
              </w:rPr>
            </w:pPr>
            <w:r w:rsidRPr="009E0BD4">
              <w:rPr>
                <w:rFonts w:ascii="Arial Narrow" w:hAnsi="Arial Narrow"/>
                <w:b/>
                <w:sz w:val="20"/>
                <w:szCs w:val="20"/>
              </w:rPr>
              <w:t>29.0%</w:t>
            </w:r>
          </w:p>
        </w:tc>
        <w:tc>
          <w:tcPr>
            <w:tcW w:w="388" w:type="pct"/>
            <w:vAlign w:val="center"/>
          </w:tcPr>
          <w:p w14:paraId="4434C992" w14:textId="77777777" w:rsidR="002577F6" w:rsidRPr="009E0BD4" w:rsidRDefault="002577F6" w:rsidP="00AC3095">
            <w:pPr>
              <w:spacing w:beforeLines="20" w:before="48" w:afterLines="20" w:after="48"/>
              <w:jc w:val="center"/>
              <w:rPr>
                <w:rFonts w:ascii="Arial Narrow" w:hAnsi="Arial Narrow"/>
                <w:b/>
                <w:sz w:val="20"/>
                <w:szCs w:val="20"/>
              </w:rPr>
            </w:pPr>
            <w:r w:rsidRPr="009E0BD4">
              <w:rPr>
                <w:rFonts w:ascii="Arial Narrow" w:hAnsi="Arial Narrow"/>
                <w:b/>
                <w:sz w:val="20"/>
                <w:szCs w:val="20"/>
              </w:rPr>
              <w:t>10.0%</w:t>
            </w:r>
          </w:p>
        </w:tc>
        <w:tc>
          <w:tcPr>
            <w:tcW w:w="437" w:type="pct"/>
            <w:vAlign w:val="center"/>
          </w:tcPr>
          <w:p w14:paraId="3825B1CB" w14:textId="77777777" w:rsidR="002577F6" w:rsidRPr="009E0BD4" w:rsidRDefault="002577F6" w:rsidP="00AC3095">
            <w:pPr>
              <w:pStyle w:val="TableBullet"/>
              <w:numPr>
                <w:ilvl w:val="0"/>
                <w:numId w:val="0"/>
              </w:numPr>
              <w:ind w:left="130" w:hanging="130"/>
              <w:jc w:val="center"/>
              <w:rPr>
                <w:b/>
              </w:rPr>
            </w:pPr>
            <w:r w:rsidRPr="009E0BD4">
              <w:rPr>
                <w:b/>
              </w:rPr>
              <w:t>2.0%</w:t>
            </w:r>
          </w:p>
        </w:tc>
      </w:tr>
      <w:tr w:rsidR="009E0BD4" w:rsidRPr="00CD1826" w14:paraId="47A4B257" w14:textId="77777777" w:rsidTr="002577F6">
        <w:trPr>
          <w:cnfStyle w:val="000000100000" w:firstRow="0" w:lastRow="0" w:firstColumn="0" w:lastColumn="0" w:oddVBand="0" w:evenVBand="0" w:oddHBand="1" w:evenHBand="0" w:firstRowFirstColumn="0" w:firstRowLastColumn="0" w:lastRowFirstColumn="0" w:lastRowLastColumn="0"/>
        </w:trPr>
        <w:tc>
          <w:tcPr>
            <w:tcW w:w="597" w:type="pct"/>
          </w:tcPr>
          <w:p w14:paraId="5C4A8E17" w14:textId="77777777" w:rsidR="009E0BD4" w:rsidRPr="009E0BD4" w:rsidRDefault="009E0BD4" w:rsidP="000B3AD8">
            <w:pPr>
              <w:pStyle w:val="TableText"/>
            </w:pPr>
            <w:r w:rsidRPr="009E0BD4">
              <w:t xml:space="preserve">Echo Glen </w:t>
            </w:r>
          </w:p>
        </w:tc>
        <w:tc>
          <w:tcPr>
            <w:tcW w:w="428" w:type="pct"/>
            <w:vAlign w:val="center"/>
          </w:tcPr>
          <w:p w14:paraId="3339DCE0" w14:textId="77777777" w:rsidR="009E0BD4" w:rsidRPr="009E0BD4" w:rsidRDefault="009E0BD4" w:rsidP="002577F6">
            <w:pPr>
              <w:pStyle w:val="TableBullet"/>
              <w:numPr>
                <w:ilvl w:val="0"/>
                <w:numId w:val="0"/>
              </w:numPr>
              <w:ind w:left="130" w:hanging="130"/>
              <w:jc w:val="center"/>
              <w:rPr>
                <w:rStyle w:val="TableTextBold"/>
                <w:b w:val="0"/>
              </w:rPr>
            </w:pPr>
            <w:r w:rsidRPr="009E0BD4">
              <w:rPr>
                <w:rStyle w:val="TableTextBold"/>
                <w:b w:val="0"/>
              </w:rPr>
              <w:t>11</w:t>
            </w:r>
          </w:p>
        </w:tc>
        <w:tc>
          <w:tcPr>
            <w:tcW w:w="445" w:type="pct"/>
            <w:vAlign w:val="center"/>
          </w:tcPr>
          <w:p w14:paraId="4DDB5304"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36.4%</w:t>
            </w:r>
          </w:p>
        </w:tc>
        <w:tc>
          <w:tcPr>
            <w:tcW w:w="423" w:type="pct"/>
            <w:vAlign w:val="center"/>
          </w:tcPr>
          <w:p w14:paraId="720CB1E4"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9.1%</w:t>
            </w:r>
          </w:p>
        </w:tc>
        <w:tc>
          <w:tcPr>
            <w:tcW w:w="577" w:type="pct"/>
            <w:vAlign w:val="center"/>
          </w:tcPr>
          <w:p w14:paraId="6C11782E"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18.2%</w:t>
            </w:r>
          </w:p>
        </w:tc>
        <w:tc>
          <w:tcPr>
            <w:tcW w:w="386" w:type="pct"/>
            <w:vAlign w:val="center"/>
          </w:tcPr>
          <w:p w14:paraId="753C5C64"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27.3%</w:t>
            </w:r>
          </w:p>
        </w:tc>
        <w:tc>
          <w:tcPr>
            <w:tcW w:w="395" w:type="pct"/>
            <w:vAlign w:val="center"/>
          </w:tcPr>
          <w:p w14:paraId="27B166E2"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9.1%</w:t>
            </w:r>
          </w:p>
        </w:tc>
        <w:tc>
          <w:tcPr>
            <w:tcW w:w="387" w:type="pct"/>
            <w:vAlign w:val="center"/>
          </w:tcPr>
          <w:p w14:paraId="5BC4BDFF"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45.1%</w:t>
            </w:r>
          </w:p>
        </w:tc>
        <w:tc>
          <w:tcPr>
            <w:tcW w:w="537" w:type="pct"/>
            <w:vAlign w:val="center"/>
          </w:tcPr>
          <w:p w14:paraId="25B9CDEF"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27.3%</w:t>
            </w:r>
          </w:p>
        </w:tc>
        <w:tc>
          <w:tcPr>
            <w:tcW w:w="388" w:type="pct"/>
            <w:vAlign w:val="center"/>
          </w:tcPr>
          <w:p w14:paraId="641E0BAF"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18.2%</w:t>
            </w:r>
          </w:p>
        </w:tc>
        <w:tc>
          <w:tcPr>
            <w:tcW w:w="437" w:type="pct"/>
            <w:vAlign w:val="center"/>
          </w:tcPr>
          <w:p w14:paraId="6FB32BD0" w14:textId="77777777" w:rsidR="009E0BD4"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9.1%</w:t>
            </w:r>
          </w:p>
        </w:tc>
      </w:tr>
      <w:tr w:rsidR="002577F6" w:rsidRPr="00CD1826" w14:paraId="492CC176" w14:textId="77777777" w:rsidTr="002577F6">
        <w:tc>
          <w:tcPr>
            <w:tcW w:w="597" w:type="pct"/>
          </w:tcPr>
          <w:p w14:paraId="145A7D1D" w14:textId="77777777" w:rsidR="002577F6" w:rsidRPr="009E0BD4" w:rsidRDefault="002577F6" w:rsidP="000B3AD8">
            <w:pPr>
              <w:pStyle w:val="TableText"/>
            </w:pPr>
            <w:r w:rsidRPr="009E0BD4">
              <w:t>Green Hill</w:t>
            </w:r>
          </w:p>
        </w:tc>
        <w:tc>
          <w:tcPr>
            <w:tcW w:w="428" w:type="pct"/>
            <w:vAlign w:val="center"/>
          </w:tcPr>
          <w:p w14:paraId="6E7E7C47" w14:textId="77777777" w:rsidR="002577F6" w:rsidRPr="009E0BD4" w:rsidRDefault="002577F6" w:rsidP="002577F6">
            <w:pPr>
              <w:pStyle w:val="TableBullet"/>
              <w:numPr>
                <w:ilvl w:val="0"/>
                <w:numId w:val="0"/>
              </w:numPr>
              <w:ind w:left="130" w:hanging="130"/>
              <w:jc w:val="center"/>
              <w:rPr>
                <w:rStyle w:val="TableTextBold"/>
                <w:b w:val="0"/>
              </w:rPr>
            </w:pPr>
            <w:r w:rsidRPr="009E0BD4">
              <w:rPr>
                <w:rStyle w:val="TableTextBold"/>
                <w:b w:val="0"/>
              </w:rPr>
              <w:t>2</w:t>
            </w:r>
            <w:r w:rsidR="009E0BD4">
              <w:rPr>
                <w:rStyle w:val="TableTextBold"/>
                <w:b w:val="0"/>
              </w:rPr>
              <w:t>3</w:t>
            </w:r>
          </w:p>
        </w:tc>
        <w:tc>
          <w:tcPr>
            <w:tcW w:w="445" w:type="pct"/>
            <w:vAlign w:val="center"/>
          </w:tcPr>
          <w:p w14:paraId="05729939" w14:textId="77777777" w:rsidR="002577F6" w:rsidRPr="009E0BD4" w:rsidRDefault="002577F6" w:rsidP="000B3AD8">
            <w:pPr>
              <w:pStyle w:val="TableBullet"/>
              <w:numPr>
                <w:ilvl w:val="0"/>
                <w:numId w:val="0"/>
              </w:numPr>
              <w:ind w:left="130" w:hanging="130"/>
              <w:jc w:val="center"/>
              <w:rPr>
                <w:rStyle w:val="TableTextBold"/>
                <w:b w:val="0"/>
              </w:rPr>
            </w:pPr>
            <w:r w:rsidRPr="009E0BD4">
              <w:rPr>
                <w:rStyle w:val="TableTextBold"/>
                <w:b w:val="0"/>
              </w:rPr>
              <w:t>3.8%</w:t>
            </w:r>
          </w:p>
        </w:tc>
        <w:tc>
          <w:tcPr>
            <w:tcW w:w="423" w:type="pct"/>
            <w:vAlign w:val="center"/>
          </w:tcPr>
          <w:p w14:paraId="186CC2B4" w14:textId="77777777" w:rsidR="002577F6" w:rsidRPr="009E0BD4" w:rsidRDefault="002577F6" w:rsidP="000B3AD8">
            <w:pPr>
              <w:pStyle w:val="TableBullet"/>
              <w:numPr>
                <w:ilvl w:val="0"/>
                <w:numId w:val="0"/>
              </w:numPr>
              <w:ind w:left="130" w:hanging="130"/>
              <w:jc w:val="center"/>
              <w:rPr>
                <w:rStyle w:val="TableTextBold"/>
                <w:b w:val="0"/>
              </w:rPr>
            </w:pPr>
            <w:r w:rsidRPr="009E0BD4">
              <w:rPr>
                <w:rStyle w:val="TableTextBold"/>
                <w:b w:val="0"/>
              </w:rPr>
              <w:t>26.9%</w:t>
            </w:r>
          </w:p>
        </w:tc>
        <w:tc>
          <w:tcPr>
            <w:tcW w:w="577" w:type="pct"/>
            <w:vAlign w:val="center"/>
          </w:tcPr>
          <w:p w14:paraId="1F762033" w14:textId="77777777" w:rsidR="002577F6" w:rsidRPr="009E0BD4" w:rsidRDefault="002577F6" w:rsidP="000B3AD8">
            <w:pPr>
              <w:pStyle w:val="TableBullet"/>
              <w:numPr>
                <w:ilvl w:val="0"/>
                <w:numId w:val="0"/>
              </w:numPr>
              <w:ind w:left="130" w:hanging="130"/>
              <w:jc w:val="center"/>
              <w:rPr>
                <w:rStyle w:val="TableTextBold"/>
                <w:b w:val="0"/>
              </w:rPr>
            </w:pPr>
            <w:r w:rsidRPr="009E0BD4">
              <w:rPr>
                <w:rStyle w:val="TableTextBold"/>
                <w:b w:val="0"/>
              </w:rPr>
              <w:t>23.1%</w:t>
            </w:r>
          </w:p>
        </w:tc>
        <w:tc>
          <w:tcPr>
            <w:tcW w:w="386" w:type="pct"/>
            <w:vAlign w:val="center"/>
          </w:tcPr>
          <w:p w14:paraId="11BE0FD5" w14:textId="77777777" w:rsidR="002577F6" w:rsidRPr="009E0BD4" w:rsidRDefault="002577F6" w:rsidP="000B3AD8">
            <w:pPr>
              <w:pStyle w:val="TableBullet"/>
              <w:numPr>
                <w:ilvl w:val="0"/>
                <w:numId w:val="0"/>
              </w:numPr>
              <w:ind w:left="130" w:hanging="130"/>
              <w:jc w:val="center"/>
              <w:rPr>
                <w:rStyle w:val="TableTextBold"/>
                <w:b w:val="0"/>
              </w:rPr>
            </w:pPr>
            <w:r w:rsidRPr="009E0BD4">
              <w:rPr>
                <w:rStyle w:val="TableTextBold"/>
                <w:b w:val="0"/>
              </w:rPr>
              <w:t>38.5%</w:t>
            </w:r>
          </w:p>
        </w:tc>
        <w:tc>
          <w:tcPr>
            <w:tcW w:w="395" w:type="pct"/>
            <w:vAlign w:val="center"/>
          </w:tcPr>
          <w:p w14:paraId="437226E9" w14:textId="77777777" w:rsidR="002577F6" w:rsidRPr="009E0BD4" w:rsidRDefault="002577F6" w:rsidP="000B3AD8">
            <w:pPr>
              <w:pStyle w:val="TableBullet"/>
              <w:numPr>
                <w:ilvl w:val="0"/>
                <w:numId w:val="0"/>
              </w:numPr>
              <w:ind w:left="130" w:hanging="130"/>
              <w:jc w:val="center"/>
              <w:rPr>
                <w:rStyle w:val="TableTextBold"/>
                <w:b w:val="0"/>
              </w:rPr>
            </w:pPr>
            <w:r w:rsidRPr="009E0BD4">
              <w:rPr>
                <w:rStyle w:val="TableTextBold"/>
                <w:b w:val="0"/>
              </w:rPr>
              <w:t>7.7%</w:t>
            </w:r>
          </w:p>
        </w:tc>
        <w:tc>
          <w:tcPr>
            <w:tcW w:w="387" w:type="pct"/>
            <w:vAlign w:val="center"/>
          </w:tcPr>
          <w:p w14:paraId="0D4B8BE5" w14:textId="77777777" w:rsidR="002577F6"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60.9</w:t>
            </w:r>
            <w:r w:rsidR="002577F6" w:rsidRPr="009E0BD4">
              <w:rPr>
                <w:rStyle w:val="TableTextBold"/>
                <w:b w:val="0"/>
              </w:rPr>
              <w:t>%</w:t>
            </w:r>
          </w:p>
        </w:tc>
        <w:tc>
          <w:tcPr>
            <w:tcW w:w="537" w:type="pct"/>
            <w:vAlign w:val="center"/>
          </w:tcPr>
          <w:p w14:paraId="26427C1A" w14:textId="77777777" w:rsidR="002577F6"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30.4</w:t>
            </w:r>
            <w:r w:rsidR="002577F6" w:rsidRPr="009E0BD4">
              <w:rPr>
                <w:rStyle w:val="TableTextBold"/>
                <w:b w:val="0"/>
              </w:rPr>
              <w:t>%</w:t>
            </w:r>
          </w:p>
        </w:tc>
        <w:tc>
          <w:tcPr>
            <w:tcW w:w="388" w:type="pct"/>
            <w:vAlign w:val="center"/>
          </w:tcPr>
          <w:p w14:paraId="5F9FB5DA" w14:textId="77777777" w:rsidR="002577F6" w:rsidRPr="009E0BD4" w:rsidRDefault="009E0BD4" w:rsidP="000B3AD8">
            <w:pPr>
              <w:pStyle w:val="TableBullet"/>
              <w:numPr>
                <w:ilvl w:val="0"/>
                <w:numId w:val="0"/>
              </w:numPr>
              <w:ind w:left="130" w:hanging="130"/>
              <w:jc w:val="center"/>
              <w:rPr>
                <w:rStyle w:val="TableTextBold"/>
                <w:b w:val="0"/>
              </w:rPr>
            </w:pPr>
            <w:r w:rsidRPr="009E0BD4">
              <w:rPr>
                <w:rStyle w:val="TableTextBold"/>
                <w:b w:val="0"/>
              </w:rPr>
              <w:t>8</w:t>
            </w:r>
            <w:r w:rsidR="002577F6" w:rsidRPr="009E0BD4">
              <w:rPr>
                <w:rStyle w:val="TableTextBold"/>
                <w:b w:val="0"/>
              </w:rPr>
              <w:t>.7%</w:t>
            </w:r>
          </w:p>
        </w:tc>
        <w:tc>
          <w:tcPr>
            <w:tcW w:w="437" w:type="pct"/>
            <w:vAlign w:val="center"/>
          </w:tcPr>
          <w:p w14:paraId="0D10662F" w14:textId="77777777" w:rsidR="002577F6" w:rsidRPr="009E0BD4" w:rsidRDefault="002577F6" w:rsidP="000B3AD8">
            <w:pPr>
              <w:pStyle w:val="TableBullet"/>
              <w:numPr>
                <w:ilvl w:val="0"/>
                <w:numId w:val="0"/>
              </w:numPr>
              <w:ind w:left="130" w:hanging="130"/>
              <w:jc w:val="center"/>
              <w:rPr>
                <w:rStyle w:val="TableTextBold"/>
                <w:b w:val="0"/>
              </w:rPr>
            </w:pPr>
            <w:r w:rsidRPr="009E0BD4">
              <w:rPr>
                <w:rStyle w:val="TableTextBold"/>
                <w:b w:val="0"/>
              </w:rPr>
              <w:t>0%</w:t>
            </w:r>
          </w:p>
        </w:tc>
      </w:tr>
      <w:tr w:rsidR="002577F6" w:rsidRPr="00800B44" w14:paraId="353957F2" w14:textId="77777777" w:rsidTr="002577F6">
        <w:trPr>
          <w:cnfStyle w:val="000000100000" w:firstRow="0" w:lastRow="0" w:firstColumn="0" w:lastColumn="0" w:oddVBand="0" w:evenVBand="0" w:oddHBand="1" w:evenHBand="0" w:firstRowFirstColumn="0" w:firstRowLastColumn="0" w:lastRowFirstColumn="0" w:lastRowLastColumn="0"/>
        </w:trPr>
        <w:tc>
          <w:tcPr>
            <w:tcW w:w="597" w:type="pct"/>
          </w:tcPr>
          <w:p w14:paraId="5506A209" w14:textId="77777777" w:rsidR="002577F6" w:rsidRPr="009E0BD4" w:rsidRDefault="002577F6" w:rsidP="000B3AD8">
            <w:pPr>
              <w:pStyle w:val="TableText"/>
            </w:pPr>
            <w:r w:rsidRPr="009E0BD4">
              <w:t>Naselle</w:t>
            </w:r>
          </w:p>
        </w:tc>
        <w:tc>
          <w:tcPr>
            <w:tcW w:w="428" w:type="pct"/>
            <w:vAlign w:val="center"/>
          </w:tcPr>
          <w:p w14:paraId="7A8308C2" w14:textId="77777777" w:rsidR="002577F6" w:rsidRPr="009E0BD4" w:rsidRDefault="002577F6" w:rsidP="002577F6">
            <w:pPr>
              <w:pStyle w:val="TableBullet"/>
              <w:numPr>
                <w:ilvl w:val="0"/>
                <w:numId w:val="0"/>
              </w:numPr>
              <w:ind w:left="130" w:hanging="130"/>
              <w:jc w:val="center"/>
              <w:rPr>
                <w:rStyle w:val="TableTextBold"/>
                <w:b w:val="0"/>
              </w:rPr>
            </w:pPr>
            <w:r w:rsidRPr="009E0BD4">
              <w:rPr>
                <w:rStyle w:val="TableTextBold"/>
                <w:b w:val="0"/>
              </w:rPr>
              <w:t>14</w:t>
            </w:r>
          </w:p>
        </w:tc>
        <w:tc>
          <w:tcPr>
            <w:tcW w:w="445" w:type="pct"/>
            <w:vAlign w:val="center"/>
          </w:tcPr>
          <w:p w14:paraId="0FF40459" w14:textId="77777777" w:rsidR="002577F6" w:rsidRPr="009E0BD4" w:rsidRDefault="002577F6" w:rsidP="000B3AD8">
            <w:pPr>
              <w:pStyle w:val="TableText"/>
              <w:jc w:val="center"/>
              <w:rPr>
                <w:rStyle w:val="TableTextBold"/>
                <w:b w:val="0"/>
              </w:rPr>
            </w:pPr>
            <w:r w:rsidRPr="009E0BD4">
              <w:rPr>
                <w:rStyle w:val="TableTextBold"/>
                <w:b w:val="0"/>
              </w:rPr>
              <w:t>7.1%</w:t>
            </w:r>
          </w:p>
        </w:tc>
        <w:tc>
          <w:tcPr>
            <w:tcW w:w="423" w:type="pct"/>
            <w:vAlign w:val="center"/>
          </w:tcPr>
          <w:p w14:paraId="1F578634" w14:textId="77777777" w:rsidR="002577F6" w:rsidRPr="009E0BD4" w:rsidRDefault="002577F6" w:rsidP="000B3AD8">
            <w:pPr>
              <w:pStyle w:val="TableText"/>
              <w:jc w:val="center"/>
              <w:rPr>
                <w:rStyle w:val="TableTextBold"/>
                <w:b w:val="0"/>
              </w:rPr>
            </w:pPr>
            <w:r w:rsidRPr="009E0BD4">
              <w:rPr>
                <w:rStyle w:val="TableTextBold"/>
                <w:b w:val="0"/>
              </w:rPr>
              <w:t>14.3%</w:t>
            </w:r>
          </w:p>
        </w:tc>
        <w:tc>
          <w:tcPr>
            <w:tcW w:w="577" w:type="pct"/>
            <w:vAlign w:val="center"/>
          </w:tcPr>
          <w:p w14:paraId="7BC43162" w14:textId="77777777" w:rsidR="002577F6" w:rsidRPr="009E0BD4" w:rsidRDefault="002577F6" w:rsidP="000B3AD8">
            <w:pPr>
              <w:pStyle w:val="TableText"/>
              <w:jc w:val="center"/>
              <w:rPr>
                <w:rStyle w:val="TableTextBold"/>
                <w:b w:val="0"/>
              </w:rPr>
            </w:pPr>
            <w:r w:rsidRPr="009E0BD4">
              <w:rPr>
                <w:rStyle w:val="TableTextBold"/>
                <w:b w:val="0"/>
              </w:rPr>
              <w:t>28.6%</w:t>
            </w:r>
          </w:p>
        </w:tc>
        <w:tc>
          <w:tcPr>
            <w:tcW w:w="386" w:type="pct"/>
            <w:vAlign w:val="center"/>
          </w:tcPr>
          <w:p w14:paraId="30A77B28" w14:textId="77777777" w:rsidR="002577F6" w:rsidRPr="009E0BD4" w:rsidRDefault="002577F6" w:rsidP="000B3AD8">
            <w:pPr>
              <w:pStyle w:val="TableText"/>
              <w:jc w:val="center"/>
              <w:rPr>
                <w:rStyle w:val="TableTextBold"/>
                <w:b w:val="0"/>
              </w:rPr>
            </w:pPr>
            <w:r w:rsidRPr="009E0BD4">
              <w:rPr>
                <w:rStyle w:val="TableTextBold"/>
                <w:b w:val="0"/>
              </w:rPr>
              <w:t>35.7%</w:t>
            </w:r>
          </w:p>
        </w:tc>
        <w:tc>
          <w:tcPr>
            <w:tcW w:w="395" w:type="pct"/>
            <w:vAlign w:val="center"/>
          </w:tcPr>
          <w:p w14:paraId="242C7F6E" w14:textId="77777777" w:rsidR="002577F6" w:rsidRPr="009E0BD4" w:rsidRDefault="002577F6" w:rsidP="000B3AD8">
            <w:pPr>
              <w:pStyle w:val="TableText"/>
              <w:jc w:val="center"/>
              <w:rPr>
                <w:rStyle w:val="TableTextBold"/>
                <w:b w:val="0"/>
              </w:rPr>
            </w:pPr>
            <w:r w:rsidRPr="009E0BD4">
              <w:rPr>
                <w:rStyle w:val="TableTextBold"/>
                <w:b w:val="0"/>
              </w:rPr>
              <w:t>14.3%</w:t>
            </w:r>
          </w:p>
        </w:tc>
        <w:tc>
          <w:tcPr>
            <w:tcW w:w="387" w:type="pct"/>
            <w:vAlign w:val="center"/>
          </w:tcPr>
          <w:p w14:paraId="5A2166E4" w14:textId="77777777" w:rsidR="002577F6" w:rsidRPr="009E0BD4" w:rsidRDefault="002577F6" w:rsidP="000B3AD8">
            <w:pPr>
              <w:pStyle w:val="TableText"/>
              <w:jc w:val="center"/>
              <w:rPr>
                <w:rStyle w:val="TableTextBold"/>
                <w:b w:val="0"/>
              </w:rPr>
            </w:pPr>
            <w:r w:rsidRPr="009E0BD4">
              <w:rPr>
                <w:rStyle w:val="TableTextBold"/>
                <w:b w:val="0"/>
              </w:rPr>
              <w:t>85.7%</w:t>
            </w:r>
          </w:p>
        </w:tc>
        <w:tc>
          <w:tcPr>
            <w:tcW w:w="537" w:type="pct"/>
            <w:vAlign w:val="center"/>
          </w:tcPr>
          <w:p w14:paraId="4E75210E" w14:textId="77777777" w:rsidR="002577F6" w:rsidRPr="009E0BD4" w:rsidRDefault="002577F6" w:rsidP="000B3AD8">
            <w:pPr>
              <w:pStyle w:val="TableText"/>
              <w:jc w:val="center"/>
              <w:rPr>
                <w:rStyle w:val="TableTextBold"/>
                <w:b w:val="0"/>
              </w:rPr>
            </w:pPr>
            <w:r w:rsidRPr="009E0BD4">
              <w:rPr>
                <w:rStyle w:val="TableTextBold"/>
                <w:b w:val="0"/>
              </w:rPr>
              <w:t>14.3%</w:t>
            </w:r>
          </w:p>
        </w:tc>
        <w:tc>
          <w:tcPr>
            <w:tcW w:w="388" w:type="pct"/>
            <w:vAlign w:val="center"/>
          </w:tcPr>
          <w:p w14:paraId="7E81E2F5" w14:textId="77777777" w:rsidR="002577F6" w:rsidRPr="009E0BD4" w:rsidRDefault="002577F6" w:rsidP="000B3AD8">
            <w:pPr>
              <w:pStyle w:val="TableText"/>
              <w:jc w:val="center"/>
              <w:rPr>
                <w:rStyle w:val="TableTextBold"/>
                <w:b w:val="0"/>
              </w:rPr>
            </w:pPr>
            <w:r w:rsidRPr="009E0BD4">
              <w:rPr>
                <w:rStyle w:val="TableTextBold"/>
                <w:b w:val="0"/>
              </w:rPr>
              <w:t>0%</w:t>
            </w:r>
          </w:p>
        </w:tc>
        <w:tc>
          <w:tcPr>
            <w:tcW w:w="437" w:type="pct"/>
            <w:vAlign w:val="center"/>
          </w:tcPr>
          <w:p w14:paraId="57ECDF24" w14:textId="77777777" w:rsidR="002577F6" w:rsidRPr="009E0BD4" w:rsidRDefault="002577F6" w:rsidP="000B3AD8">
            <w:pPr>
              <w:pStyle w:val="TableText"/>
              <w:jc w:val="center"/>
              <w:rPr>
                <w:rStyle w:val="TableTextBold"/>
                <w:b w:val="0"/>
              </w:rPr>
            </w:pPr>
            <w:r w:rsidRPr="009E0BD4">
              <w:rPr>
                <w:rStyle w:val="TableTextBold"/>
                <w:b w:val="0"/>
              </w:rPr>
              <w:t>0%</w:t>
            </w:r>
          </w:p>
        </w:tc>
      </w:tr>
      <w:tr w:rsidR="002577F6" w:rsidRPr="00CD1826" w14:paraId="3B644686" w14:textId="77777777" w:rsidTr="002577F6">
        <w:tc>
          <w:tcPr>
            <w:tcW w:w="597" w:type="pct"/>
          </w:tcPr>
          <w:p w14:paraId="73EFC005" w14:textId="77777777" w:rsidR="002577F6" w:rsidRPr="009E0BD4" w:rsidRDefault="002577F6" w:rsidP="000B3AD8">
            <w:pPr>
              <w:pStyle w:val="TableText"/>
            </w:pPr>
            <w:r w:rsidRPr="009E0BD4">
              <w:t>Community Facilities</w:t>
            </w:r>
          </w:p>
        </w:tc>
        <w:tc>
          <w:tcPr>
            <w:tcW w:w="428" w:type="pct"/>
            <w:vAlign w:val="center"/>
          </w:tcPr>
          <w:p w14:paraId="4FA6693D" w14:textId="77777777" w:rsidR="002577F6" w:rsidRPr="009E0BD4" w:rsidRDefault="002577F6" w:rsidP="002577F6">
            <w:pPr>
              <w:pStyle w:val="TableText"/>
              <w:jc w:val="center"/>
            </w:pPr>
            <w:r w:rsidRPr="009E0BD4">
              <w:t>11</w:t>
            </w:r>
          </w:p>
        </w:tc>
        <w:tc>
          <w:tcPr>
            <w:tcW w:w="445" w:type="pct"/>
            <w:vAlign w:val="center"/>
          </w:tcPr>
          <w:p w14:paraId="3E2038E1" w14:textId="77777777" w:rsidR="002577F6" w:rsidRPr="009E0BD4" w:rsidRDefault="002577F6" w:rsidP="000B3AD8">
            <w:pPr>
              <w:pStyle w:val="TableText"/>
              <w:jc w:val="center"/>
            </w:pPr>
            <w:r w:rsidRPr="009E0BD4">
              <w:t>0.0%</w:t>
            </w:r>
          </w:p>
        </w:tc>
        <w:tc>
          <w:tcPr>
            <w:tcW w:w="423" w:type="pct"/>
            <w:vAlign w:val="center"/>
          </w:tcPr>
          <w:p w14:paraId="7532E2E8" w14:textId="77777777" w:rsidR="002577F6" w:rsidRPr="009E0BD4" w:rsidRDefault="002577F6" w:rsidP="000B3AD8">
            <w:pPr>
              <w:pStyle w:val="TableText"/>
              <w:jc w:val="center"/>
            </w:pPr>
            <w:r w:rsidRPr="009E0BD4">
              <w:t>27.3%</w:t>
            </w:r>
          </w:p>
        </w:tc>
        <w:tc>
          <w:tcPr>
            <w:tcW w:w="577" w:type="pct"/>
            <w:vAlign w:val="center"/>
          </w:tcPr>
          <w:p w14:paraId="3C37CFF3" w14:textId="77777777" w:rsidR="002577F6" w:rsidRPr="009E0BD4" w:rsidRDefault="002577F6" w:rsidP="000B3AD8">
            <w:pPr>
              <w:pStyle w:val="TableText"/>
              <w:jc w:val="center"/>
            </w:pPr>
            <w:r w:rsidRPr="009E0BD4">
              <w:t>45.5%</w:t>
            </w:r>
          </w:p>
        </w:tc>
        <w:tc>
          <w:tcPr>
            <w:tcW w:w="386" w:type="pct"/>
            <w:vAlign w:val="center"/>
          </w:tcPr>
          <w:p w14:paraId="443165E2" w14:textId="77777777" w:rsidR="002577F6" w:rsidRPr="009E0BD4" w:rsidRDefault="002577F6" w:rsidP="000B3AD8">
            <w:pPr>
              <w:pStyle w:val="TableText"/>
              <w:jc w:val="center"/>
            </w:pPr>
            <w:r w:rsidRPr="009E0BD4">
              <w:t>27.3%</w:t>
            </w:r>
          </w:p>
        </w:tc>
        <w:tc>
          <w:tcPr>
            <w:tcW w:w="395" w:type="pct"/>
            <w:vAlign w:val="center"/>
          </w:tcPr>
          <w:p w14:paraId="361E6951" w14:textId="77777777" w:rsidR="002577F6" w:rsidRPr="009E0BD4" w:rsidRDefault="002577F6" w:rsidP="000B3AD8">
            <w:pPr>
              <w:pStyle w:val="TableText"/>
              <w:jc w:val="center"/>
            </w:pPr>
            <w:r w:rsidRPr="009E0BD4">
              <w:t>0%</w:t>
            </w:r>
          </w:p>
        </w:tc>
        <w:tc>
          <w:tcPr>
            <w:tcW w:w="387" w:type="pct"/>
            <w:vAlign w:val="center"/>
          </w:tcPr>
          <w:p w14:paraId="47BB1693" w14:textId="77777777" w:rsidR="002577F6" w:rsidRPr="009E0BD4" w:rsidRDefault="002577F6" w:rsidP="000B3AD8">
            <w:pPr>
              <w:pStyle w:val="TableText"/>
              <w:jc w:val="center"/>
            </w:pPr>
            <w:r w:rsidRPr="009E0BD4">
              <w:t>36.4%</w:t>
            </w:r>
          </w:p>
        </w:tc>
        <w:tc>
          <w:tcPr>
            <w:tcW w:w="537" w:type="pct"/>
            <w:vAlign w:val="center"/>
          </w:tcPr>
          <w:p w14:paraId="6F5DF08C" w14:textId="77777777" w:rsidR="002577F6" w:rsidRPr="009E0BD4" w:rsidRDefault="002577F6" w:rsidP="000B3AD8">
            <w:pPr>
              <w:pStyle w:val="TableText"/>
              <w:jc w:val="center"/>
            </w:pPr>
            <w:r w:rsidRPr="009E0BD4">
              <w:t>45.5%</w:t>
            </w:r>
          </w:p>
        </w:tc>
        <w:tc>
          <w:tcPr>
            <w:tcW w:w="388" w:type="pct"/>
            <w:vAlign w:val="center"/>
          </w:tcPr>
          <w:p w14:paraId="01E22153" w14:textId="77777777" w:rsidR="002577F6" w:rsidRPr="009E0BD4" w:rsidRDefault="002577F6" w:rsidP="000B3AD8">
            <w:pPr>
              <w:pStyle w:val="TableText"/>
              <w:jc w:val="center"/>
            </w:pPr>
            <w:r w:rsidRPr="009E0BD4">
              <w:t>18.2%</w:t>
            </w:r>
          </w:p>
        </w:tc>
        <w:tc>
          <w:tcPr>
            <w:tcW w:w="437" w:type="pct"/>
            <w:vAlign w:val="center"/>
          </w:tcPr>
          <w:p w14:paraId="5B25275F" w14:textId="77777777" w:rsidR="002577F6" w:rsidRPr="009E0BD4" w:rsidRDefault="002577F6" w:rsidP="000B3AD8">
            <w:pPr>
              <w:pStyle w:val="TableText"/>
              <w:jc w:val="center"/>
            </w:pPr>
            <w:r w:rsidRPr="009E0BD4">
              <w:t>0%</w:t>
            </w:r>
          </w:p>
        </w:tc>
      </w:tr>
    </w:tbl>
    <w:p w14:paraId="10F25973" w14:textId="77777777" w:rsidR="009E0BD4" w:rsidRDefault="009E0BD4" w:rsidP="002577F6">
      <w:pPr>
        <w:pStyle w:val="ListBullet"/>
        <w:numPr>
          <w:ilvl w:val="0"/>
          <w:numId w:val="0"/>
        </w:numPr>
        <w:contextualSpacing w:val="0"/>
      </w:pPr>
      <w:r w:rsidRPr="00256CC5">
        <w:rPr>
          <w:rFonts w:ascii="Arial Narrow" w:hAnsi="Arial Narrow"/>
          <w:i/>
          <w:sz w:val="20"/>
          <w:szCs w:val="20"/>
        </w:rPr>
        <w:t>*Percentages may not add up to 100% due to rounding</w:t>
      </w:r>
    </w:p>
    <w:p w14:paraId="3C5E514B" w14:textId="77777777" w:rsidR="002577F6" w:rsidRDefault="002577F6" w:rsidP="0091168C">
      <w:r w:rsidRPr="00896053">
        <w:t xml:space="preserve">As seen in </w:t>
      </w:r>
      <w:r w:rsidR="00AE63DD" w:rsidRPr="00896053">
        <w:t xml:space="preserve">Exhibit </w:t>
      </w:r>
      <w:r w:rsidR="00C130F7">
        <w:t>5</w:t>
      </w:r>
      <w:r w:rsidR="00AE63DD" w:rsidRPr="00896053">
        <w:t>-1</w:t>
      </w:r>
      <w:r w:rsidR="00513631">
        <w:t>3</w:t>
      </w:r>
      <w:r w:rsidR="000E57E7" w:rsidRPr="00896053">
        <w:t xml:space="preserve">, across </w:t>
      </w:r>
      <w:r w:rsidRPr="00896053">
        <w:t xml:space="preserve">all </w:t>
      </w:r>
      <w:r w:rsidR="003728A2">
        <w:t>JRRCs and JRCAs (counselors)</w:t>
      </w:r>
      <w:r w:rsidRPr="00896053">
        <w:t xml:space="preserve"> working at the</w:t>
      </w:r>
      <w:r w:rsidR="000E57E7" w:rsidRPr="00896053">
        <w:t xml:space="preserve"> JR fac</w:t>
      </w:r>
      <w:r w:rsidR="00C57FD9" w:rsidRPr="00896053">
        <w:t>ilities, almost half (42%</w:t>
      </w:r>
      <w:r w:rsidRPr="00896053">
        <w:t>) rarely or never receive the time they have been allotted to be off the floor for case manage</w:t>
      </w:r>
      <w:r w:rsidR="000E57E7" w:rsidRPr="00896053">
        <w:t>ment duties. An additional 27.4</w:t>
      </w:r>
      <w:r w:rsidR="00896053">
        <w:t xml:space="preserve">% </w:t>
      </w:r>
      <w:r w:rsidRPr="00896053">
        <w:t xml:space="preserve">only sometimes receive time for case management. Yet, even when </w:t>
      </w:r>
      <w:r w:rsidR="003728A2">
        <w:t>counselors</w:t>
      </w:r>
      <w:r w:rsidRPr="00896053">
        <w:t xml:space="preserve"> are off the floor</w:t>
      </w:r>
      <w:r w:rsidR="000E57E7" w:rsidRPr="00896053">
        <w:t xml:space="preserve"> for case management duties, 88</w:t>
      </w:r>
      <w:r w:rsidR="004962BA" w:rsidRPr="00896053">
        <w:t xml:space="preserve">% </w:t>
      </w:r>
      <w:r w:rsidRPr="00896053">
        <w:t xml:space="preserve">are </w:t>
      </w:r>
      <w:r w:rsidR="000E57E7" w:rsidRPr="00896053">
        <w:t xml:space="preserve">called upon to perform other duties </w:t>
      </w:r>
      <w:r w:rsidRPr="00896053">
        <w:t>often</w:t>
      </w:r>
      <w:r w:rsidR="000E57E7" w:rsidRPr="00896053">
        <w:t>, or about half</w:t>
      </w:r>
      <w:r w:rsidRPr="00896053">
        <w:t xml:space="preserve"> the time</w:t>
      </w:r>
      <w:r w:rsidR="000E57E7" w:rsidRPr="00896053">
        <w:t xml:space="preserve">. The challenge of getting </w:t>
      </w:r>
      <w:r w:rsidRPr="00896053">
        <w:t>ca</w:t>
      </w:r>
      <w:r w:rsidR="000E57E7" w:rsidRPr="00896053">
        <w:t xml:space="preserve">se management time is </w:t>
      </w:r>
      <w:r w:rsidRPr="00896053">
        <w:t>more difficult at some facilities than others.</w:t>
      </w:r>
      <w:r>
        <w:t xml:space="preserve"> </w:t>
      </w:r>
    </w:p>
    <w:p w14:paraId="09616CC9" w14:textId="77777777" w:rsidR="002577F6" w:rsidRDefault="003728A2" w:rsidP="0091168C">
      <w:pPr>
        <w:rPr>
          <w:rFonts w:eastAsia="Times New Roman"/>
          <w:bCs/>
          <w:color w:val="000000"/>
          <w:bdr w:val="none" w:sz="0" w:space="0" w:color="auto" w:frame="1"/>
        </w:rPr>
      </w:pPr>
      <w:r>
        <w:rPr>
          <w:rFonts w:eastAsia="Times New Roman"/>
          <w:bCs/>
          <w:color w:val="000000"/>
          <w:bdr w:val="none" w:sz="0" w:space="0" w:color="auto" w:frame="1"/>
        </w:rPr>
        <w:t>JRRCs and JRCAs (counselors)</w:t>
      </w:r>
      <w:r w:rsidR="002577F6" w:rsidRPr="0055007D">
        <w:rPr>
          <w:rFonts w:eastAsia="Times New Roman"/>
          <w:bCs/>
          <w:color w:val="000000"/>
          <w:bdr w:val="none" w:sz="0" w:space="0" w:color="auto" w:frame="1"/>
        </w:rPr>
        <w:t xml:space="preserve"> at institutions and </w:t>
      </w:r>
      <w:r w:rsidR="008C2E14">
        <w:rPr>
          <w:rFonts w:eastAsia="Times New Roman"/>
          <w:bCs/>
          <w:color w:val="000000"/>
          <w:bdr w:val="none" w:sz="0" w:space="0" w:color="auto" w:frame="1"/>
        </w:rPr>
        <w:t xml:space="preserve">community facilities </w:t>
      </w:r>
      <w:r w:rsidR="002577F6">
        <w:rPr>
          <w:rFonts w:eastAsia="Times New Roman"/>
          <w:bCs/>
          <w:color w:val="000000"/>
          <w:bdr w:val="none" w:sz="0" w:space="0" w:color="auto" w:frame="1"/>
        </w:rPr>
        <w:t>consistently reported they struggle to get time off the floor</w:t>
      </w:r>
      <w:r w:rsidR="00AD247A">
        <w:rPr>
          <w:rFonts w:eastAsia="Times New Roman"/>
          <w:bCs/>
          <w:color w:val="000000"/>
          <w:bdr w:val="none" w:sz="0" w:space="0" w:color="auto" w:frame="1"/>
        </w:rPr>
        <w:t>,</w:t>
      </w:r>
      <w:r w:rsidR="002577F6">
        <w:rPr>
          <w:rFonts w:eastAsia="Times New Roman"/>
          <w:bCs/>
          <w:color w:val="000000"/>
          <w:bdr w:val="none" w:sz="0" w:space="0" w:color="auto" w:frame="1"/>
        </w:rPr>
        <w:t xml:space="preserve"> an</w:t>
      </w:r>
      <w:r w:rsidR="00AD247A">
        <w:rPr>
          <w:rFonts w:eastAsia="Times New Roman"/>
          <w:bCs/>
          <w:color w:val="000000"/>
          <w:bdr w:val="none" w:sz="0" w:space="0" w:color="auto" w:frame="1"/>
        </w:rPr>
        <w:t>d many of the tasks they a</w:t>
      </w:r>
      <w:r w:rsidR="002577F6">
        <w:rPr>
          <w:rFonts w:eastAsia="Times New Roman"/>
          <w:bCs/>
          <w:color w:val="000000"/>
          <w:bdr w:val="none" w:sz="0" w:space="0" w:color="auto" w:frame="1"/>
        </w:rPr>
        <w:t>re responsible for completing</w:t>
      </w:r>
      <w:r w:rsidR="00FD69B6">
        <w:rPr>
          <w:rFonts w:eastAsia="Times New Roman"/>
          <w:bCs/>
          <w:color w:val="000000"/>
          <w:bdr w:val="none" w:sz="0" w:space="0" w:color="auto" w:frame="1"/>
        </w:rPr>
        <w:t xml:space="preserve"> while off the floor</w:t>
      </w:r>
      <w:r w:rsidR="00AD247A">
        <w:rPr>
          <w:rFonts w:eastAsia="Times New Roman"/>
          <w:bCs/>
          <w:color w:val="000000"/>
          <w:bdr w:val="none" w:sz="0" w:space="0" w:color="auto" w:frame="1"/>
        </w:rPr>
        <w:t xml:space="preserve"> a</w:t>
      </w:r>
      <w:r w:rsidR="002577F6">
        <w:rPr>
          <w:rFonts w:eastAsia="Times New Roman"/>
          <w:bCs/>
          <w:color w:val="000000"/>
          <w:bdr w:val="none" w:sz="0" w:space="0" w:color="auto" w:frame="1"/>
        </w:rPr>
        <w:t>re either neglected</w:t>
      </w:r>
      <w:r w:rsidR="00AD247A">
        <w:rPr>
          <w:rFonts w:eastAsia="Times New Roman"/>
          <w:bCs/>
          <w:color w:val="000000"/>
          <w:bdr w:val="none" w:sz="0" w:space="0" w:color="auto" w:frame="1"/>
        </w:rPr>
        <w:t>, or the quality of the work i</w:t>
      </w:r>
      <w:r w:rsidR="002577F6">
        <w:rPr>
          <w:rFonts w:eastAsia="Times New Roman"/>
          <w:bCs/>
          <w:color w:val="000000"/>
          <w:bdr w:val="none" w:sz="0" w:space="0" w:color="auto" w:frame="1"/>
        </w:rPr>
        <w:t>s compromised. A majority of the counselors indicated they did not have the necessary time to:</w:t>
      </w:r>
    </w:p>
    <w:p w14:paraId="799719E2" w14:textId="77777777" w:rsidR="002577F6" w:rsidRPr="00524B3B" w:rsidRDefault="002577F6" w:rsidP="001C3BE2">
      <w:pPr>
        <w:pStyle w:val="ListBullet"/>
        <w:keepNext/>
      </w:pPr>
      <w:r>
        <w:rPr>
          <w:bdr w:val="none" w:sz="0" w:space="0" w:color="auto" w:frame="1"/>
        </w:rPr>
        <w:t>Prepare for individual sessions</w:t>
      </w:r>
      <w:r w:rsidR="00896053">
        <w:rPr>
          <w:bdr w:val="none" w:sz="0" w:space="0" w:color="auto" w:frame="1"/>
        </w:rPr>
        <w:t>;</w:t>
      </w:r>
    </w:p>
    <w:p w14:paraId="34C8DC27" w14:textId="77777777" w:rsidR="002577F6" w:rsidRPr="001E05CD" w:rsidRDefault="002577F6" w:rsidP="001C3BE2">
      <w:pPr>
        <w:pStyle w:val="ListBullet"/>
        <w:keepNext/>
      </w:pPr>
      <w:r>
        <w:rPr>
          <w:bdr w:val="none" w:sz="0" w:space="0" w:color="auto" w:frame="1"/>
        </w:rPr>
        <w:t>Input session notes into</w:t>
      </w:r>
      <w:r w:rsidR="002804F7">
        <w:rPr>
          <w:bdr w:val="none" w:sz="0" w:space="0" w:color="auto" w:frame="1"/>
        </w:rPr>
        <w:t xml:space="preserve"> the Automated Client Tracking (</w:t>
      </w:r>
      <w:r>
        <w:rPr>
          <w:bdr w:val="none" w:sz="0" w:space="0" w:color="auto" w:frame="1"/>
        </w:rPr>
        <w:t>ACT</w:t>
      </w:r>
      <w:r w:rsidR="002804F7">
        <w:rPr>
          <w:bdr w:val="none" w:sz="0" w:space="0" w:color="auto" w:frame="1"/>
        </w:rPr>
        <w:t>) system</w:t>
      </w:r>
      <w:r w:rsidR="00896053">
        <w:rPr>
          <w:bdr w:val="none" w:sz="0" w:space="0" w:color="auto" w:frame="1"/>
        </w:rPr>
        <w:t>;</w:t>
      </w:r>
    </w:p>
    <w:p w14:paraId="18B2911F" w14:textId="77777777" w:rsidR="002577F6" w:rsidRPr="001E05CD" w:rsidRDefault="002577F6" w:rsidP="002577F6">
      <w:pPr>
        <w:pStyle w:val="ListBullet"/>
      </w:pPr>
      <w:r>
        <w:rPr>
          <w:bdr w:val="none" w:sz="0" w:space="0" w:color="auto" w:frame="1"/>
        </w:rPr>
        <w:t>Provide ongoing support to youth during the week to continue to build the therapeutic working relationship</w:t>
      </w:r>
      <w:r w:rsidR="00896053">
        <w:rPr>
          <w:bdr w:val="none" w:sz="0" w:space="0" w:color="auto" w:frame="1"/>
        </w:rPr>
        <w:t>;</w:t>
      </w:r>
    </w:p>
    <w:p w14:paraId="15761AA5" w14:textId="77777777" w:rsidR="002577F6" w:rsidRPr="00267A32" w:rsidRDefault="002577F6" w:rsidP="002577F6">
      <w:pPr>
        <w:pStyle w:val="ListBullet"/>
      </w:pPr>
      <w:r>
        <w:rPr>
          <w:bdr w:val="none" w:sz="0" w:space="0" w:color="auto" w:frame="1"/>
        </w:rPr>
        <w:t>Engage in fun activities with youth</w:t>
      </w:r>
      <w:r w:rsidR="00896053">
        <w:rPr>
          <w:bdr w:val="none" w:sz="0" w:space="0" w:color="auto" w:frame="1"/>
        </w:rPr>
        <w:t>;</w:t>
      </w:r>
    </w:p>
    <w:p w14:paraId="6EE8F13F" w14:textId="77777777" w:rsidR="002577F6" w:rsidRPr="0022740C" w:rsidRDefault="002577F6" w:rsidP="002577F6">
      <w:pPr>
        <w:pStyle w:val="ListBullet"/>
      </w:pPr>
      <w:r>
        <w:rPr>
          <w:bdr w:val="none" w:sz="0" w:space="0" w:color="auto" w:frame="1"/>
        </w:rPr>
        <w:t>Learn the five skills modules for group sessions</w:t>
      </w:r>
      <w:r w:rsidR="00896053">
        <w:rPr>
          <w:bdr w:val="none" w:sz="0" w:space="0" w:color="auto" w:frame="1"/>
        </w:rPr>
        <w:t>;</w:t>
      </w:r>
    </w:p>
    <w:p w14:paraId="797BFEC3" w14:textId="77777777" w:rsidR="002577F6" w:rsidRPr="0022740C" w:rsidRDefault="002577F6" w:rsidP="002577F6">
      <w:pPr>
        <w:pStyle w:val="ListBullet"/>
      </w:pPr>
      <w:r>
        <w:rPr>
          <w:bdr w:val="none" w:sz="0" w:space="0" w:color="auto" w:frame="1"/>
        </w:rPr>
        <w:t>Plan for group sessions</w:t>
      </w:r>
      <w:r w:rsidR="00896053">
        <w:rPr>
          <w:bdr w:val="none" w:sz="0" w:space="0" w:color="auto" w:frame="1"/>
        </w:rPr>
        <w:t>;</w:t>
      </w:r>
    </w:p>
    <w:p w14:paraId="24E968DE" w14:textId="77777777" w:rsidR="002577F6" w:rsidRPr="0022740C" w:rsidRDefault="002577F6" w:rsidP="002577F6">
      <w:pPr>
        <w:pStyle w:val="ListBullet"/>
      </w:pPr>
      <w:r>
        <w:rPr>
          <w:bdr w:val="none" w:sz="0" w:space="0" w:color="auto" w:frame="1"/>
        </w:rPr>
        <w:t>Debrief with co-leader</w:t>
      </w:r>
      <w:r w:rsidR="007D0131">
        <w:rPr>
          <w:bdr w:val="none" w:sz="0" w:space="0" w:color="auto" w:frame="1"/>
        </w:rPr>
        <w:t>s</w:t>
      </w:r>
      <w:r>
        <w:rPr>
          <w:bdr w:val="none" w:sz="0" w:space="0" w:color="auto" w:frame="1"/>
        </w:rPr>
        <w:t xml:space="preserve"> (if there is one) after conducting a skills group</w:t>
      </w:r>
      <w:r w:rsidR="00896053">
        <w:rPr>
          <w:bdr w:val="none" w:sz="0" w:space="0" w:color="auto" w:frame="1"/>
        </w:rPr>
        <w:t>;</w:t>
      </w:r>
    </w:p>
    <w:p w14:paraId="2968C106" w14:textId="77777777" w:rsidR="002577F6" w:rsidRPr="00267A32" w:rsidRDefault="002577F6" w:rsidP="002577F6">
      <w:pPr>
        <w:pStyle w:val="ListBullet"/>
      </w:pPr>
      <w:r>
        <w:rPr>
          <w:bdr w:val="none" w:sz="0" w:space="0" w:color="auto" w:frame="1"/>
        </w:rPr>
        <w:t>Write up group notes in A</w:t>
      </w:r>
      <w:r w:rsidR="003728A2">
        <w:rPr>
          <w:bdr w:val="none" w:sz="0" w:space="0" w:color="auto" w:frame="1"/>
        </w:rPr>
        <w:t>utomate Client Tracking (A</w:t>
      </w:r>
      <w:r>
        <w:rPr>
          <w:bdr w:val="none" w:sz="0" w:space="0" w:color="auto" w:frame="1"/>
        </w:rPr>
        <w:t>CT</w:t>
      </w:r>
      <w:r w:rsidR="003728A2">
        <w:rPr>
          <w:bdr w:val="none" w:sz="0" w:space="0" w:color="auto" w:frame="1"/>
        </w:rPr>
        <w:t>) system</w:t>
      </w:r>
      <w:r w:rsidR="00896053">
        <w:rPr>
          <w:bdr w:val="none" w:sz="0" w:space="0" w:color="auto" w:frame="1"/>
        </w:rPr>
        <w:t>;</w:t>
      </w:r>
    </w:p>
    <w:p w14:paraId="32C1DBBF" w14:textId="77777777" w:rsidR="002577F6" w:rsidRDefault="002577F6" w:rsidP="002577F6">
      <w:pPr>
        <w:pStyle w:val="ListBullet"/>
      </w:pPr>
      <w:r>
        <w:t>Identify and cultivate family and community supports for the youth</w:t>
      </w:r>
      <w:r w:rsidR="00896053">
        <w:t>;</w:t>
      </w:r>
    </w:p>
    <w:p w14:paraId="5217FCB0" w14:textId="77777777" w:rsidR="002577F6" w:rsidRDefault="007D0131" w:rsidP="002577F6">
      <w:pPr>
        <w:pStyle w:val="ListBullet"/>
      </w:pPr>
      <w:r>
        <w:t>Work</w:t>
      </w:r>
      <w:r w:rsidR="002577F6">
        <w:t xml:space="preserve"> with youth on reentry planning and understanding the resources in the community</w:t>
      </w:r>
      <w:r w:rsidR="00896053">
        <w:t>; or</w:t>
      </w:r>
    </w:p>
    <w:p w14:paraId="7D45BEA8" w14:textId="77777777" w:rsidR="002577F6" w:rsidRPr="00267A32" w:rsidRDefault="007D0131" w:rsidP="0098058A">
      <w:pPr>
        <w:pStyle w:val="ListBullet"/>
        <w:spacing w:after="120"/>
        <w:contextualSpacing w:val="0"/>
      </w:pPr>
      <w:r>
        <w:t>C</w:t>
      </w:r>
      <w:r w:rsidR="002577F6">
        <w:t xml:space="preserve">onduct the </w:t>
      </w:r>
      <w:r w:rsidR="00890FC4">
        <w:t>legally mandated community</w:t>
      </w:r>
      <w:r w:rsidR="002577F6">
        <w:t xml:space="preserve"> checks with employers</w:t>
      </w:r>
      <w:r>
        <w:t xml:space="preserve"> (for youth in community facilities)</w:t>
      </w:r>
      <w:r w:rsidR="00896053">
        <w:t>.</w:t>
      </w:r>
    </w:p>
    <w:p w14:paraId="77B0213F" w14:textId="77777777" w:rsidR="002577F6" w:rsidRDefault="00FD69B6" w:rsidP="0091168C">
      <w:r>
        <w:t xml:space="preserve">Overall, staff indicated they </w:t>
      </w:r>
      <w:r w:rsidR="0098058A">
        <w:t>do not</w:t>
      </w:r>
      <w:r>
        <w:t xml:space="preserve"> have enough ti</w:t>
      </w:r>
      <w:r w:rsidR="00747A82">
        <w:t>me to work together, as a team, in order to</w:t>
      </w:r>
      <w:r>
        <w:t xml:space="preserve"> ensure </w:t>
      </w:r>
      <w:r w:rsidR="00747A82">
        <w:t>consistency with</w:t>
      </w:r>
      <w:r w:rsidR="006B245F">
        <w:t xml:space="preserve"> youth</w:t>
      </w:r>
      <w:r w:rsidR="001A5022">
        <w:t>, effect behavioral change</w:t>
      </w:r>
      <w:r w:rsidR="006B245F">
        <w:t xml:space="preserve"> and develop </w:t>
      </w:r>
      <w:r w:rsidR="00747A82">
        <w:t>strategies for helping them</w:t>
      </w:r>
      <w:r>
        <w:t xml:space="preserve"> meet their goals</w:t>
      </w:r>
      <w:r w:rsidR="003728A2">
        <w:t>. JRRCs, JRCAs</w:t>
      </w:r>
      <w:r w:rsidR="002577F6">
        <w:t>, JRSO</w:t>
      </w:r>
      <w:r w:rsidR="003728A2">
        <w:t xml:space="preserve"> 1</w:t>
      </w:r>
      <w:r w:rsidR="002577F6">
        <w:t>s, a</w:t>
      </w:r>
      <w:r w:rsidR="006B245F">
        <w:t xml:space="preserve">nd on-call staff </w:t>
      </w:r>
      <w:r w:rsidR="00493D27">
        <w:t>consistentl</w:t>
      </w:r>
      <w:r w:rsidR="002577F6">
        <w:t xml:space="preserve">y cited lack of communication among staff as an issue. They reported having little time to talk with one another </w:t>
      </w:r>
      <w:r w:rsidR="002577F6">
        <w:lastRenderedPageBreak/>
        <w:t>during shift changes</w:t>
      </w:r>
      <w:r w:rsidR="002C793F">
        <w:t xml:space="preserve">. As a result, </w:t>
      </w:r>
      <w:r w:rsidR="00CD3F9A">
        <w:t xml:space="preserve">they </w:t>
      </w:r>
      <w:r w:rsidR="00FF573D">
        <w:t xml:space="preserve">were </w:t>
      </w:r>
      <w:r w:rsidR="002577F6">
        <w:t xml:space="preserve">often </w:t>
      </w:r>
      <w:r w:rsidR="001A5022">
        <w:t xml:space="preserve">not </w:t>
      </w:r>
      <w:r>
        <w:t xml:space="preserve">apprised of </w:t>
      </w:r>
      <w:r w:rsidR="001A5022">
        <w:t xml:space="preserve">either </w:t>
      </w:r>
      <w:r w:rsidR="002C793F">
        <w:t xml:space="preserve">the </w:t>
      </w:r>
      <w:r w:rsidR="002577F6">
        <w:t xml:space="preserve">challenges youth </w:t>
      </w:r>
      <w:r w:rsidR="002C793F">
        <w:t xml:space="preserve">encountered during previous shifts nor the </w:t>
      </w:r>
      <w:r>
        <w:t>plan for addressing</w:t>
      </w:r>
      <w:r w:rsidR="00FF573D">
        <w:t xml:space="preserve"> them</w:t>
      </w:r>
      <w:r w:rsidR="002577F6">
        <w:t xml:space="preserve">. </w:t>
      </w:r>
      <w:r w:rsidR="002C793F">
        <w:t xml:space="preserve">Staff noted there were shift </w:t>
      </w:r>
      <w:r w:rsidR="002577F6">
        <w:t xml:space="preserve">logs, but </w:t>
      </w:r>
      <w:r w:rsidR="002C793F">
        <w:t xml:space="preserve">some </w:t>
      </w:r>
      <w:r w:rsidR="002577F6">
        <w:t xml:space="preserve">staff </w:t>
      </w:r>
      <w:r w:rsidR="002C793F">
        <w:t xml:space="preserve">indicated they </w:t>
      </w:r>
      <w:r w:rsidR="002577F6">
        <w:t xml:space="preserve">rarely have time to read them. It was also noted there is little or no time for counselors to work together. </w:t>
      </w:r>
      <w:r w:rsidR="00CD3F9A">
        <w:t>JRRCs and JRCAs</w:t>
      </w:r>
      <w:r w:rsidR="002226CC">
        <w:t xml:space="preserve"> should be able to</w:t>
      </w:r>
      <w:r w:rsidR="002577F6">
        <w:t xml:space="preserve"> support one another in helping youth meet their treatment targets and goals. Further, many indicated there is not time to receive consultations with supervisors or therapeutic staff to help identify additional or alternative strategies for helping youth</w:t>
      </w:r>
      <w:r w:rsidR="002226CC">
        <w:t xml:space="preserve"> who are </w:t>
      </w:r>
      <w:r w:rsidR="002C793F">
        <w:t>having trouble</w:t>
      </w:r>
      <w:r w:rsidR="002577F6">
        <w:t xml:space="preserve"> </w:t>
      </w:r>
      <w:r w:rsidR="002C793F">
        <w:t xml:space="preserve">moving </w:t>
      </w:r>
      <w:r w:rsidR="002577F6">
        <w:t xml:space="preserve">forward. </w:t>
      </w:r>
    </w:p>
    <w:p w14:paraId="3AF87595" w14:textId="77777777" w:rsidR="002577F6" w:rsidRDefault="002577F6" w:rsidP="0091168C">
      <w:r>
        <w:t xml:space="preserve">Lastly, </w:t>
      </w:r>
      <w:r w:rsidR="00CD3F9A">
        <w:t>JRRCs and JRCAs</w:t>
      </w:r>
      <w:r>
        <w:t xml:space="preserve"> at some institutions and </w:t>
      </w:r>
      <w:r w:rsidR="00FD69B6">
        <w:t xml:space="preserve">community </w:t>
      </w:r>
      <w:r>
        <w:t xml:space="preserve">facilities indicated they do not have the proper tools to support case management duties. Counselors do not have their own offices and often struggle to find a quiet place where they will not be interrupted to conduct one-on-one sessions, prepare for groups, </w:t>
      </w:r>
      <w:r w:rsidR="002F0963">
        <w:t xml:space="preserve">and </w:t>
      </w:r>
      <w:r>
        <w:t>make</w:t>
      </w:r>
      <w:r w:rsidR="004E3321">
        <w:t xml:space="preserve"> contacts with families and</w:t>
      </w:r>
      <w:r>
        <w:t xml:space="preserve"> complete paperwork. </w:t>
      </w:r>
      <w:r w:rsidR="002C793F">
        <w:t xml:space="preserve">In at least one community facility, staff mentioned they use the counseling office for one-on-one counseling, and there have been times when other counselors were also in the office doing other tasks. </w:t>
      </w:r>
      <w:r>
        <w:t xml:space="preserve">Many staff also indicated they have difficulty getting </w:t>
      </w:r>
      <w:r w:rsidR="002A75D2">
        <w:t>access to a computer to record</w:t>
      </w:r>
      <w:r>
        <w:t xml:space="preserve"> the </w:t>
      </w:r>
      <w:r w:rsidR="002A75D2">
        <w:t xml:space="preserve">required </w:t>
      </w:r>
      <w:r>
        <w:t xml:space="preserve">case </w:t>
      </w:r>
      <w:r w:rsidR="004E3321">
        <w:t>notes</w:t>
      </w:r>
      <w:r>
        <w:t xml:space="preserve"> in </w:t>
      </w:r>
      <w:r w:rsidR="00013D6F">
        <w:t xml:space="preserve">the </w:t>
      </w:r>
      <w:r w:rsidR="00013D6F">
        <w:rPr>
          <w:bdr w:val="none" w:sz="0" w:space="0" w:color="auto" w:frame="1"/>
        </w:rPr>
        <w:t>Automated Client Tracking (ACT) system</w:t>
      </w:r>
      <w:r>
        <w:t>.</w:t>
      </w:r>
    </w:p>
    <w:p w14:paraId="68C3AD2B" w14:textId="77777777" w:rsidR="003F3A02" w:rsidRDefault="000B3AD8" w:rsidP="003F3A02">
      <w:pPr>
        <w:pStyle w:val="Heading3"/>
      </w:pPr>
      <w:bookmarkStart w:id="52" w:name="_Toc531597499"/>
      <w:r>
        <w:t>Caseloads</w:t>
      </w:r>
      <w:bookmarkEnd w:id="52"/>
    </w:p>
    <w:p w14:paraId="35D734DF" w14:textId="77777777" w:rsidR="002804F7" w:rsidRPr="00CC1367" w:rsidRDefault="002804F7" w:rsidP="002804F7">
      <w:pPr>
        <w:pStyle w:val="RFPtext"/>
        <w:rPr>
          <w:b/>
          <w:color w:val="auto"/>
          <w:sz w:val="24"/>
        </w:rPr>
      </w:pPr>
      <w:r w:rsidRPr="00CC1367">
        <w:rPr>
          <w:b/>
          <w:color w:val="auto"/>
          <w:sz w:val="24"/>
        </w:rPr>
        <w:t xml:space="preserve">The issue of not being able to implement all the components of the </w:t>
      </w:r>
      <w:r w:rsidR="00AF70EE">
        <w:rPr>
          <w:b/>
          <w:color w:val="auto"/>
          <w:sz w:val="24"/>
        </w:rPr>
        <w:t>Rehabilitation</w:t>
      </w:r>
      <w:r w:rsidR="00CD3F9A">
        <w:rPr>
          <w:b/>
          <w:color w:val="auto"/>
          <w:sz w:val="24"/>
        </w:rPr>
        <w:t xml:space="preserve"> Model</w:t>
      </w:r>
      <w:r w:rsidRPr="00CC1367">
        <w:rPr>
          <w:b/>
          <w:color w:val="auto"/>
          <w:sz w:val="24"/>
        </w:rPr>
        <w:t xml:space="preserve"> is not a caseload issue</w:t>
      </w:r>
      <w:r w:rsidR="008B306C" w:rsidRPr="00CC1367">
        <w:rPr>
          <w:b/>
          <w:color w:val="auto"/>
          <w:sz w:val="24"/>
        </w:rPr>
        <w:t xml:space="preserve">, but rather </w:t>
      </w:r>
      <w:r w:rsidRPr="00CC1367">
        <w:rPr>
          <w:b/>
          <w:color w:val="auto"/>
          <w:sz w:val="24"/>
        </w:rPr>
        <w:t>one of workload. There is an imbalance between the current workload of counselors and the amount of time available to fulfill those responsibilities.</w:t>
      </w:r>
    </w:p>
    <w:p w14:paraId="1C141838" w14:textId="77777777" w:rsidR="000B3AD8" w:rsidRDefault="004815A6" w:rsidP="00AE63DD">
      <w:pPr>
        <w:pStyle w:val="PullQuote"/>
        <w:framePr w:w="3691" w:wrap="around" w:hAnchor="page" w:x="6916" w:y="121"/>
      </w:pPr>
      <w:r>
        <w:t>“</w:t>
      </w:r>
      <w:r w:rsidR="000B3AD8">
        <w:t>It’s not a caseload issue, it’s an issue of not having enough staff for counselors to get off the floor and do counseling”</w:t>
      </w:r>
    </w:p>
    <w:p w14:paraId="49F1E194" w14:textId="77777777" w:rsidR="000B3AD8" w:rsidRDefault="000B3AD8" w:rsidP="00AE63DD">
      <w:pPr>
        <w:pStyle w:val="PullQuote"/>
        <w:framePr w:w="3691" w:wrap="around" w:hAnchor="page" w:x="6916" w:y="121"/>
        <w:jc w:val="right"/>
      </w:pPr>
      <w:r>
        <w:t>—Juvenile Rehabilitation Residential Counselor</w:t>
      </w:r>
    </w:p>
    <w:p w14:paraId="5F67BE4F" w14:textId="77777777" w:rsidR="000B3AD8" w:rsidRPr="000C7DD4" w:rsidRDefault="000B3AD8" w:rsidP="000B3AD8">
      <w:r>
        <w:t>In interviews with J</w:t>
      </w:r>
      <w:r w:rsidR="00B44FA7">
        <w:t>uvenile Rehabilitation Residential Counselors (J</w:t>
      </w:r>
      <w:r>
        <w:t>RRCs</w:t>
      </w:r>
      <w:r w:rsidR="00B44FA7">
        <w:t>)</w:t>
      </w:r>
      <w:r>
        <w:t xml:space="preserve"> and </w:t>
      </w:r>
      <w:r w:rsidR="00B44FA7">
        <w:t>Juvenile Rehabilitation Counselor Assistants (J</w:t>
      </w:r>
      <w:r w:rsidR="00DD3D01">
        <w:t>RCAs</w:t>
      </w:r>
      <w:r w:rsidR="00B44FA7">
        <w:t>)</w:t>
      </w:r>
      <w:r>
        <w:t xml:space="preserve">, we asked </w:t>
      </w:r>
      <w:r w:rsidR="008B306C">
        <w:t xml:space="preserve">whether they </w:t>
      </w:r>
      <w:r>
        <w:t>feel they have sufficient time to provide tre</w:t>
      </w:r>
      <w:r w:rsidR="00286675">
        <w:t>atment and counseling in alignment</w:t>
      </w:r>
      <w:r>
        <w:t xml:space="preserve"> with the </w:t>
      </w:r>
      <w:r w:rsidR="00AF70EE">
        <w:t>Rehabilitation Model</w:t>
      </w:r>
      <w:r>
        <w:t xml:space="preserve">. </w:t>
      </w:r>
      <w:r w:rsidRPr="000C7DD4">
        <w:t xml:space="preserve">Overall, staff indicated the current </w:t>
      </w:r>
      <w:r w:rsidR="005D560D">
        <w:t xml:space="preserve">residential </w:t>
      </w:r>
      <w:r w:rsidRPr="000C7DD4">
        <w:t>staffing model</w:t>
      </w:r>
      <w:r w:rsidR="004608C7" w:rsidRPr="000C7DD4">
        <w:t>, which</w:t>
      </w:r>
      <w:r w:rsidRPr="000C7DD4">
        <w:t xml:space="preserve"> requires counselors to carry a</w:t>
      </w:r>
      <w:r w:rsidR="006B245F" w:rsidRPr="000C7DD4">
        <w:t xml:space="preserve"> caseload while</w:t>
      </w:r>
      <w:r w:rsidRPr="000C7DD4">
        <w:t xml:space="preserve"> be</w:t>
      </w:r>
      <w:r w:rsidR="006B245F" w:rsidRPr="000C7DD4">
        <w:t>ing</w:t>
      </w:r>
      <w:r w:rsidRPr="000C7DD4">
        <w:t xml:space="preserve"> responsible</w:t>
      </w:r>
      <w:r w:rsidR="008D63A0" w:rsidRPr="000C7DD4">
        <w:t xml:space="preserve"> f</w:t>
      </w:r>
      <w:r w:rsidR="006B245F" w:rsidRPr="000C7DD4">
        <w:t>or security and safety</w:t>
      </w:r>
      <w:r w:rsidR="00F94353" w:rsidRPr="000C7DD4">
        <w:t xml:space="preserve"> in the institutions and all the </w:t>
      </w:r>
      <w:r w:rsidR="00FE66BD" w:rsidRPr="000C7DD4">
        <w:t>step-down</w:t>
      </w:r>
      <w:r w:rsidR="00F94353" w:rsidRPr="000C7DD4">
        <w:t xml:space="preserve"> activities for youth in the community facilities</w:t>
      </w:r>
      <w:r w:rsidR="006B245F" w:rsidRPr="000C7DD4">
        <w:t xml:space="preserve"> </w:t>
      </w:r>
      <w:r w:rsidRPr="000C7DD4">
        <w:t xml:space="preserve">significantly reduces their ability to achieve the </w:t>
      </w:r>
      <w:r w:rsidR="004815A6" w:rsidRPr="000C7DD4">
        <w:t>D</w:t>
      </w:r>
      <w:r w:rsidR="00CD3F9A" w:rsidRPr="000C7DD4">
        <w:t xml:space="preserve">ialectical </w:t>
      </w:r>
      <w:r w:rsidR="00031E0B" w:rsidRPr="000C7DD4">
        <w:t>Behavior</w:t>
      </w:r>
      <w:r w:rsidR="00031E0B">
        <w:t xml:space="preserve"> Therapy</w:t>
      </w:r>
      <w:r w:rsidR="00031E0B" w:rsidRPr="000C7DD4">
        <w:t xml:space="preserve"> </w:t>
      </w:r>
      <w:r w:rsidR="00CD3F9A" w:rsidRPr="000C7DD4">
        <w:t>(D</w:t>
      </w:r>
      <w:r w:rsidR="004815A6" w:rsidRPr="000C7DD4">
        <w:t>BT</w:t>
      </w:r>
      <w:r w:rsidR="00CD3F9A" w:rsidRPr="000C7DD4">
        <w:t>)</w:t>
      </w:r>
      <w:r w:rsidR="008B306C" w:rsidRPr="000C7DD4">
        <w:t xml:space="preserve"> </w:t>
      </w:r>
      <w:r w:rsidRPr="000C7DD4">
        <w:t xml:space="preserve">program standards. </w:t>
      </w:r>
    </w:p>
    <w:p w14:paraId="29FCCAD8" w14:textId="77777777" w:rsidR="000B3AD8" w:rsidRDefault="00477BF5" w:rsidP="000B3AD8">
      <w:r>
        <w:t xml:space="preserve">A </w:t>
      </w:r>
      <w:r w:rsidR="000B3AD8">
        <w:t xml:space="preserve">majority indicated </w:t>
      </w:r>
      <w:r w:rsidR="0046420B">
        <w:t xml:space="preserve">they </w:t>
      </w:r>
      <w:r>
        <w:t xml:space="preserve">do not </w:t>
      </w:r>
      <w:r w:rsidR="0046420B">
        <w:t>have time to meet the minimum DBT</w:t>
      </w:r>
      <w:r w:rsidR="000B3AD8">
        <w:t xml:space="preserve"> standards. Most of the counselors </w:t>
      </w:r>
      <w:r>
        <w:t xml:space="preserve">said </w:t>
      </w:r>
      <w:r w:rsidR="000B3AD8">
        <w:t xml:space="preserve">they </w:t>
      </w:r>
      <w:r>
        <w:t xml:space="preserve">often lack time to </w:t>
      </w:r>
      <w:r w:rsidR="000B3AD8">
        <w:t>prepa</w:t>
      </w:r>
      <w:r w:rsidR="00AE22D3">
        <w:t>re for and conduct the minimum weekly one-hour</w:t>
      </w:r>
      <w:r w:rsidR="000B3AD8">
        <w:t xml:space="preserve"> individual </w:t>
      </w:r>
      <w:r w:rsidR="00031E0B">
        <w:t xml:space="preserve">counseling </w:t>
      </w:r>
      <w:r w:rsidR="000B3AD8">
        <w:t>session with the youth on their caseloads and document session notes</w:t>
      </w:r>
      <w:r w:rsidR="008C281E">
        <w:t xml:space="preserve"> in ACT. However, all indicated</w:t>
      </w:r>
      <w:r w:rsidR="000E00F2">
        <w:t xml:space="preserve"> </w:t>
      </w:r>
      <w:r w:rsidR="000B3AD8">
        <w:t>it is not an issue of how many you</w:t>
      </w:r>
      <w:r w:rsidR="00AE22D3">
        <w:t>th they have on their caseload;</w:t>
      </w:r>
      <w:r w:rsidR="000B3AD8">
        <w:t xml:space="preserve"> rather</w:t>
      </w:r>
      <w:r w:rsidR="00AE22D3">
        <w:t>,</w:t>
      </w:r>
      <w:r w:rsidR="000B3AD8">
        <w:t xml:space="preserve"> it is an issue of not having enough staff on t</w:t>
      </w:r>
      <w:r w:rsidR="00AE22D3">
        <w:t>he floor to meet required staff-to-</w:t>
      </w:r>
      <w:r w:rsidR="000B3AD8">
        <w:t xml:space="preserve">youth ratios. Therefore, counselors </w:t>
      </w:r>
      <w:r>
        <w:t xml:space="preserve">cannot </w:t>
      </w:r>
      <w:r w:rsidR="000B3AD8">
        <w:t xml:space="preserve">leave the floor to conduct individual sessions. </w:t>
      </w:r>
    </w:p>
    <w:p w14:paraId="61FE9AC1" w14:textId="77777777" w:rsidR="000B3AD8" w:rsidRDefault="000B3AD8" w:rsidP="000B3AD8">
      <w:r w:rsidRPr="00477BF5">
        <w:t xml:space="preserve">The </w:t>
      </w:r>
      <w:r w:rsidR="00D864A5" w:rsidRPr="00477BF5">
        <w:t xml:space="preserve">standard </w:t>
      </w:r>
      <w:r w:rsidRPr="00477BF5">
        <w:t>maximum caseload for JRRCs</w:t>
      </w:r>
      <w:r w:rsidR="00FD69B6" w:rsidRPr="00477BF5">
        <w:t xml:space="preserve"> is</w:t>
      </w:r>
      <w:r w:rsidR="00D864A5" w:rsidRPr="00477BF5">
        <w:t xml:space="preserve"> four</w:t>
      </w:r>
      <w:r w:rsidRPr="00477BF5">
        <w:t xml:space="preserve"> youth.</w:t>
      </w:r>
      <w:r w:rsidRPr="00477BF5">
        <w:rPr>
          <w:rStyle w:val="FootnoteReference"/>
        </w:rPr>
        <w:footnoteReference w:id="74"/>
      </w:r>
      <w:r w:rsidR="00D864A5" w:rsidRPr="00477BF5">
        <w:t xml:space="preserve"> JRCAs may carry one to two</w:t>
      </w:r>
      <w:r w:rsidRPr="00477BF5">
        <w:t xml:space="preserve"> youth on their caseload.</w:t>
      </w:r>
      <w:r w:rsidRPr="00477BF5">
        <w:rPr>
          <w:rStyle w:val="FootnoteReference"/>
        </w:rPr>
        <w:footnoteReference w:id="75"/>
      </w:r>
      <w:r w:rsidRPr="00477BF5">
        <w:t xml:space="preserve"> Counselors were asked in the staff survey about their current caseloads. As seen in </w:t>
      </w:r>
      <w:r w:rsidR="00AE63DD" w:rsidRPr="00477BF5">
        <w:t xml:space="preserve">Exhibit </w:t>
      </w:r>
      <w:r w:rsidR="00C130F7">
        <w:t>5</w:t>
      </w:r>
      <w:r w:rsidR="00AE63DD" w:rsidRPr="00477BF5">
        <w:t>-</w:t>
      </w:r>
      <w:r w:rsidR="00513631" w:rsidRPr="00477BF5">
        <w:t>1</w:t>
      </w:r>
      <w:r w:rsidR="00513631">
        <w:t>4</w:t>
      </w:r>
      <w:r w:rsidR="001E43BD" w:rsidRPr="00477BF5">
        <w:t>,</w:t>
      </w:r>
      <w:r w:rsidRPr="00477BF5">
        <w:t xml:space="preserve"> the average caseloads of JRRCs </w:t>
      </w:r>
      <w:r w:rsidR="00B44FA7">
        <w:t xml:space="preserve">who completed the survey </w:t>
      </w:r>
      <w:r w:rsidRPr="00477BF5">
        <w:t xml:space="preserve">are </w:t>
      </w:r>
      <w:r w:rsidR="001E43BD" w:rsidRPr="00477BF5">
        <w:t>close to (</w:t>
      </w:r>
      <w:r w:rsidRPr="00477BF5">
        <w:t>or a bit hi</w:t>
      </w:r>
      <w:r w:rsidR="001E43BD" w:rsidRPr="00477BF5">
        <w:t xml:space="preserve">gher than) </w:t>
      </w:r>
      <w:r w:rsidRPr="00477BF5">
        <w:t>the caseload standards</w:t>
      </w:r>
      <w:r w:rsidR="001E43BD" w:rsidRPr="00477BF5">
        <w:t>,</w:t>
      </w:r>
      <w:r w:rsidRPr="00477BF5">
        <w:t xml:space="preserve"> ranging from a low of 2.8 youth</w:t>
      </w:r>
      <w:r w:rsidR="001E43BD" w:rsidRPr="00477BF5">
        <w:t xml:space="preserve"> per caseload</w:t>
      </w:r>
      <w:r w:rsidRPr="00477BF5">
        <w:t xml:space="preserve"> at Echo Glen to a high of 4.8 youth </w:t>
      </w:r>
      <w:r w:rsidR="001E43BD" w:rsidRPr="00477BF5">
        <w:t xml:space="preserve">per caseload </w:t>
      </w:r>
      <w:r w:rsidRPr="00477BF5">
        <w:t xml:space="preserve">in the community facilities. On average, the caseloads of JRCAs </w:t>
      </w:r>
      <w:r w:rsidR="00B44FA7">
        <w:t xml:space="preserve">who completed the survey </w:t>
      </w:r>
      <w:r w:rsidRPr="00477BF5">
        <w:t xml:space="preserve">are also in concert with the standards. However, within the institutions, there are units in which JRCAs </w:t>
      </w:r>
      <w:r w:rsidR="00B44FA7">
        <w:t xml:space="preserve">who completed the survey </w:t>
      </w:r>
      <w:r w:rsidRPr="00477BF5">
        <w:t>a</w:t>
      </w:r>
      <w:r w:rsidR="00B44FA7">
        <w:t>re</w:t>
      </w:r>
      <w:r w:rsidRPr="00477BF5">
        <w:t xml:space="preserve"> carrying caseloads </w:t>
      </w:r>
      <w:r w:rsidRPr="00477BF5">
        <w:lastRenderedPageBreak/>
        <w:t>above the standards</w:t>
      </w:r>
      <w:r w:rsidR="005609E9" w:rsidRPr="00477BF5">
        <w:t xml:space="preserve"> for their positions</w:t>
      </w:r>
      <w:r w:rsidRPr="00477BF5">
        <w:t xml:space="preserve">. These include </w:t>
      </w:r>
      <w:r w:rsidR="00E84843" w:rsidRPr="00477BF5">
        <w:t xml:space="preserve">the </w:t>
      </w:r>
      <w:r w:rsidRPr="00477BF5">
        <w:t xml:space="preserve">Chinook and Yakima </w:t>
      </w:r>
      <w:r w:rsidR="00E84843" w:rsidRPr="00477BF5">
        <w:t xml:space="preserve">units </w:t>
      </w:r>
      <w:r w:rsidRPr="00477BF5">
        <w:t>at Echo Glen</w:t>
      </w:r>
      <w:r w:rsidR="00E84843" w:rsidRPr="00477BF5">
        <w:t>, where JRCAs</w:t>
      </w:r>
      <w:r w:rsidRPr="00477BF5">
        <w:t xml:space="preserve"> are carrying a</w:t>
      </w:r>
      <w:r w:rsidR="00E84843" w:rsidRPr="00477BF5">
        <w:t>n average caseload of three youth. JRCA</w:t>
      </w:r>
      <w:r w:rsidRPr="00477BF5">
        <w:t>s in</w:t>
      </w:r>
      <w:r w:rsidR="00E84843" w:rsidRPr="00477BF5">
        <w:t xml:space="preserve"> the</w:t>
      </w:r>
      <w:r w:rsidRPr="00477BF5">
        <w:t xml:space="preserve"> Mariner Lodge </w:t>
      </w:r>
      <w:r w:rsidR="002804F7" w:rsidRPr="00477BF5">
        <w:t xml:space="preserve">at Naselle </w:t>
      </w:r>
      <w:r w:rsidRPr="00477BF5">
        <w:t>are c</w:t>
      </w:r>
      <w:r w:rsidR="00E84843" w:rsidRPr="00477BF5">
        <w:t>arrying an average caseload of four</w:t>
      </w:r>
      <w:r w:rsidRPr="00477BF5">
        <w:t xml:space="preserve"> youth.</w:t>
      </w:r>
      <w:r>
        <w:t xml:space="preserve"> </w:t>
      </w:r>
    </w:p>
    <w:p w14:paraId="7F83D997" w14:textId="77777777" w:rsidR="000B3AD8" w:rsidRDefault="00AE63DD" w:rsidP="000B3AD8">
      <w:pPr>
        <w:pStyle w:val="Caption"/>
      </w:pPr>
      <w:r>
        <w:t xml:space="preserve">Exhibit </w:t>
      </w:r>
      <w:r w:rsidR="00C130F7">
        <w:rPr>
          <w:noProof/>
        </w:rPr>
        <w:t>5</w:t>
      </w:r>
      <w:r>
        <w:noBreakHyphen/>
      </w:r>
      <w:r w:rsidR="00C130F7">
        <w:rPr>
          <w:noProof/>
        </w:rPr>
        <w:t>14</w:t>
      </w:r>
      <w:r w:rsidR="00E251C1">
        <w:t>.</w:t>
      </w:r>
      <w:r w:rsidR="002804F7">
        <w:t xml:space="preserve"> </w:t>
      </w:r>
      <w:r w:rsidR="000B3AD8">
        <w:t xml:space="preserve">JR Caseloads, By Facility Unit, by Position  </w:t>
      </w:r>
    </w:p>
    <w:tbl>
      <w:tblPr>
        <w:tblStyle w:val="HyzerTable"/>
        <w:tblW w:w="5000" w:type="pct"/>
        <w:tblLook w:val="0420" w:firstRow="1" w:lastRow="0" w:firstColumn="0" w:lastColumn="0" w:noHBand="0" w:noVBand="1"/>
      </w:tblPr>
      <w:tblGrid>
        <w:gridCol w:w="1953"/>
        <w:gridCol w:w="2651"/>
        <w:gridCol w:w="2377"/>
        <w:gridCol w:w="2379"/>
      </w:tblGrid>
      <w:tr w:rsidR="000B3AD8" w:rsidRPr="00CD1826" w14:paraId="41BF86CD" w14:textId="77777777" w:rsidTr="001C3BE2">
        <w:trPr>
          <w:cnfStyle w:val="100000000000" w:firstRow="1" w:lastRow="0" w:firstColumn="0" w:lastColumn="0" w:oddVBand="0" w:evenVBand="0" w:oddHBand="0" w:evenHBand="0" w:firstRowFirstColumn="0" w:firstRowLastColumn="0" w:lastRowFirstColumn="0" w:lastRowLastColumn="0"/>
          <w:tblHeader/>
        </w:trPr>
        <w:tc>
          <w:tcPr>
            <w:tcW w:w="1043" w:type="pct"/>
            <w:tcBorders>
              <w:bottom w:val="single" w:sz="2" w:space="0" w:color="808080" w:themeColor="text1" w:themeTint="7F"/>
            </w:tcBorders>
            <w:vAlign w:val="center"/>
          </w:tcPr>
          <w:p w14:paraId="003F8340" w14:textId="77777777" w:rsidR="000B3AD8" w:rsidRPr="00477BF5" w:rsidRDefault="000B3AD8" w:rsidP="000B3AD8">
            <w:pPr>
              <w:pStyle w:val="tableheaderwhite"/>
              <w:keepNext/>
              <w:spacing w:before="40" w:after="40"/>
              <w:rPr>
                <w:sz w:val="22"/>
              </w:rPr>
            </w:pPr>
            <w:r w:rsidRPr="1FF1B213">
              <w:rPr>
                <w:sz w:val="22"/>
                <w:szCs w:val="22"/>
              </w:rPr>
              <w:t>Facility</w:t>
            </w:r>
          </w:p>
        </w:tc>
        <w:tc>
          <w:tcPr>
            <w:tcW w:w="1416" w:type="pct"/>
            <w:tcBorders>
              <w:bottom w:val="single" w:sz="2" w:space="0" w:color="808080" w:themeColor="text1" w:themeTint="7F"/>
            </w:tcBorders>
            <w:vAlign w:val="center"/>
          </w:tcPr>
          <w:p w14:paraId="1F9AD870" w14:textId="77777777" w:rsidR="000B3AD8" w:rsidRPr="00477BF5" w:rsidRDefault="000B3AD8" w:rsidP="000B3AD8">
            <w:pPr>
              <w:pStyle w:val="tableheaderwhite"/>
              <w:keepNext/>
              <w:spacing w:before="40" w:after="40"/>
              <w:rPr>
                <w:sz w:val="22"/>
              </w:rPr>
            </w:pPr>
            <w:r w:rsidRPr="1FF1B213">
              <w:rPr>
                <w:sz w:val="22"/>
                <w:szCs w:val="22"/>
              </w:rPr>
              <w:t>Number of JRRCs and JRCAs Carrying a Caseload</w:t>
            </w:r>
          </w:p>
        </w:tc>
        <w:tc>
          <w:tcPr>
            <w:tcW w:w="1270" w:type="pct"/>
            <w:tcBorders>
              <w:bottom w:val="single" w:sz="2" w:space="0" w:color="808080" w:themeColor="text1" w:themeTint="7F"/>
            </w:tcBorders>
            <w:vAlign w:val="center"/>
          </w:tcPr>
          <w:p w14:paraId="126DFE48" w14:textId="77777777" w:rsidR="000B3AD8" w:rsidRPr="00477BF5" w:rsidRDefault="000B3AD8" w:rsidP="000B3AD8">
            <w:pPr>
              <w:pStyle w:val="tableheaderwhite"/>
              <w:keepNext/>
              <w:spacing w:before="40" w:after="40"/>
              <w:rPr>
                <w:sz w:val="22"/>
              </w:rPr>
            </w:pPr>
            <w:r w:rsidRPr="1FF1B213">
              <w:rPr>
                <w:sz w:val="22"/>
                <w:szCs w:val="22"/>
              </w:rPr>
              <w:t>Average Caseload of JRRCs</w:t>
            </w:r>
          </w:p>
        </w:tc>
        <w:tc>
          <w:tcPr>
            <w:tcW w:w="1271" w:type="pct"/>
            <w:tcBorders>
              <w:bottom w:val="single" w:sz="2" w:space="0" w:color="808080" w:themeColor="text1" w:themeTint="7F"/>
            </w:tcBorders>
            <w:vAlign w:val="center"/>
          </w:tcPr>
          <w:p w14:paraId="20C0DDDC" w14:textId="77777777" w:rsidR="000B3AD8" w:rsidRPr="00477BF5" w:rsidRDefault="000B3AD8" w:rsidP="000B3AD8">
            <w:pPr>
              <w:pStyle w:val="tableheaderwhite"/>
              <w:keepNext/>
              <w:spacing w:before="40" w:after="40"/>
              <w:rPr>
                <w:sz w:val="22"/>
              </w:rPr>
            </w:pPr>
            <w:r w:rsidRPr="1FF1B213">
              <w:rPr>
                <w:sz w:val="22"/>
                <w:szCs w:val="22"/>
              </w:rPr>
              <w:t>Average</w:t>
            </w:r>
          </w:p>
          <w:p w14:paraId="220C0243" w14:textId="77777777" w:rsidR="000B3AD8" w:rsidRPr="00477BF5" w:rsidRDefault="000B3AD8" w:rsidP="000B3AD8">
            <w:pPr>
              <w:pStyle w:val="tableheaderwhite"/>
              <w:keepNext/>
              <w:spacing w:before="40" w:after="40"/>
              <w:rPr>
                <w:sz w:val="22"/>
              </w:rPr>
            </w:pPr>
            <w:r w:rsidRPr="1FF1B213">
              <w:rPr>
                <w:sz w:val="22"/>
                <w:szCs w:val="22"/>
              </w:rPr>
              <w:t>Caseload of JRCAs</w:t>
            </w:r>
          </w:p>
        </w:tc>
      </w:tr>
      <w:tr w:rsidR="000B3AD8" w:rsidRPr="00CD1826" w14:paraId="56D6EC8B"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Borders>
              <w:top w:val="single" w:sz="2" w:space="0" w:color="808080" w:themeColor="text1" w:themeTint="7F"/>
              <w:bottom w:val="single" w:sz="2" w:space="0" w:color="808080" w:themeColor="text1" w:themeTint="7F"/>
            </w:tcBorders>
            <w:shd w:val="clear" w:color="auto" w:fill="000000" w:themeFill="text1"/>
          </w:tcPr>
          <w:p w14:paraId="6BA344BB" w14:textId="77777777" w:rsidR="000B3AD8" w:rsidRPr="00477BF5" w:rsidRDefault="000B3AD8" w:rsidP="000B3AD8">
            <w:pPr>
              <w:pStyle w:val="TableBullet"/>
              <w:numPr>
                <w:ilvl w:val="0"/>
                <w:numId w:val="0"/>
              </w:numPr>
              <w:rPr>
                <w:b/>
              </w:rPr>
            </w:pPr>
            <w:r w:rsidRPr="00477BF5">
              <w:rPr>
                <w:b/>
              </w:rPr>
              <w:t xml:space="preserve">JR Total </w:t>
            </w:r>
          </w:p>
        </w:tc>
        <w:tc>
          <w:tcPr>
            <w:tcW w:w="1416" w:type="pct"/>
            <w:tcBorders>
              <w:top w:val="single" w:sz="2" w:space="0" w:color="808080" w:themeColor="text1" w:themeTint="7F"/>
              <w:bottom w:val="single" w:sz="2" w:space="0" w:color="808080" w:themeColor="text1" w:themeTint="7F"/>
            </w:tcBorders>
            <w:shd w:val="clear" w:color="auto" w:fill="000000" w:themeFill="text1"/>
          </w:tcPr>
          <w:p w14:paraId="7190A71A" w14:textId="77777777" w:rsidR="000B3AD8" w:rsidRPr="00477BF5" w:rsidRDefault="000B3AD8" w:rsidP="000B3AD8">
            <w:pPr>
              <w:pStyle w:val="tabletextcenter"/>
              <w:keepNext/>
              <w:rPr>
                <w:b/>
              </w:rPr>
            </w:pPr>
            <w:r w:rsidRPr="00477BF5">
              <w:rPr>
                <w:b/>
              </w:rPr>
              <w:t>91</w:t>
            </w:r>
          </w:p>
        </w:tc>
        <w:tc>
          <w:tcPr>
            <w:tcW w:w="1270" w:type="pct"/>
            <w:tcBorders>
              <w:top w:val="single" w:sz="2" w:space="0" w:color="808080" w:themeColor="text1" w:themeTint="7F"/>
              <w:bottom w:val="single" w:sz="2" w:space="0" w:color="808080" w:themeColor="text1" w:themeTint="7F"/>
            </w:tcBorders>
            <w:shd w:val="clear" w:color="auto" w:fill="000000" w:themeFill="text1"/>
          </w:tcPr>
          <w:p w14:paraId="5567834F" w14:textId="77777777" w:rsidR="000B3AD8" w:rsidRPr="00477BF5" w:rsidRDefault="000B3AD8" w:rsidP="000B3AD8">
            <w:pPr>
              <w:pStyle w:val="tabletextcenter"/>
              <w:keepNext/>
              <w:rPr>
                <w:b/>
              </w:rPr>
            </w:pPr>
            <w:r w:rsidRPr="00477BF5">
              <w:rPr>
                <w:b/>
              </w:rPr>
              <w:t>3.8</w:t>
            </w:r>
          </w:p>
        </w:tc>
        <w:tc>
          <w:tcPr>
            <w:tcW w:w="1271" w:type="pct"/>
            <w:tcBorders>
              <w:top w:val="single" w:sz="2" w:space="0" w:color="808080" w:themeColor="text1" w:themeTint="7F"/>
              <w:bottom w:val="single" w:sz="2" w:space="0" w:color="808080" w:themeColor="text1" w:themeTint="7F"/>
            </w:tcBorders>
            <w:shd w:val="clear" w:color="auto" w:fill="000000" w:themeFill="text1"/>
          </w:tcPr>
          <w:p w14:paraId="7F255911" w14:textId="77777777" w:rsidR="000B3AD8" w:rsidRPr="00477BF5" w:rsidRDefault="000B3AD8" w:rsidP="000B3AD8">
            <w:pPr>
              <w:pStyle w:val="tabletextcenter"/>
              <w:keepNext/>
              <w:rPr>
                <w:b/>
              </w:rPr>
            </w:pPr>
            <w:r w:rsidRPr="00477BF5">
              <w:rPr>
                <w:b/>
              </w:rPr>
              <w:t>1.8</w:t>
            </w:r>
          </w:p>
        </w:tc>
      </w:tr>
      <w:tr w:rsidR="000B3AD8" w:rsidRPr="00CD1826" w14:paraId="0440C8DE" w14:textId="77777777" w:rsidTr="001C3BE2">
        <w:tc>
          <w:tcPr>
            <w:tcW w:w="1043" w:type="pct"/>
            <w:tcBorders>
              <w:top w:val="single" w:sz="2" w:space="0" w:color="808080" w:themeColor="text1" w:themeTint="7F"/>
              <w:bottom w:val="single" w:sz="2" w:space="0" w:color="808080" w:themeColor="text1" w:themeTint="7F"/>
            </w:tcBorders>
            <w:shd w:val="clear" w:color="auto" w:fill="A6A6A6" w:themeFill="background1" w:themeFillShade="A6"/>
          </w:tcPr>
          <w:p w14:paraId="0E3D64A5" w14:textId="77777777" w:rsidR="000B3AD8" w:rsidRPr="006812A7" w:rsidRDefault="000B3AD8" w:rsidP="000B3AD8">
            <w:pPr>
              <w:pStyle w:val="TableBullet"/>
              <w:numPr>
                <w:ilvl w:val="0"/>
                <w:numId w:val="0"/>
              </w:numPr>
              <w:rPr>
                <w:b/>
              </w:rPr>
            </w:pPr>
            <w:r w:rsidRPr="006812A7">
              <w:rPr>
                <w:b/>
              </w:rPr>
              <w:t>Echo Glen</w:t>
            </w:r>
          </w:p>
        </w:tc>
        <w:tc>
          <w:tcPr>
            <w:tcW w:w="1416" w:type="pct"/>
            <w:tcBorders>
              <w:top w:val="single" w:sz="2" w:space="0" w:color="808080" w:themeColor="text1" w:themeTint="7F"/>
              <w:bottom w:val="single" w:sz="2" w:space="0" w:color="808080" w:themeColor="text1" w:themeTint="7F"/>
            </w:tcBorders>
            <w:shd w:val="clear" w:color="auto" w:fill="A6A6A6" w:themeFill="background1" w:themeFillShade="A6"/>
          </w:tcPr>
          <w:p w14:paraId="644AC0BE" w14:textId="77777777" w:rsidR="000B3AD8" w:rsidRPr="00C709FA" w:rsidRDefault="000B3AD8" w:rsidP="000B3AD8">
            <w:pPr>
              <w:pStyle w:val="tabletextcenter"/>
              <w:keepNext/>
              <w:rPr>
                <w:b/>
              </w:rPr>
            </w:pPr>
            <w:r>
              <w:rPr>
                <w:b/>
              </w:rPr>
              <w:t>23</w:t>
            </w:r>
          </w:p>
        </w:tc>
        <w:tc>
          <w:tcPr>
            <w:tcW w:w="1270" w:type="pct"/>
            <w:tcBorders>
              <w:top w:val="single" w:sz="2" w:space="0" w:color="808080" w:themeColor="text1" w:themeTint="7F"/>
              <w:bottom w:val="single" w:sz="2" w:space="0" w:color="808080" w:themeColor="text1" w:themeTint="7F"/>
            </w:tcBorders>
            <w:shd w:val="clear" w:color="auto" w:fill="A6A6A6" w:themeFill="background1" w:themeFillShade="A6"/>
          </w:tcPr>
          <w:p w14:paraId="22D118B5" w14:textId="77777777" w:rsidR="000B3AD8" w:rsidRPr="00C709FA" w:rsidRDefault="000B3AD8" w:rsidP="000B3AD8">
            <w:pPr>
              <w:pStyle w:val="tabletextcenter"/>
              <w:keepNext/>
              <w:rPr>
                <w:b/>
              </w:rPr>
            </w:pPr>
            <w:r>
              <w:rPr>
                <w:b/>
              </w:rPr>
              <w:t>2.8</w:t>
            </w:r>
          </w:p>
        </w:tc>
        <w:tc>
          <w:tcPr>
            <w:tcW w:w="1271" w:type="pct"/>
            <w:tcBorders>
              <w:top w:val="single" w:sz="2" w:space="0" w:color="808080" w:themeColor="text1" w:themeTint="7F"/>
              <w:bottom w:val="single" w:sz="2" w:space="0" w:color="808080" w:themeColor="text1" w:themeTint="7F"/>
            </w:tcBorders>
            <w:shd w:val="clear" w:color="auto" w:fill="A6A6A6" w:themeFill="background1" w:themeFillShade="A6"/>
          </w:tcPr>
          <w:p w14:paraId="4AADAFDF" w14:textId="77777777" w:rsidR="000B3AD8" w:rsidRPr="00C709FA" w:rsidRDefault="000B3AD8" w:rsidP="000B3AD8">
            <w:pPr>
              <w:pStyle w:val="tabletextcenter"/>
              <w:keepNext/>
              <w:rPr>
                <w:b/>
              </w:rPr>
            </w:pPr>
            <w:r>
              <w:rPr>
                <w:b/>
              </w:rPr>
              <w:t>1.3</w:t>
            </w:r>
          </w:p>
        </w:tc>
      </w:tr>
      <w:tr w:rsidR="000B3AD8" w:rsidRPr="00CD1826" w14:paraId="6C2F9C89"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Borders>
              <w:top w:val="single" w:sz="2" w:space="0" w:color="808080" w:themeColor="text1" w:themeTint="7F"/>
            </w:tcBorders>
          </w:tcPr>
          <w:p w14:paraId="4466B1BB" w14:textId="77777777" w:rsidR="000B3AD8" w:rsidRPr="009B34E5" w:rsidRDefault="000B3AD8" w:rsidP="000B3AD8">
            <w:pPr>
              <w:pStyle w:val="TableText"/>
              <w:keepNext/>
              <w:ind w:left="146"/>
            </w:pPr>
            <w:r w:rsidRPr="009B34E5">
              <w:t>Copalis</w:t>
            </w:r>
          </w:p>
        </w:tc>
        <w:tc>
          <w:tcPr>
            <w:tcW w:w="1416" w:type="pct"/>
            <w:tcBorders>
              <w:top w:val="single" w:sz="2" w:space="0" w:color="808080" w:themeColor="text1" w:themeTint="7F"/>
            </w:tcBorders>
          </w:tcPr>
          <w:p w14:paraId="32BD3EE8" w14:textId="77777777" w:rsidR="000B3AD8" w:rsidRDefault="000B3AD8" w:rsidP="000B3AD8">
            <w:pPr>
              <w:pStyle w:val="tabletextcenter"/>
              <w:keepNext/>
            </w:pPr>
            <w:r w:rsidRPr="00EF7C80">
              <w:t>2.0</w:t>
            </w:r>
          </w:p>
        </w:tc>
        <w:tc>
          <w:tcPr>
            <w:tcW w:w="1270" w:type="pct"/>
            <w:tcBorders>
              <w:top w:val="single" w:sz="2" w:space="0" w:color="808080" w:themeColor="text1" w:themeTint="7F"/>
            </w:tcBorders>
          </w:tcPr>
          <w:p w14:paraId="21231A4F" w14:textId="77777777" w:rsidR="000B3AD8" w:rsidRDefault="000B3AD8" w:rsidP="000B3AD8">
            <w:pPr>
              <w:pStyle w:val="tabletextcenter"/>
              <w:keepNext/>
            </w:pPr>
            <w:r w:rsidRPr="00EF7C80">
              <w:t>2.5</w:t>
            </w:r>
          </w:p>
        </w:tc>
        <w:tc>
          <w:tcPr>
            <w:tcW w:w="1271" w:type="pct"/>
            <w:tcBorders>
              <w:top w:val="single" w:sz="2" w:space="0" w:color="808080" w:themeColor="text1" w:themeTint="7F"/>
            </w:tcBorders>
          </w:tcPr>
          <w:p w14:paraId="5AB4FBE0" w14:textId="77777777" w:rsidR="000B3AD8" w:rsidRDefault="000B3AD8" w:rsidP="000B3AD8">
            <w:pPr>
              <w:pStyle w:val="tabletextcenter"/>
              <w:keepNext/>
            </w:pPr>
            <w:r>
              <w:t>NA</w:t>
            </w:r>
          </w:p>
        </w:tc>
      </w:tr>
      <w:tr w:rsidR="000B3AD8" w:rsidRPr="00CD1826" w14:paraId="7904F21D" w14:textId="77777777" w:rsidTr="001C3BE2">
        <w:tc>
          <w:tcPr>
            <w:tcW w:w="1043" w:type="pct"/>
          </w:tcPr>
          <w:p w14:paraId="79951DA4" w14:textId="77777777" w:rsidR="000B3AD8" w:rsidRPr="009B34E5" w:rsidRDefault="000B3AD8" w:rsidP="000B3AD8">
            <w:pPr>
              <w:pStyle w:val="TableText"/>
              <w:keepNext/>
              <w:ind w:left="146"/>
            </w:pPr>
            <w:r w:rsidRPr="009B34E5">
              <w:t>Kalama</w:t>
            </w:r>
          </w:p>
        </w:tc>
        <w:tc>
          <w:tcPr>
            <w:tcW w:w="1416" w:type="pct"/>
          </w:tcPr>
          <w:p w14:paraId="689F0FBE" w14:textId="77777777" w:rsidR="000B3AD8" w:rsidRDefault="000B3AD8" w:rsidP="000B3AD8">
            <w:pPr>
              <w:pStyle w:val="tabletextcenter"/>
              <w:keepNext/>
            </w:pPr>
            <w:r w:rsidRPr="00EF7C80">
              <w:t>2.0</w:t>
            </w:r>
          </w:p>
        </w:tc>
        <w:tc>
          <w:tcPr>
            <w:tcW w:w="1270" w:type="pct"/>
          </w:tcPr>
          <w:p w14:paraId="392BCCE8" w14:textId="77777777" w:rsidR="000B3AD8" w:rsidRDefault="000B3AD8" w:rsidP="000B3AD8">
            <w:pPr>
              <w:pStyle w:val="tabletextcenter"/>
              <w:keepNext/>
            </w:pPr>
            <w:r w:rsidRPr="00EF7C80">
              <w:t>2.0</w:t>
            </w:r>
          </w:p>
        </w:tc>
        <w:tc>
          <w:tcPr>
            <w:tcW w:w="1271" w:type="pct"/>
          </w:tcPr>
          <w:p w14:paraId="6060B4CC" w14:textId="77777777" w:rsidR="000B3AD8" w:rsidRDefault="000B3AD8" w:rsidP="000B3AD8">
            <w:pPr>
              <w:pStyle w:val="tabletextcenter"/>
              <w:keepNext/>
            </w:pPr>
            <w:r>
              <w:t>NA</w:t>
            </w:r>
          </w:p>
        </w:tc>
      </w:tr>
      <w:tr w:rsidR="000B3AD8" w:rsidRPr="00CD1826" w14:paraId="7670BAB6"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4DC933FA" w14:textId="77777777" w:rsidR="000B3AD8" w:rsidRPr="009B34E5" w:rsidRDefault="000B3AD8" w:rsidP="000B3AD8">
            <w:pPr>
              <w:pStyle w:val="TableText"/>
              <w:keepNext/>
              <w:ind w:left="146"/>
            </w:pPr>
            <w:r w:rsidRPr="009B34E5">
              <w:t>Skagit</w:t>
            </w:r>
          </w:p>
        </w:tc>
        <w:tc>
          <w:tcPr>
            <w:tcW w:w="1416" w:type="pct"/>
          </w:tcPr>
          <w:p w14:paraId="3ADBD7F6" w14:textId="77777777" w:rsidR="000B3AD8" w:rsidRDefault="000B3AD8" w:rsidP="000B3AD8">
            <w:pPr>
              <w:pStyle w:val="tabletextcenter"/>
              <w:keepNext/>
            </w:pPr>
            <w:r w:rsidRPr="00EF7C80">
              <w:t>3.0</w:t>
            </w:r>
          </w:p>
        </w:tc>
        <w:tc>
          <w:tcPr>
            <w:tcW w:w="1270" w:type="pct"/>
          </w:tcPr>
          <w:p w14:paraId="1EF8BF8D" w14:textId="77777777" w:rsidR="000B3AD8" w:rsidRDefault="000B3AD8" w:rsidP="000B3AD8">
            <w:pPr>
              <w:pStyle w:val="tabletextcenter"/>
              <w:keepNext/>
            </w:pPr>
            <w:r w:rsidRPr="00EF7C80">
              <w:t>3.3</w:t>
            </w:r>
          </w:p>
        </w:tc>
        <w:tc>
          <w:tcPr>
            <w:tcW w:w="1271" w:type="pct"/>
          </w:tcPr>
          <w:p w14:paraId="47D94D21" w14:textId="77777777" w:rsidR="000B3AD8" w:rsidRDefault="000B3AD8" w:rsidP="000B3AD8">
            <w:pPr>
              <w:pStyle w:val="tabletextcenter"/>
              <w:keepNext/>
            </w:pPr>
            <w:r>
              <w:t>NA</w:t>
            </w:r>
          </w:p>
        </w:tc>
      </w:tr>
      <w:tr w:rsidR="000B3AD8" w:rsidRPr="00CD1826" w14:paraId="45CAA4D8" w14:textId="77777777" w:rsidTr="001C3BE2">
        <w:tc>
          <w:tcPr>
            <w:tcW w:w="1043" w:type="pct"/>
          </w:tcPr>
          <w:p w14:paraId="5DB7BC25" w14:textId="77777777" w:rsidR="000B3AD8" w:rsidRPr="009B34E5" w:rsidRDefault="00A75A62" w:rsidP="000B3AD8">
            <w:pPr>
              <w:pStyle w:val="TableText"/>
              <w:ind w:left="146"/>
            </w:pPr>
            <w:r>
              <w:t>Willapa</w:t>
            </w:r>
          </w:p>
        </w:tc>
        <w:tc>
          <w:tcPr>
            <w:tcW w:w="1416" w:type="pct"/>
          </w:tcPr>
          <w:p w14:paraId="6CB9C429" w14:textId="77777777" w:rsidR="000B3AD8" w:rsidRDefault="000B3AD8" w:rsidP="000B3AD8">
            <w:pPr>
              <w:pStyle w:val="tabletextcenter"/>
            </w:pPr>
            <w:r w:rsidRPr="00EF7C80">
              <w:t>2.0</w:t>
            </w:r>
          </w:p>
        </w:tc>
        <w:tc>
          <w:tcPr>
            <w:tcW w:w="1270" w:type="pct"/>
          </w:tcPr>
          <w:p w14:paraId="2DA7483D" w14:textId="77777777" w:rsidR="000B3AD8" w:rsidRDefault="000B3AD8" w:rsidP="000B3AD8">
            <w:pPr>
              <w:pStyle w:val="tabletextcenter"/>
            </w:pPr>
            <w:r w:rsidRPr="00EF7C80">
              <w:t>2.5</w:t>
            </w:r>
          </w:p>
        </w:tc>
        <w:tc>
          <w:tcPr>
            <w:tcW w:w="1271" w:type="pct"/>
          </w:tcPr>
          <w:p w14:paraId="058B2302" w14:textId="77777777" w:rsidR="000B3AD8" w:rsidRDefault="000B3AD8" w:rsidP="000B3AD8">
            <w:pPr>
              <w:pStyle w:val="tabletextcenter"/>
            </w:pPr>
            <w:r>
              <w:t>NA</w:t>
            </w:r>
          </w:p>
        </w:tc>
      </w:tr>
      <w:tr w:rsidR="000B3AD8" w:rsidRPr="00CD1826" w14:paraId="480E97F0"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0A22D740" w14:textId="77777777" w:rsidR="000B3AD8" w:rsidRPr="009B34E5" w:rsidRDefault="000B3AD8" w:rsidP="000B3AD8">
            <w:pPr>
              <w:pStyle w:val="TableText"/>
              <w:ind w:left="146"/>
            </w:pPr>
            <w:r w:rsidRPr="009B34E5">
              <w:t>Toutle</w:t>
            </w:r>
          </w:p>
        </w:tc>
        <w:tc>
          <w:tcPr>
            <w:tcW w:w="1416" w:type="pct"/>
          </w:tcPr>
          <w:p w14:paraId="75A8717D" w14:textId="77777777" w:rsidR="000B3AD8" w:rsidRDefault="000B3AD8" w:rsidP="000B3AD8">
            <w:pPr>
              <w:pStyle w:val="tabletextcenter"/>
            </w:pPr>
            <w:r w:rsidRPr="00EF7C80">
              <w:t>3.0</w:t>
            </w:r>
          </w:p>
        </w:tc>
        <w:tc>
          <w:tcPr>
            <w:tcW w:w="1270" w:type="pct"/>
          </w:tcPr>
          <w:p w14:paraId="5A16ADF0" w14:textId="77777777" w:rsidR="000B3AD8" w:rsidRDefault="000B3AD8" w:rsidP="000B3AD8">
            <w:pPr>
              <w:pStyle w:val="tabletextcenter"/>
            </w:pPr>
            <w:r>
              <w:t>3.0</w:t>
            </w:r>
          </w:p>
        </w:tc>
        <w:tc>
          <w:tcPr>
            <w:tcW w:w="1271" w:type="pct"/>
          </w:tcPr>
          <w:p w14:paraId="331BAED3" w14:textId="77777777" w:rsidR="000B3AD8" w:rsidRDefault="000B3AD8" w:rsidP="000B3AD8">
            <w:pPr>
              <w:pStyle w:val="tabletextcenter"/>
            </w:pPr>
            <w:r>
              <w:t>1.5</w:t>
            </w:r>
          </w:p>
        </w:tc>
      </w:tr>
      <w:tr w:rsidR="000B3AD8" w:rsidRPr="00CD1826" w14:paraId="527F5CD0" w14:textId="77777777" w:rsidTr="001C3BE2">
        <w:tc>
          <w:tcPr>
            <w:tcW w:w="1043" w:type="pct"/>
          </w:tcPr>
          <w:p w14:paraId="72E7B05F" w14:textId="77777777" w:rsidR="000B3AD8" w:rsidRPr="009B34E5" w:rsidRDefault="000B3AD8" w:rsidP="000B3AD8">
            <w:pPr>
              <w:pStyle w:val="TableText"/>
              <w:ind w:left="146"/>
            </w:pPr>
            <w:r w:rsidRPr="009B34E5">
              <w:t>Chinook</w:t>
            </w:r>
          </w:p>
        </w:tc>
        <w:tc>
          <w:tcPr>
            <w:tcW w:w="1416" w:type="pct"/>
          </w:tcPr>
          <w:p w14:paraId="3D6612B7" w14:textId="77777777" w:rsidR="000B3AD8" w:rsidRDefault="000B3AD8" w:rsidP="000B3AD8">
            <w:pPr>
              <w:pStyle w:val="tabletextcenter"/>
            </w:pPr>
            <w:r w:rsidRPr="00EF7C80">
              <w:t>2.0</w:t>
            </w:r>
          </w:p>
        </w:tc>
        <w:tc>
          <w:tcPr>
            <w:tcW w:w="1270" w:type="pct"/>
          </w:tcPr>
          <w:p w14:paraId="0FE8C708" w14:textId="77777777" w:rsidR="000B3AD8" w:rsidRDefault="000B3AD8" w:rsidP="000B3AD8">
            <w:pPr>
              <w:pStyle w:val="tabletextcenter"/>
            </w:pPr>
            <w:r>
              <w:t>2.0</w:t>
            </w:r>
          </w:p>
        </w:tc>
        <w:tc>
          <w:tcPr>
            <w:tcW w:w="1271" w:type="pct"/>
          </w:tcPr>
          <w:p w14:paraId="70283B7F" w14:textId="77777777" w:rsidR="000B3AD8" w:rsidRDefault="000B3AD8" w:rsidP="000B3AD8">
            <w:pPr>
              <w:pStyle w:val="tabletextcenter"/>
            </w:pPr>
            <w:r>
              <w:t>3.0</w:t>
            </w:r>
          </w:p>
        </w:tc>
      </w:tr>
      <w:tr w:rsidR="000B3AD8" w:rsidRPr="00CD1826" w14:paraId="765E86E7"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7B188421" w14:textId="77777777" w:rsidR="000B3AD8" w:rsidRPr="009B34E5" w:rsidRDefault="000B3AD8" w:rsidP="000B3AD8">
            <w:pPr>
              <w:pStyle w:val="TableText"/>
              <w:ind w:left="146"/>
            </w:pPr>
            <w:r w:rsidRPr="009B34E5">
              <w:t>Yakima</w:t>
            </w:r>
          </w:p>
        </w:tc>
        <w:tc>
          <w:tcPr>
            <w:tcW w:w="1416" w:type="pct"/>
          </w:tcPr>
          <w:p w14:paraId="7691EDC1" w14:textId="77777777" w:rsidR="000B3AD8" w:rsidRDefault="000B3AD8" w:rsidP="000B3AD8">
            <w:pPr>
              <w:pStyle w:val="tabletextcenter"/>
            </w:pPr>
            <w:r>
              <w:t>2</w:t>
            </w:r>
            <w:r w:rsidRPr="00EF7C80">
              <w:t>.0</w:t>
            </w:r>
          </w:p>
        </w:tc>
        <w:tc>
          <w:tcPr>
            <w:tcW w:w="1270" w:type="pct"/>
          </w:tcPr>
          <w:p w14:paraId="575B0A69" w14:textId="77777777" w:rsidR="000B3AD8" w:rsidRPr="00C60A7F" w:rsidRDefault="000B3AD8" w:rsidP="000B3AD8">
            <w:pPr>
              <w:pStyle w:val="tabletextcenter"/>
            </w:pPr>
            <w:r w:rsidRPr="00C60A7F">
              <w:t>2.0</w:t>
            </w:r>
          </w:p>
        </w:tc>
        <w:tc>
          <w:tcPr>
            <w:tcW w:w="1271" w:type="pct"/>
          </w:tcPr>
          <w:p w14:paraId="5AAB3D61" w14:textId="77777777" w:rsidR="000B3AD8" w:rsidRDefault="000B3AD8" w:rsidP="000B3AD8">
            <w:pPr>
              <w:pStyle w:val="tabletextcenter"/>
            </w:pPr>
            <w:r>
              <w:t>3.0</w:t>
            </w:r>
          </w:p>
        </w:tc>
      </w:tr>
      <w:tr w:rsidR="000B3AD8" w:rsidRPr="00CD1826" w14:paraId="2B169B2E" w14:textId="77777777" w:rsidTr="001C3BE2">
        <w:tc>
          <w:tcPr>
            <w:tcW w:w="1043" w:type="pct"/>
          </w:tcPr>
          <w:p w14:paraId="236A55DD" w14:textId="77777777" w:rsidR="000B3AD8" w:rsidRPr="009B34E5" w:rsidRDefault="000B3AD8" w:rsidP="000B3AD8">
            <w:pPr>
              <w:pStyle w:val="TableText"/>
              <w:ind w:left="146"/>
            </w:pPr>
            <w:r w:rsidRPr="009B34E5">
              <w:t>Nisqually</w:t>
            </w:r>
          </w:p>
        </w:tc>
        <w:tc>
          <w:tcPr>
            <w:tcW w:w="1416" w:type="pct"/>
          </w:tcPr>
          <w:p w14:paraId="416CC232" w14:textId="77777777" w:rsidR="000B3AD8" w:rsidRDefault="000B3AD8" w:rsidP="000B3AD8">
            <w:pPr>
              <w:pStyle w:val="tabletextcenter"/>
            </w:pPr>
            <w:r>
              <w:t>4</w:t>
            </w:r>
            <w:r w:rsidRPr="00EF7C80">
              <w:t>.0</w:t>
            </w:r>
          </w:p>
        </w:tc>
        <w:tc>
          <w:tcPr>
            <w:tcW w:w="1270" w:type="pct"/>
          </w:tcPr>
          <w:p w14:paraId="0462D9E0" w14:textId="77777777" w:rsidR="000B3AD8" w:rsidRPr="00C60A7F" w:rsidRDefault="000B3AD8" w:rsidP="000B3AD8">
            <w:pPr>
              <w:pStyle w:val="tabletextcenter"/>
            </w:pPr>
            <w:r w:rsidRPr="00C60A7F">
              <w:t>3.0</w:t>
            </w:r>
            <w:r>
              <w:t>*</w:t>
            </w:r>
          </w:p>
        </w:tc>
        <w:tc>
          <w:tcPr>
            <w:tcW w:w="1271" w:type="pct"/>
          </w:tcPr>
          <w:p w14:paraId="5F4D1474" w14:textId="77777777" w:rsidR="000B3AD8" w:rsidRDefault="000B3AD8" w:rsidP="000B3AD8">
            <w:pPr>
              <w:pStyle w:val="tabletextcenter"/>
            </w:pPr>
            <w:r>
              <w:t>NA</w:t>
            </w:r>
          </w:p>
        </w:tc>
      </w:tr>
      <w:tr w:rsidR="000B3AD8" w:rsidRPr="00CD1826" w14:paraId="27C7A36A"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1D4C02EA" w14:textId="77777777" w:rsidR="000B3AD8" w:rsidRPr="009B34E5" w:rsidRDefault="000B3AD8" w:rsidP="000B3AD8">
            <w:pPr>
              <w:pStyle w:val="TableText"/>
              <w:ind w:left="146"/>
            </w:pPr>
            <w:r w:rsidRPr="009B34E5">
              <w:t>Klickitat</w:t>
            </w:r>
          </w:p>
        </w:tc>
        <w:tc>
          <w:tcPr>
            <w:tcW w:w="1416" w:type="pct"/>
          </w:tcPr>
          <w:p w14:paraId="08187E43" w14:textId="77777777" w:rsidR="000B3AD8" w:rsidRDefault="000B3AD8" w:rsidP="000B3AD8">
            <w:pPr>
              <w:pStyle w:val="tabletextcenter"/>
            </w:pPr>
            <w:r w:rsidRPr="00EF7C80">
              <w:t>3.0</w:t>
            </w:r>
          </w:p>
        </w:tc>
        <w:tc>
          <w:tcPr>
            <w:tcW w:w="1270" w:type="pct"/>
          </w:tcPr>
          <w:p w14:paraId="2EB08D1C" w14:textId="77777777" w:rsidR="000B3AD8" w:rsidRDefault="000B3AD8" w:rsidP="000B3AD8">
            <w:pPr>
              <w:pStyle w:val="tabletextcenter"/>
            </w:pPr>
            <w:r>
              <w:t>3.0</w:t>
            </w:r>
          </w:p>
        </w:tc>
        <w:tc>
          <w:tcPr>
            <w:tcW w:w="1271" w:type="pct"/>
          </w:tcPr>
          <w:p w14:paraId="46222A90" w14:textId="77777777" w:rsidR="000B3AD8" w:rsidRDefault="000B3AD8" w:rsidP="000B3AD8">
            <w:pPr>
              <w:pStyle w:val="tabletextcenter"/>
            </w:pPr>
            <w:r>
              <w:t>1.0</w:t>
            </w:r>
          </w:p>
        </w:tc>
      </w:tr>
      <w:tr w:rsidR="000B3AD8" w:rsidRPr="00CD1826" w14:paraId="6435FED4" w14:textId="77777777" w:rsidTr="001C3BE2">
        <w:tc>
          <w:tcPr>
            <w:tcW w:w="1043" w:type="pct"/>
            <w:shd w:val="clear" w:color="auto" w:fill="A6A6A6" w:themeFill="background1" w:themeFillShade="A6"/>
          </w:tcPr>
          <w:p w14:paraId="30D4EFD4" w14:textId="77777777" w:rsidR="000B3AD8" w:rsidRPr="006812A7" w:rsidRDefault="000B3AD8" w:rsidP="000B3AD8">
            <w:pPr>
              <w:pStyle w:val="TableBullet"/>
              <w:numPr>
                <w:ilvl w:val="0"/>
                <w:numId w:val="0"/>
              </w:numPr>
              <w:rPr>
                <w:b/>
              </w:rPr>
            </w:pPr>
            <w:r w:rsidRPr="006812A7">
              <w:rPr>
                <w:b/>
              </w:rPr>
              <w:t>Green Hill</w:t>
            </w:r>
          </w:p>
        </w:tc>
        <w:tc>
          <w:tcPr>
            <w:tcW w:w="1416" w:type="pct"/>
            <w:shd w:val="clear" w:color="auto" w:fill="A6A6A6" w:themeFill="background1" w:themeFillShade="A6"/>
          </w:tcPr>
          <w:p w14:paraId="74015514" w14:textId="77777777" w:rsidR="000B3AD8" w:rsidRPr="00044201" w:rsidRDefault="000B3AD8" w:rsidP="000B3AD8">
            <w:pPr>
              <w:pStyle w:val="tabletextcenter"/>
              <w:rPr>
                <w:b/>
              </w:rPr>
            </w:pPr>
            <w:r>
              <w:rPr>
                <w:b/>
              </w:rPr>
              <w:t>37</w:t>
            </w:r>
          </w:p>
        </w:tc>
        <w:tc>
          <w:tcPr>
            <w:tcW w:w="1270" w:type="pct"/>
            <w:shd w:val="clear" w:color="auto" w:fill="A6A6A6" w:themeFill="background1" w:themeFillShade="A6"/>
          </w:tcPr>
          <w:p w14:paraId="7229E1E4" w14:textId="77777777" w:rsidR="000B3AD8" w:rsidRPr="00044201" w:rsidRDefault="000B3AD8" w:rsidP="000B3AD8">
            <w:pPr>
              <w:pStyle w:val="tabletextcenter"/>
              <w:rPr>
                <w:b/>
              </w:rPr>
            </w:pPr>
            <w:r>
              <w:rPr>
                <w:b/>
              </w:rPr>
              <w:t>4.0</w:t>
            </w:r>
          </w:p>
        </w:tc>
        <w:tc>
          <w:tcPr>
            <w:tcW w:w="1271" w:type="pct"/>
            <w:shd w:val="clear" w:color="auto" w:fill="A6A6A6" w:themeFill="background1" w:themeFillShade="A6"/>
          </w:tcPr>
          <w:p w14:paraId="4BCBCAF5" w14:textId="77777777" w:rsidR="000B3AD8" w:rsidRPr="00044201" w:rsidRDefault="000B3AD8" w:rsidP="000B3AD8">
            <w:pPr>
              <w:pStyle w:val="tabletextcenter"/>
              <w:rPr>
                <w:b/>
              </w:rPr>
            </w:pPr>
            <w:r>
              <w:rPr>
                <w:b/>
              </w:rPr>
              <w:t>1.5</w:t>
            </w:r>
          </w:p>
        </w:tc>
      </w:tr>
      <w:tr w:rsidR="000B3AD8" w:rsidRPr="00CD1826" w14:paraId="685E3800"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067E0574" w14:textId="77777777" w:rsidR="000B3AD8" w:rsidRPr="00044201" w:rsidRDefault="000B3AD8" w:rsidP="000B3AD8">
            <w:pPr>
              <w:pStyle w:val="TableText"/>
              <w:ind w:left="146"/>
            </w:pPr>
            <w:r w:rsidRPr="00044201">
              <w:t>Willow</w:t>
            </w:r>
          </w:p>
        </w:tc>
        <w:tc>
          <w:tcPr>
            <w:tcW w:w="1416" w:type="pct"/>
          </w:tcPr>
          <w:p w14:paraId="2BA3DEFA" w14:textId="77777777" w:rsidR="000B3AD8" w:rsidRPr="00F52EBF" w:rsidRDefault="000B3AD8" w:rsidP="000B3AD8">
            <w:pPr>
              <w:pStyle w:val="tabletextcenter"/>
            </w:pPr>
            <w:r w:rsidRPr="008B2FD3">
              <w:t>4.0</w:t>
            </w:r>
          </w:p>
        </w:tc>
        <w:tc>
          <w:tcPr>
            <w:tcW w:w="1270" w:type="pct"/>
          </w:tcPr>
          <w:p w14:paraId="48ADDA43" w14:textId="77777777" w:rsidR="000B3AD8" w:rsidRPr="00F52EBF" w:rsidRDefault="000B3AD8" w:rsidP="000B3AD8">
            <w:pPr>
              <w:pStyle w:val="tabletextcenter"/>
            </w:pPr>
            <w:r>
              <w:t>3.7</w:t>
            </w:r>
          </w:p>
        </w:tc>
        <w:tc>
          <w:tcPr>
            <w:tcW w:w="1271" w:type="pct"/>
          </w:tcPr>
          <w:p w14:paraId="509B1415" w14:textId="77777777" w:rsidR="000B3AD8" w:rsidRPr="00F52EBF" w:rsidRDefault="000B3AD8" w:rsidP="000B3AD8">
            <w:pPr>
              <w:pStyle w:val="tabletextcenter"/>
            </w:pPr>
            <w:r>
              <w:t>NA</w:t>
            </w:r>
          </w:p>
        </w:tc>
      </w:tr>
      <w:tr w:rsidR="000B3AD8" w:rsidRPr="00CD1826" w14:paraId="4657CA86" w14:textId="77777777" w:rsidTr="001C3BE2">
        <w:tc>
          <w:tcPr>
            <w:tcW w:w="1043" w:type="pct"/>
          </w:tcPr>
          <w:p w14:paraId="0197580E" w14:textId="77777777" w:rsidR="000B3AD8" w:rsidRPr="00044201" w:rsidRDefault="000B3AD8" w:rsidP="000B3AD8">
            <w:pPr>
              <w:pStyle w:val="TableText"/>
              <w:ind w:left="146"/>
            </w:pPr>
            <w:r w:rsidRPr="00044201">
              <w:t>Birch</w:t>
            </w:r>
          </w:p>
        </w:tc>
        <w:tc>
          <w:tcPr>
            <w:tcW w:w="1416" w:type="pct"/>
          </w:tcPr>
          <w:p w14:paraId="2619D4D3" w14:textId="77777777" w:rsidR="000B3AD8" w:rsidRPr="00F52EBF" w:rsidRDefault="000B3AD8" w:rsidP="000B3AD8">
            <w:pPr>
              <w:pStyle w:val="tabletextcenter"/>
            </w:pPr>
            <w:r w:rsidRPr="008B2FD3">
              <w:t>7.0</w:t>
            </w:r>
          </w:p>
        </w:tc>
        <w:tc>
          <w:tcPr>
            <w:tcW w:w="1270" w:type="pct"/>
          </w:tcPr>
          <w:p w14:paraId="48065DEC" w14:textId="77777777" w:rsidR="000B3AD8" w:rsidRPr="00F52EBF" w:rsidRDefault="000B3AD8" w:rsidP="000B3AD8">
            <w:pPr>
              <w:pStyle w:val="tabletextcenter"/>
            </w:pPr>
            <w:r>
              <w:t>3.25</w:t>
            </w:r>
          </w:p>
        </w:tc>
        <w:tc>
          <w:tcPr>
            <w:tcW w:w="1271" w:type="pct"/>
          </w:tcPr>
          <w:p w14:paraId="374DFFB6" w14:textId="77777777" w:rsidR="000B3AD8" w:rsidRPr="00F52EBF" w:rsidRDefault="000B3AD8" w:rsidP="000B3AD8">
            <w:pPr>
              <w:pStyle w:val="tabletextcenter"/>
            </w:pPr>
            <w:r>
              <w:t>1.0</w:t>
            </w:r>
          </w:p>
        </w:tc>
      </w:tr>
      <w:tr w:rsidR="000B3AD8" w:rsidRPr="00CD1826" w14:paraId="37A5C35F"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3101559D" w14:textId="77777777" w:rsidR="000B3AD8" w:rsidRPr="00044201" w:rsidRDefault="000B3AD8" w:rsidP="000B3AD8">
            <w:pPr>
              <w:pStyle w:val="TableText"/>
              <w:ind w:left="146"/>
            </w:pPr>
            <w:r w:rsidRPr="00044201">
              <w:t>Hawthorn</w:t>
            </w:r>
          </w:p>
        </w:tc>
        <w:tc>
          <w:tcPr>
            <w:tcW w:w="1416" w:type="pct"/>
          </w:tcPr>
          <w:p w14:paraId="1B3E4732" w14:textId="77777777" w:rsidR="000B3AD8" w:rsidRPr="00F52EBF" w:rsidRDefault="000B3AD8" w:rsidP="000B3AD8">
            <w:pPr>
              <w:pStyle w:val="tabletextcenter"/>
            </w:pPr>
            <w:r w:rsidRPr="008B2FD3">
              <w:t>11.0</w:t>
            </w:r>
          </w:p>
        </w:tc>
        <w:tc>
          <w:tcPr>
            <w:tcW w:w="1270" w:type="pct"/>
          </w:tcPr>
          <w:p w14:paraId="3F3E16DD" w14:textId="77777777" w:rsidR="000B3AD8" w:rsidRPr="00F52EBF" w:rsidRDefault="000B3AD8" w:rsidP="000B3AD8">
            <w:pPr>
              <w:pStyle w:val="tabletextcenter"/>
            </w:pPr>
            <w:r>
              <w:t>4.3</w:t>
            </w:r>
          </w:p>
        </w:tc>
        <w:tc>
          <w:tcPr>
            <w:tcW w:w="1271" w:type="pct"/>
          </w:tcPr>
          <w:p w14:paraId="4C0003FC" w14:textId="77777777" w:rsidR="000B3AD8" w:rsidRPr="00F52EBF" w:rsidRDefault="000B3AD8" w:rsidP="000B3AD8">
            <w:pPr>
              <w:pStyle w:val="tabletextcenter"/>
            </w:pPr>
            <w:r>
              <w:t>1.5</w:t>
            </w:r>
          </w:p>
        </w:tc>
      </w:tr>
      <w:tr w:rsidR="000B3AD8" w:rsidRPr="00CD1826" w14:paraId="4EB157D6" w14:textId="77777777" w:rsidTr="001C3BE2">
        <w:tc>
          <w:tcPr>
            <w:tcW w:w="1043" w:type="pct"/>
          </w:tcPr>
          <w:p w14:paraId="6D44F1C5" w14:textId="77777777" w:rsidR="000B3AD8" w:rsidRPr="00044201" w:rsidRDefault="000B3AD8" w:rsidP="000B3AD8">
            <w:pPr>
              <w:pStyle w:val="TableText"/>
              <w:ind w:left="146"/>
            </w:pPr>
            <w:r w:rsidRPr="00044201">
              <w:t>Spruce</w:t>
            </w:r>
          </w:p>
        </w:tc>
        <w:tc>
          <w:tcPr>
            <w:tcW w:w="1416" w:type="pct"/>
          </w:tcPr>
          <w:p w14:paraId="08FBFFBE" w14:textId="77777777" w:rsidR="000B3AD8" w:rsidRPr="00F52EBF" w:rsidRDefault="000B3AD8" w:rsidP="000B3AD8">
            <w:pPr>
              <w:pStyle w:val="tabletextcenter"/>
            </w:pPr>
            <w:r w:rsidRPr="008B2FD3">
              <w:t>10.0</w:t>
            </w:r>
          </w:p>
        </w:tc>
        <w:tc>
          <w:tcPr>
            <w:tcW w:w="1270" w:type="pct"/>
          </w:tcPr>
          <w:p w14:paraId="468EC229" w14:textId="77777777" w:rsidR="000B3AD8" w:rsidRPr="00F52EBF" w:rsidRDefault="000B3AD8" w:rsidP="000B3AD8">
            <w:pPr>
              <w:pStyle w:val="tabletextcenter"/>
            </w:pPr>
            <w:r>
              <w:t>4.6</w:t>
            </w:r>
          </w:p>
        </w:tc>
        <w:tc>
          <w:tcPr>
            <w:tcW w:w="1271" w:type="pct"/>
          </w:tcPr>
          <w:p w14:paraId="6DBB8A30" w14:textId="77777777" w:rsidR="000B3AD8" w:rsidRPr="00F52EBF" w:rsidRDefault="000B3AD8" w:rsidP="000B3AD8">
            <w:pPr>
              <w:pStyle w:val="tabletextcenter"/>
            </w:pPr>
            <w:r>
              <w:t>2.0</w:t>
            </w:r>
          </w:p>
        </w:tc>
      </w:tr>
      <w:tr w:rsidR="000B3AD8" w:rsidRPr="00CD1826" w14:paraId="4B6A4DF6"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04838516" w14:textId="77777777" w:rsidR="000B3AD8" w:rsidRPr="00044201" w:rsidRDefault="000B3AD8" w:rsidP="000B3AD8">
            <w:pPr>
              <w:pStyle w:val="TableText"/>
              <w:ind w:left="146"/>
            </w:pPr>
            <w:r w:rsidRPr="00044201">
              <w:t>Maple</w:t>
            </w:r>
          </w:p>
        </w:tc>
        <w:tc>
          <w:tcPr>
            <w:tcW w:w="1416" w:type="pct"/>
          </w:tcPr>
          <w:p w14:paraId="44955663" w14:textId="77777777" w:rsidR="000B3AD8" w:rsidRPr="00F52EBF" w:rsidRDefault="000B3AD8" w:rsidP="000B3AD8">
            <w:pPr>
              <w:pStyle w:val="tabletextcenter"/>
            </w:pPr>
            <w:r w:rsidRPr="008B2FD3">
              <w:t>2.0</w:t>
            </w:r>
          </w:p>
        </w:tc>
        <w:tc>
          <w:tcPr>
            <w:tcW w:w="1270" w:type="pct"/>
          </w:tcPr>
          <w:p w14:paraId="301FF30D" w14:textId="77777777" w:rsidR="000B3AD8" w:rsidRPr="00F52EBF" w:rsidRDefault="000B3AD8" w:rsidP="000B3AD8">
            <w:pPr>
              <w:pStyle w:val="tabletextcenter"/>
            </w:pPr>
            <w:r>
              <w:t>4.0</w:t>
            </w:r>
          </w:p>
        </w:tc>
        <w:tc>
          <w:tcPr>
            <w:tcW w:w="1271" w:type="pct"/>
          </w:tcPr>
          <w:p w14:paraId="54BC0074" w14:textId="77777777" w:rsidR="000B3AD8" w:rsidRPr="00F52EBF" w:rsidRDefault="000B3AD8" w:rsidP="000B3AD8">
            <w:pPr>
              <w:pStyle w:val="tabletextcenter"/>
            </w:pPr>
            <w:r>
              <w:t>NA</w:t>
            </w:r>
          </w:p>
        </w:tc>
      </w:tr>
      <w:tr w:rsidR="000B3AD8" w:rsidRPr="00CD1826" w14:paraId="123A89ED" w14:textId="77777777" w:rsidTr="001C3BE2">
        <w:trPr>
          <w:trHeight w:val="68"/>
        </w:trPr>
        <w:tc>
          <w:tcPr>
            <w:tcW w:w="1043" w:type="pct"/>
          </w:tcPr>
          <w:p w14:paraId="483DBED1" w14:textId="77777777" w:rsidR="000B3AD8" w:rsidRPr="00044201" w:rsidRDefault="000B3AD8" w:rsidP="000B3AD8">
            <w:pPr>
              <w:pStyle w:val="TableText"/>
              <w:ind w:left="146"/>
            </w:pPr>
            <w:r w:rsidRPr="00044201">
              <w:t>Cedar</w:t>
            </w:r>
          </w:p>
        </w:tc>
        <w:tc>
          <w:tcPr>
            <w:tcW w:w="1416" w:type="pct"/>
          </w:tcPr>
          <w:p w14:paraId="03CE39B6" w14:textId="77777777" w:rsidR="000B3AD8" w:rsidRPr="00F52EBF" w:rsidRDefault="000B3AD8" w:rsidP="000B3AD8">
            <w:pPr>
              <w:pStyle w:val="tabletextcenter"/>
            </w:pPr>
            <w:r w:rsidRPr="008B2FD3">
              <w:t>1.0</w:t>
            </w:r>
          </w:p>
        </w:tc>
        <w:tc>
          <w:tcPr>
            <w:tcW w:w="1270" w:type="pct"/>
          </w:tcPr>
          <w:p w14:paraId="1988B02B" w14:textId="77777777" w:rsidR="000B3AD8" w:rsidRPr="00F52EBF" w:rsidRDefault="000B3AD8" w:rsidP="000B3AD8">
            <w:pPr>
              <w:pStyle w:val="tabletextcenter"/>
            </w:pPr>
            <w:r>
              <w:t>3.0</w:t>
            </w:r>
          </w:p>
        </w:tc>
        <w:tc>
          <w:tcPr>
            <w:tcW w:w="1271" w:type="pct"/>
          </w:tcPr>
          <w:p w14:paraId="2BDB2C2D" w14:textId="77777777" w:rsidR="000B3AD8" w:rsidRPr="00F52EBF" w:rsidRDefault="000B3AD8" w:rsidP="000B3AD8">
            <w:pPr>
              <w:pStyle w:val="tabletextcenter"/>
            </w:pPr>
            <w:r>
              <w:t>NA</w:t>
            </w:r>
          </w:p>
        </w:tc>
      </w:tr>
      <w:tr w:rsidR="000B3AD8" w:rsidRPr="00F52EBF" w14:paraId="6C509742"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shd w:val="clear" w:color="auto" w:fill="A6A6A6" w:themeFill="background1" w:themeFillShade="A6"/>
          </w:tcPr>
          <w:p w14:paraId="6AC9F8D3" w14:textId="77777777" w:rsidR="000B3AD8" w:rsidRPr="00044201" w:rsidRDefault="000B3AD8" w:rsidP="000B3AD8">
            <w:pPr>
              <w:pStyle w:val="TableText"/>
              <w:rPr>
                <w:b/>
              </w:rPr>
            </w:pPr>
            <w:r w:rsidRPr="00044201">
              <w:rPr>
                <w:b/>
              </w:rPr>
              <w:t>Naselle</w:t>
            </w:r>
          </w:p>
        </w:tc>
        <w:tc>
          <w:tcPr>
            <w:tcW w:w="1416" w:type="pct"/>
            <w:shd w:val="clear" w:color="auto" w:fill="A6A6A6" w:themeFill="background1" w:themeFillShade="A6"/>
          </w:tcPr>
          <w:p w14:paraId="615BAB8A" w14:textId="77777777" w:rsidR="000B3AD8" w:rsidRPr="00044201" w:rsidRDefault="000B3AD8" w:rsidP="000B3AD8">
            <w:pPr>
              <w:pStyle w:val="TableTextBoldCentered"/>
            </w:pPr>
            <w:r>
              <w:t>16</w:t>
            </w:r>
          </w:p>
        </w:tc>
        <w:tc>
          <w:tcPr>
            <w:tcW w:w="1270" w:type="pct"/>
            <w:shd w:val="clear" w:color="auto" w:fill="A6A6A6" w:themeFill="background1" w:themeFillShade="A6"/>
          </w:tcPr>
          <w:p w14:paraId="14D0B4C3" w14:textId="77777777" w:rsidR="000B3AD8" w:rsidRPr="00044201" w:rsidRDefault="000B3AD8" w:rsidP="000B3AD8">
            <w:pPr>
              <w:pStyle w:val="TableTextBoldCentered"/>
            </w:pPr>
            <w:r>
              <w:t>4.0</w:t>
            </w:r>
          </w:p>
        </w:tc>
        <w:tc>
          <w:tcPr>
            <w:tcW w:w="1271" w:type="pct"/>
            <w:shd w:val="clear" w:color="auto" w:fill="A6A6A6" w:themeFill="background1" w:themeFillShade="A6"/>
          </w:tcPr>
          <w:p w14:paraId="25B35856" w14:textId="77777777" w:rsidR="000B3AD8" w:rsidRPr="00044201" w:rsidRDefault="000B3AD8" w:rsidP="000B3AD8">
            <w:pPr>
              <w:pStyle w:val="TableTextBoldCentered"/>
            </w:pPr>
            <w:r>
              <w:t>2.6</w:t>
            </w:r>
          </w:p>
        </w:tc>
      </w:tr>
      <w:tr w:rsidR="000B3AD8" w:rsidRPr="00F52EBF" w14:paraId="319F6A93" w14:textId="77777777" w:rsidTr="001C3BE2">
        <w:tc>
          <w:tcPr>
            <w:tcW w:w="1043" w:type="pct"/>
          </w:tcPr>
          <w:p w14:paraId="6AC7ABC5" w14:textId="77777777" w:rsidR="000B3AD8" w:rsidRPr="00044201" w:rsidRDefault="000B3AD8" w:rsidP="000B3AD8">
            <w:pPr>
              <w:pStyle w:val="TableText"/>
              <w:ind w:left="146"/>
            </w:pPr>
            <w:r w:rsidRPr="00044201">
              <w:t>Mariner Lodge</w:t>
            </w:r>
          </w:p>
        </w:tc>
        <w:tc>
          <w:tcPr>
            <w:tcW w:w="1416" w:type="pct"/>
          </w:tcPr>
          <w:p w14:paraId="09159AE2" w14:textId="77777777" w:rsidR="000B3AD8" w:rsidRPr="00553FA0" w:rsidRDefault="000B3AD8" w:rsidP="000B3AD8">
            <w:pPr>
              <w:pStyle w:val="TableTextBoldCentered"/>
              <w:rPr>
                <w:b w:val="0"/>
              </w:rPr>
            </w:pPr>
            <w:r w:rsidRPr="00553FA0">
              <w:rPr>
                <w:b w:val="0"/>
              </w:rPr>
              <w:t>6.0</w:t>
            </w:r>
          </w:p>
        </w:tc>
        <w:tc>
          <w:tcPr>
            <w:tcW w:w="1270" w:type="pct"/>
          </w:tcPr>
          <w:p w14:paraId="1CE37C63" w14:textId="77777777" w:rsidR="000B3AD8" w:rsidRPr="00553FA0" w:rsidRDefault="000B3AD8" w:rsidP="000B3AD8">
            <w:pPr>
              <w:pStyle w:val="TableTextBoldCentered"/>
              <w:rPr>
                <w:b w:val="0"/>
              </w:rPr>
            </w:pPr>
            <w:r>
              <w:rPr>
                <w:b w:val="0"/>
              </w:rPr>
              <w:t>3.3</w:t>
            </w:r>
          </w:p>
        </w:tc>
        <w:tc>
          <w:tcPr>
            <w:tcW w:w="1271" w:type="pct"/>
          </w:tcPr>
          <w:p w14:paraId="5E27A2DA" w14:textId="77777777" w:rsidR="000B3AD8" w:rsidRPr="00553FA0" w:rsidRDefault="000B3AD8" w:rsidP="000B3AD8">
            <w:pPr>
              <w:pStyle w:val="TableTextBoldCentered"/>
              <w:rPr>
                <w:b w:val="0"/>
              </w:rPr>
            </w:pPr>
            <w:r>
              <w:rPr>
                <w:b w:val="0"/>
              </w:rPr>
              <w:t>4.0</w:t>
            </w:r>
          </w:p>
        </w:tc>
      </w:tr>
      <w:tr w:rsidR="000B3AD8" w:rsidRPr="00F52EBF" w14:paraId="4653CBEE"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tcPr>
          <w:p w14:paraId="4BC85A06" w14:textId="77777777" w:rsidR="000B3AD8" w:rsidRPr="00044201" w:rsidRDefault="000B3AD8" w:rsidP="000B3AD8">
            <w:pPr>
              <w:pStyle w:val="TableText"/>
              <w:ind w:left="146"/>
            </w:pPr>
            <w:r w:rsidRPr="00044201">
              <w:t>Cougar Lodge</w:t>
            </w:r>
          </w:p>
        </w:tc>
        <w:tc>
          <w:tcPr>
            <w:tcW w:w="1416" w:type="pct"/>
          </w:tcPr>
          <w:p w14:paraId="6032831A" w14:textId="77777777" w:rsidR="000B3AD8" w:rsidRPr="00553FA0" w:rsidRDefault="000B3AD8" w:rsidP="000B3AD8">
            <w:pPr>
              <w:pStyle w:val="TableTextBoldCentered"/>
              <w:rPr>
                <w:b w:val="0"/>
              </w:rPr>
            </w:pPr>
            <w:r w:rsidRPr="00553FA0">
              <w:rPr>
                <w:b w:val="0"/>
              </w:rPr>
              <w:t>4.0</w:t>
            </w:r>
          </w:p>
        </w:tc>
        <w:tc>
          <w:tcPr>
            <w:tcW w:w="1270" w:type="pct"/>
          </w:tcPr>
          <w:p w14:paraId="0CDC5E01" w14:textId="77777777" w:rsidR="000B3AD8" w:rsidRPr="00553FA0" w:rsidRDefault="000B3AD8" w:rsidP="000B3AD8">
            <w:pPr>
              <w:pStyle w:val="TableTextBoldCentered"/>
              <w:rPr>
                <w:b w:val="0"/>
              </w:rPr>
            </w:pPr>
            <w:r>
              <w:rPr>
                <w:b w:val="0"/>
              </w:rPr>
              <w:t>4.0</w:t>
            </w:r>
          </w:p>
        </w:tc>
        <w:tc>
          <w:tcPr>
            <w:tcW w:w="1271" w:type="pct"/>
          </w:tcPr>
          <w:p w14:paraId="7D0F12DE" w14:textId="77777777" w:rsidR="000B3AD8" w:rsidRPr="00553FA0" w:rsidRDefault="000B3AD8" w:rsidP="000B3AD8">
            <w:pPr>
              <w:pStyle w:val="TableTextBoldCentered"/>
              <w:rPr>
                <w:b w:val="0"/>
              </w:rPr>
            </w:pPr>
            <w:r>
              <w:rPr>
                <w:b w:val="0"/>
              </w:rPr>
              <w:t>2.0</w:t>
            </w:r>
          </w:p>
        </w:tc>
      </w:tr>
      <w:tr w:rsidR="000B3AD8" w:rsidRPr="00F52EBF" w14:paraId="6F725B79" w14:textId="77777777" w:rsidTr="001C3BE2">
        <w:tc>
          <w:tcPr>
            <w:tcW w:w="1043" w:type="pct"/>
          </w:tcPr>
          <w:p w14:paraId="17C337EA" w14:textId="77777777" w:rsidR="000B3AD8" w:rsidRPr="00044201" w:rsidRDefault="000B3AD8" w:rsidP="000B3AD8">
            <w:pPr>
              <w:pStyle w:val="TableText"/>
              <w:ind w:left="146"/>
            </w:pPr>
            <w:r w:rsidRPr="00044201">
              <w:t>Harbor Lodge</w:t>
            </w:r>
          </w:p>
        </w:tc>
        <w:tc>
          <w:tcPr>
            <w:tcW w:w="1416" w:type="pct"/>
          </w:tcPr>
          <w:p w14:paraId="3744C64E" w14:textId="77777777" w:rsidR="000B3AD8" w:rsidRPr="00553FA0" w:rsidRDefault="000B3AD8" w:rsidP="000B3AD8">
            <w:pPr>
              <w:pStyle w:val="TableTextBoldCentered"/>
              <w:rPr>
                <w:b w:val="0"/>
              </w:rPr>
            </w:pPr>
            <w:r w:rsidRPr="00553FA0">
              <w:rPr>
                <w:b w:val="0"/>
              </w:rPr>
              <w:t>6.0</w:t>
            </w:r>
          </w:p>
        </w:tc>
        <w:tc>
          <w:tcPr>
            <w:tcW w:w="1270" w:type="pct"/>
          </w:tcPr>
          <w:p w14:paraId="64785DF3" w14:textId="77777777" w:rsidR="000B3AD8" w:rsidRPr="00553FA0" w:rsidRDefault="000B3AD8" w:rsidP="000B3AD8">
            <w:pPr>
              <w:pStyle w:val="TableTextBoldCentered"/>
              <w:rPr>
                <w:b w:val="0"/>
              </w:rPr>
            </w:pPr>
            <w:r>
              <w:rPr>
                <w:b w:val="0"/>
              </w:rPr>
              <w:t>4.5</w:t>
            </w:r>
          </w:p>
        </w:tc>
        <w:tc>
          <w:tcPr>
            <w:tcW w:w="1271" w:type="pct"/>
          </w:tcPr>
          <w:p w14:paraId="78B91548" w14:textId="77777777" w:rsidR="000B3AD8" w:rsidRPr="00553FA0" w:rsidRDefault="000B3AD8" w:rsidP="000B3AD8">
            <w:pPr>
              <w:pStyle w:val="TableTextBoldCentered"/>
              <w:rPr>
                <w:b w:val="0"/>
              </w:rPr>
            </w:pPr>
            <w:r>
              <w:rPr>
                <w:b w:val="0"/>
              </w:rPr>
              <w:t>1.5</w:t>
            </w:r>
          </w:p>
        </w:tc>
      </w:tr>
      <w:tr w:rsidR="000B3AD8" w:rsidRPr="00CD1826" w14:paraId="7AE6A894" w14:textId="77777777" w:rsidTr="001C3BE2">
        <w:trPr>
          <w:cnfStyle w:val="000000100000" w:firstRow="0" w:lastRow="0" w:firstColumn="0" w:lastColumn="0" w:oddVBand="0" w:evenVBand="0" w:oddHBand="1" w:evenHBand="0" w:firstRowFirstColumn="0" w:firstRowLastColumn="0" w:lastRowFirstColumn="0" w:lastRowLastColumn="0"/>
        </w:trPr>
        <w:tc>
          <w:tcPr>
            <w:tcW w:w="1043" w:type="pct"/>
            <w:shd w:val="clear" w:color="auto" w:fill="A6A6A6" w:themeFill="background1" w:themeFillShade="A6"/>
          </w:tcPr>
          <w:p w14:paraId="112C1597" w14:textId="77777777" w:rsidR="000B3AD8" w:rsidRPr="00044201" w:rsidRDefault="000B3AD8" w:rsidP="000B3AD8">
            <w:pPr>
              <w:pStyle w:val="TableText"/>
              <w:rPr>
                <w:b/>
              </w:rPr>
            </w:pPr>
            <w:r w:rsidRPr="00044201">
              <w:rPr>
                <w:b/>
              </w:rPr>
              <w:t xml:space="preserve">Community Facilities </w:t>
            </w:r>
          </w:p>
        </w:tc>
        <w:tc>
          <w:tcPr>
            <w:tcW w:w="1416" w:type="pct"/>
            <w:shd w:val="clear" w:color="auto" w:fill="A6A6A6" w:themeFill="background1" w:themeFillShade="A6"/>
          </w:tcPr>
          <w:p w14:paraId="6344F33B" w14:textId="77777777" w:rsidR="000B3AD8" w:rsidRPr="00553FA0" w:rsidRDefault="000B3AD8" w:rsidP="000B3AD8">
            <w:pPr>
              <w:pStyle w:val="TableTextBoldCentered"/>
            </w:pPr>
            <w:r w:rsidRPr="00553FA0">
              <w:t>16</w:t>
            </w:r>
          </w:p>
        </w:tc>
        <w:tc>
          <w:tcPr>
            <w:tcW w:w="1270" w:type="pct"/>
            <w:shd w:val="clear" w:color="auto" w:fill="A6A6A6" w:themeFill="background1" w:themeFillShade="A6"/>
          </w:tcPr>
          <w:p w14:paraId="6734132B" w14:textId="77777777" w:rsidR="000B3AD8" w:rsidRPr="00553FA0" w:rsidRDefault="000B3AD8" w:rsidP="000B3AD8">
            <w:pPr>
              <w:pStyle w:val="TableTextBoldCentered"/>
            </w:pPr>
            <w:r>
              <w:t>4.8</w:t>
            </w:r>
          </w:p>
        </w:tc>
        <w:tc>
          <w:tcPr>
            <w:tcW w:w="1271" w:type="pct"/>
            <w:shd w:val="clear" w:color="auto" w:fill="A6A6A6" w:themeFill="background1" w:themeFillShade="A6"/>
          </w:tcPr>
          <w:p w14:paraId="53D058AC" w14:textId="77777777" w:rsidR="000B3AD8" w:rsidRPr="00553FA0" w:rsidRDefault="000B3AD8" w:rsidP="000B3AD8">
            <w:pPr>
              <w:pStyle w:val="TableTextBoldCentered"/>
            </w:pPr>
            <w:r>
              <w:t>2.0</w:t>
            </w:r>
          </w:p>
        </w:tc>
      </w:tr>
    </w:tbl>
    <w:p w14:paraId="7DDE3DC2" w14:textId="77777777" w:rsidR="000B3AD8" w:rsidRPr="00233355" w:rsidRDefault="000B3AD8" w:rsidP="000B3AD8">
      <w:pPr>
        <w:rPr>
          <w:i/>
          <w:sz w:val="20"/>
        </w:rPr>
      </w:pPr>
      <w:r w:rsidRPr="00C60A7F">
        <w:rPr>
          <w:i/>
          <w:sz w:val="20"/>
        </w:rPr>
        <w:t xml:space="preserve">* Excludes an outlier who indicated they had a caseload of 34 </w:t>
      </w:r>
    </w:p>
    <w:p w14:paraId="51F42F64" w14:textId="77777777" w:rsidR="000B3AD8" w:rsidRPr="00CC1367" w:rsidRDefault="000B3AD8" w:rsidP="000B3AD8">
      <w:pPr>
        <w:pStyle w:val="Heading4"/>
        <w:rPr>
          <w:color w:val="auto"/>
        </w:rPr>
      </w:pPr>
      <w:r w:rsidRPr="00CC1367">
        <w:rPr>
          <w:color w:val="auto"/>
        </w:rPr>
        <w:t>Alternative Caseload Model</w:t>
      </w:r>
    </w:p>
    <w:p w14:paraId="1FCAE92B" w14:textId="77777777" w:rsidR="000B3AD8" w:rsidRDefault="000B3AD8" w:rsidP="000B3AD8">
      <w:r w:rsidRPr="00442382">
        <w:t>Naselle</w:t>
      </w:r>
      <w:r>
        <w:t xml:space="preserve"> is currently piloting an alterna</w:t>
      </w:r>
      <w:r w:rsidR="00CD3F9A">
        <w:t xml:space="preserve">tive </w:t>
      </w:r>
      <w:r w:rsidR="005D560D">
        <w:t xml:space="preserve">residential </w:t>
      </w:r>
      <w:r w:rsidR="00CD3F9A">
        <w:t>staffing model in which one Juvenile Rehabilitation Residential Counselor (JRRC)</w:t>
      </w:r>
      <w:r>
        <w:t xml:space="preserve"> has a caseload of 1</w:t>
      </w:r>
      <w:r w:rsidR="00440494">
        <w:t xml:space="preserve">0 youth. The counselor works 40 hours per week, all of this time </w:t>
      </w:r>
      <w:r>
        <w:t>off the floor. The counselor spend</w:t>
      </w:r>
      <w:r w:rsidR="00800F9B">
        <w:t>s</w:t>
      </w:r>
      <w:r>
        <w:t xml:space="preserve"> time with the youth in the living units, at recreational activities, or at school, but is not counted in the staffing ratios required on the floor. Further, the counselor does not get involved with behavior management and ensuring safety and security on the living units. According to this counselor, this model has provided her with the needed time to develop </w:t>
      </w:r>
      <w:r w:rsidR="00800F9B">
        <w:t xml:space="preserve">strong </w:t>
      </w:r>
      <w:r>
        <w:t>re</w:t>
      </w:r>
      <w:r w:rsidR="00E61F8C">
        <w:t>lationships with youth that allow for</w:t>
      </w:r>
      <w:r>
        <w:t xml:space="preserve"> ef</w:t>
      </w:r>
      <w:r w:rsidR="00E61F8C">
        <w:t xml:space="preserve">fective interventions. She has time to </w:t>
      </w:r>
      <w:r>
        <w:t xml:space="preserve">prepare for one-on-one individual </w:t>
      </w:r>
      <w:r w:rsidR="00031E0B">
        <w:t xml:space="preserve">counseling </w:t>
      </w:r>
      <w:r>
        <w:t>sessions, provide</w:t>
      </w:r>
      <w:r w:rsidR="00E61F8C">
        <w:t xml:space="preserve"> ongoing support to the youth as they work towards</w:t>
      </w:r>
      <w:r>
        <w:t xml:space="preserve"> their goals, prepare and conduct sessions</w:t>
      </w:r>
      <w:r w:rsidR="00E61F8C">
        <w:t>,</w:t>
      </w:r>
      <w:r>
        <w:t xml:space="preserve"> and complete required paperwork, and have regular contact with parents. Fu</w:t>
      </w:r>
      <w:r w:rsidR="008C281E">
        <w:t xml:space="preserve">rther, this </w:t>
      </w:r>
      <w:r w:rsidR="008C281E">
        <w:lastRenderedPageBreak/>
        <w:t xml:space="preserve">counselor indicated, </w:t>
      </w:r>
      <w:r>
        <w:t xml:space="preserve">“she enjoys her job a lot more” and feels she is in a position to better implement the </w:t>
      </w:r>
      <w:r w:rsidR="00AF70EE">
        <w:t>Rehabilitation Model</w:t>
      </w:r>
      <w:r>
        <w:t xml:space="preserve"> and meet the components of DBT. Further, many youth have requested to be on the caseload of this counselor</w:t>
      </w:r>
      <w:r w:rsidR="003105F4">
        <w:t>,</w:t>
      </w:r>
      <w:r>
        <w:t xml:space="preserve"> as they have seen they </w:t>
      </w:r>
      <w:r w:rsidR="00256C70">
        <w:t xml:space="preserve">would </w:t>
      </w:r>
      <w:r>
        <w:t>get more time and attention.</w:t>
      </w:r>
    </w:p>
    <w:p w14:paraId="465FE84B" w14:textId="77777777" w:rsidR="000B3AD8" w:rsidRDefault="000B3AD8" w:rsidP="00800F9B">
      <w:pPr>
        <w:pStyle w:val="PullQuote"/>
        <w:framePr w:wrap="around" w:hAnchor="page" w:x="7453" w:y="50"/>
      </w:pPr>
      <w:r>
        <w:t>“We should increase the caseloads of counselors an</w:t>
      </w:r>
      <w:r w:rsidR="00E974C6">
        <w:t>d</w:t>
      </w:r>
      <w:r>
        <w:t xml:space="preserve"> not make them part of the floor count</w:t>
      </w:r>
      <w:r w:rsidR="00E974C6">
        <w:t>,</w:t>
      </w:r>
      <w:r>
        <w:t xml:space="preserve"> so they can have the time and space to do the counseling they are expected to do</w:t>
      </w:r>
      <w:r w:rsidR="00E974C6">
        <w:t>.</w:t>
      </w:r>
      <w:r>
        <w:t>”</w:t>
      </w:r>
    </w:p>
    <w:p w14:paraId="685F5EA2" w14:textId="77777777" w:rsidR="000B3AD8" w:rsidRDefault="000B3AD8" w:rsidP="00800F9B">
      <w:pPr>
        <w:pStyle w:val="PullQuote"/>
        <w:framePr w:wrap="around" w:hAnchor="page" w:x="7453" w:y="50"/>
        <w:jc w:val="right"/>
      </w:pPr>
      <w:r>
        <w:t>—Leadership</w:t>
      </w:r>
    </w:p>
    <w:p w14:paraId="2DBE6171" w14:textId="77777777" w:rsidR="000B3AD8" w:rsidRDefault="000B3AD8" w:rsidP="000B3AD8">
      <w:r>
        <w:t xml:space="preserve">A theme emerged in interviews with leadership and counselors about the conflicting roles counselors have. </w:t>
      </w:r>
      <w:r w:rsidR="00800F9B">
        <w:t xml:space="preserve">Developing </w:t>
      </w:r>
      <w:r>
        <w:t>meaningful counseling or therapeutic relationship</w:t>
      </w:r>
      <w:r w:rsidR="00800F9B">
        <w:t>s</w:t>
      </w:r>
      <w:r>
        <w:t xml:space="preserve"> in which the counselor has time to get to know the youth and build trust is crucial to providing effective counseling. </w:t>
      </w:r>
      <w:r w:rsidR="00800F9B">
        <w:t xml:space="preserve">This </w:t>
      </w:r>
      <w:r>
        <w:t>help</w:t>
      </w:r>
      <w:r w:rsidR="00800F9B">
        <w:t>s</w:t>
      </w:r>
      <w:r>
        <w:t xml:space="preserve"> youth improve their decision-making </w:t>
      </w:r>
      <w:r w:rsidR="00D3798D">
        <w:t xml:space="preserve">skills </w:t>
      </w:r>
      <w:r>
        <w:t xml:space="preserve">and </w:t>
      </w:r>
      <w:r w:rsidR="00631320">
        <w:t>behaviors,</w:t>
      </w:r>
      <w:r>
        <w:t xml:space="preserve"> so they can become law-abiding citizens</w:t>
      </w:r>
      <w:r w:rsidR="00D3798D">
        <w:t xml:space="preserve"> upon release. Yet</w:t>
      </w:r>
      <w:r>
        <w:t xml:space="preserve"> counselors are more often than not focused on i</w:t>
      </w:r>
      <w:r w:rsidR="00D3798D">
        <w:t>ssues of behavior management, as well as</w:t>
      </w:r>
      <w:r>
        <w:t xml:space="preserve"> security and safety on the floor. As one counselor put it, </w:t>
      </w:r>
      <w:r w:rsidR="00D3798D">
        <w:t>“A</w:t>
      </w:r>
      <w:r>
        <w:t>t one moment, I am putting my hands on the youth to restrain him from hurting someone</w:t>
      </w:r>
      <w:r w:rsidR="00D3798D">
        <w:t>,</w:t>
      </w:r>
      <w:r>
        <w:t xml:space="preserve"> and in the next I am asking him to discuss his issues with me.”</w:t>
      </w:r>
    </w:p>
    <w:p w14:paraId="7BACF7CD" w14:textId="77777777" w:rsidR="003F3A02" w:rsidRDefault="000B3AD8" w:rsidP="003F3A02">
      <w:pPr>
        <w:pStyle w:val="Heading3"/>
      </w:pPr>
      <w:bookmarkStart w:id="53" w:name="_Toc521402106"/>
      <w:bookmarkStart w:id="54" w:name="_Toc531597500"/>
      <w:r>
        <w:t>Supervision</w:t>
      </w:r>
      <w:bookmarkEnd w:id="53"/>
      <w:bookmarkEnd w:id="54"/>
    </w:p>
    <w:p w14:paraId="35AB65D0" w14:textId="77777777" w:rsidR="002804F7" w:rsidRPr="008C6F96" w:rsidRDefault="002804F7" w:rsidP="002804F7">
      <w:pPr>
        <w:pStyle w:val="RFPtext"/>
        <w:pBdr>
          <w:top w:val="dotted" w:sz="2" w:space="0" w:color="666666"/>
        </w:pBdr>
        <w:rPr>
          <w:b/>
          <w:color w:val="auto"/>
        </w:rPr>
      </w:pPr>
      <w:r w:rsidRPr="008C6F96">
        <w:rPr>
          <w:b/>
          <w:color w:val="auto"/>
          <w:sz w:val="24"/>
        </w:rPr>
        <w:t>Appropriate supervision and a good supervisor/supervisee relationship is critical to the success of J</w:t>
      </w:r>
      <w:r w:rsidR="00CD3F9A">
        <w:rPr>
          <w:b/>
          <w:color w:val="auto"/>
          <w:sz w:val="24"/>
        </w:rPr>
        <w:t>uvenile Rehabilitation (J</w:t>
      </w:r>
      <w:r w:rsidRPr="008C6F96">
        <w:rPr>
          <w:b/>
          <w:color w:val="auto"/>
          <w:sz w:val="24"/>
        </w:rPr>
        <w:t>R</w:t>
      </w:r>
      <w:r w:rsidR="00CD3F9A">
        <w:rPr>
          <w:b/>
          <w:color w:val="auto"/>
          <w:sz w:val="24"/>
        </w:rPr>
        <w:t>)</w:t>
      </w:r>
      <w:r w:rsidRPr="008C6F96">
        <w:rPr>
          <w:b/>
          <w:color w:val="auto"/>
          <w:sz w:val="24"/>
        </w:rPr>
        <w:t xml:space="preserve"> staff and ultimately the organization. Supervisors need to be well trained and prepared to provide the necessary and appropriate guidance, structure, and encouragement </w:t>
      </w:r>
      <w:r w:rsidR="00800F9B" w:rsidRPr="008C6F96">
        <w:rPr>
          <w:b/>
          <w:color w:val="auto"/>
          <w:sz w:val="24"/>
        </w:rPr>
        <w:t>t</w:t>
      </w:r>
      <w:r w:rsidRPr="008C6F96">
        <w:rPr>
          <w:b/>
          <w:color w:val="auto"/>
          <w:sz w:val="24"/>
        </w:rPr>
        <w:t>o their staff</w:t>
      </w:r>
      <w:r w:rsidR="004C75A6" w:rsidRPr="008C6F96">
        <w:rPr>
          <w:b/>
          <w:color w:val="auto"/>
          <w:sz w:val="24"/>
        </w:rPr>
        <w:t xml:space="preserve">. </w:t>
      </w:r>
      <w:r w:rsidRPr="008C6F96">
        <w:rPr>
          <w:b/>
          <w:color w:val="auto"/>
          <w:sz w:val="24"/>
        </w:rPr>
        <w:t xml:space="preserve">Currently, JR supervisors receive </w:t>
      </w:r>
      <w:r w:rsidR="00800F9B" w:rsidRPr="008C6F96">
        <w:rPr>
          <w:b/>
          <w:color w:val="auto"/>
          <w:sz w:val="24"/>
        </w:rPr>
        <w:t xml:space="preserve">limited </w:t>
      </w:r>
      <w:r w:rsidRPr="008C6F96">
        <w:rPr>
          <w:b/>
          <w:color w:val="auto"/>
          <w:sz w:val="24"/>
        </w:rPr>
        <w:t>training and are struggling to meet the requirement of providing monthly supervision</w:t>
      </w:r>
      <w:r w:rsidRPr="008C6F96">
        <w:rPr>
          <w:b/>
          <w:color w:val="auto"/>
        </w:rPr>
        <w:t>.</w:t>
      </w:r>
    </w:p>
    <w:p w14:paraId="0B6DBD99" w14:textId="77777777" w:rsidR="000B3AD8" w:rsidRDefault="00A874FC" w:rsidP="000B3AD8">
      <w:r>
        <w:t>Research highlights</w:t>
      </w:r>
      <w:r w:rsidR="000B3AD8">
        <w:t xml:space="preserve"> the critical role of supervisors in providing workers with on-th</w:t>
      </w:r>
      <w:r>
        <w:t>e-job-training, best-</w:t>
      </w:r>
      <w:r w:rsidR="000B3AD8">
        <w:t>practice modeling, consultation and decision-making support, ongoing feedback, policy clarification, and a sense of teamwork, security, and encouragement</w:t>
      </w:r>
      <w:r w:rsidR="002804F7">
        <w:t>.</w:t>
      </w:r>
      <w:r w:rsidR="002804F7">
        <w:rPr>
          <w:rStyle w:val="FootnoteReference"/>
        </w:rPr>
        <w:footnoteReference w:id="76"/>
      </w:r>
      <w:r w:rsidR="000B3AD8">
        <w:t xml:space="preserve"> </w:t>
      </w:r>
      <w:r w:rsidR="00784256">
        <w:t xml:space="preserve">In discussions with supervisors, we inquired about </w:t>
      </w:r>
      <w:r w:rsidR="000B3AD8">
        <w:t>the training and pre</w:t>
      </w:r>
      <w:r w:rsidR="00784256">
        <w:t>paration they received for becoming supervisors and the level</w:t>
      </w:r>
      <w:r>
        <w:t xml:space="preserve"> of supervision </w:t>
      </w:r>
      <w:r w:rsidR="002804F7">
        <w:t>they are providing to their staff</w:t>
      </w:r>
      <w:r w:rsidR="00784256">
        <w:t>.</w:t>
      </w:r>
      <w:r w:rsidR="000B3AD8">
        <w:t xml:space="preserve"> </w:t>
      </w:r>
    </w:p>
    <w:p w14:paraId="0C0F52AE" w14:textId="77777777" w:rsidR="000B3AD8" w:rsidRPr="00783F70" w:rsidRDefault="00800F9B" w:rsidP="000B3AD8">
      <w:r>
        <w:t xml:space="preserve">Some, but not a majority, of </w:t>
      </w:r>
      <w:r w:rsidR="000B3AD8" w:rsidRPr="00800F9B">
        <w:t>the supervisors interviewed</w:t>
      </w:r>
      <w:r>
        <w:t xml:space="preserve"> indicated they had received specialized </w:t>
      </w:r>
      <w:r w:rsidR="009333DA" w:rsidRPr="00800F9B">
        <w:t xml:space="preserve">supervisory </w:t>
      </w:r>
      <w:r w:rsidR="000B3AD8" w:rsidRPr="00800F9B">
        <w:t>training</w:t>
      </w:r>
      <w:r>
        <w:t xml:space="preserve">. </w:t>
      </w:r>
      <w:r w:rsidR="00D017CA">
        <w:t xml:space="preserve">A few of the supervisors have </w:t>
      </w:r>
      <w:r>
        <w:t xml:space="preserve">taken the </w:t>
      </w:r>
      <w:r w:rsidR="000B3AD8" w:rsidRPr="00800F9B">
        <w:t>super</w:t>
      </w:r>
      <w:r w:rsidR="009904EC" w:rsidRPr="00800F9B">
        <w:t>visory essentials class being offered across DSHS</w:t>
      </w:r>
      <w:r w:rsidR="000B3AD8" w:rsidRPr="00800F9B">
        <w:t xml:space="preserve">. </w:t>
      </w:r>
      <w:r>
        <w:t xml:space="preserve">Those who had taken the class felt it was helpful and offered useful insights on management techniques, conflict resolution, and leadership. Other supervisors have not heard of this training but were interested in taking it. Staff also </w:t>
      </w:r>
      <w:r w:rsidR="009E10FC" w:rsidRPr="00800F9B">
        <w:t xml:space="preserve">mentioned </w:t>
      </w:r>
      <w:r w:rsidR="009904EC" w:rsidRPr="00800F9B">
        <w:t>DSHS</w:t>
      </w:r>
      <w:r w:rsidR="000B3AD8" w:rsidRPr="00800F9B">
        <w:t xml:space="preserve"> has a leadership program that supervisors</w:t>
      </w:r>
      <w:r w:rsidR="009E10FC" w:rsidRPr="00800F9B">
        <w:t xml:space="preserve"> and staff</w:t>
      </w:r>
      <w:r w:rsidR="009904EC" w:rsidRPr="00800F9B">
        <w:t xml:space="preserve"> can apply to</w:t>
      </w:r>
      <w:r>
        <w:t xml:space="preserve">, however, knowledge of this program was </w:t>
      </w:r>
      <w:r w:rsidR="00A75A62">
        <w:t>limited,</w:t>
      </w:r>
      <w:r>
        <w:t xml:space="preserve"> and most staff were unsure who was eligible to apply for it. </w:t>
      </w:r>
    </w:p>
    <w:p w14:paraId="42E38440" w14:textId="77777777" w:rsidR="000B3AD8" w:rsidRDefault="000B3AD8" w:rsidP="000B3AD8">
      <w:r>
        <w:t xml:space="preserve">Supervisors are expected to </w:t>
      </w:r>
      <w:r w:rsidR="00FE6CEE">
        <w:t xml:space="preserve">meet with each of their staff </w:t>
      </w:r>
      <w:r>
        <w:t>monthly</w:t>
      </w:r>
      <w:r w:rsidR="00FE6CEE">
        <w:t xml:space="preserve"> to provide</w:t>
      </w:r>
      <w:r>
        <w:t xml:space="preserve"> supervision with a focus on:</w:t>
      </w:r>
    </w:p>
    <w:p w14:paraId="2D555714" w14:textId="77777777" w:rsidR="006F7241" w:rsidRDefault="006F7241" w:rsidP="006F7241">
      <w:pPr>
        <w:pStyle w:val="PullQuote"/>
        <w:framePr w:wrap="around" w:hAnchor="page" w:x="7419" w:y="91"/>
      </w:pPr>
      <w:r>
        <w:t>“</w:t>
      </w:r>
      <w:r>
        <w:rPr>
          <w:i/>
        </w:rPr>
        <w:t>What my job description says is my job and what I do is entirely different. I spend 90% of my time on the floor.</w:t>
      </w:r>
      <w:r>
        <w:t>”</w:t>
      </w:r>
    </w:p>
    <w:p w14:paraId="3DFA6D36" w14:textId="77777777" w:rsidR="006F7241" w:rsidRPr="00E54D7D" w:rsidRDefault="006F7241" w:rsidP="006F7241">
      <w:pPr>
        <w:pStyle w:val="PullQuote"/>
        <w:framePr w:wrap="around" w:hAnchor="page" w:x="7419" w:y="91"/>
        <w:jc w:val="right"/>
      </w:pPr>
      <w:r>
        <w:t>— Supervisor</w:t>
      </w:r>
    </w:p>
    <w:p w14:paraId="4B3C8D61" w14:textId="77777777" w:rsidR="000B3AD8" w:rsidRDefault="000B3AD8" w:rsidP="000B3AD8">
      <w:pPr>
        <w:pStyle w:val="ListBullet"/>
      </w:pPr>
      <w:r>
        <w:t xml:space="preserve">Identifying and evaluating </w:t>
      </w:r>
      <w:r w:rsidR="00AF70EE">
        <w:t xml:space="preserve">Rehabilitation Model </w:t>
      </w:r>
      <w:r>
        <w:t>-</w:t>
      </w:r>
      <w:r w:rsidR="0031124B">
        <w:t xml:space="preserve">related performance </w:t>
      </w:r>
      <w:r>
        <w:t>goals and expectations;</w:t>
      </w:r>
    </w:p>
    <w:p w14:paraId="6D089721" w14:textId="77777777" w:rsidR="000B3AD8" w:rsidRDefault="000B3AD8" w:rsidP="000B3AD8">
      <w:pPr>
        <w:pStyle w:val="ListBullet"/>
      </w:pPr>
      <w:r>
        <w:t xml:space="preserve">Supporting </w:t>
      </w:r>
      <w:r w:rsidR="0031124B">
        <w:t xml:space="preserve">the </w:t>
      </w:r>
      <w:r>
        <w:t>professional development</w:t>
      </w:r>
      <w:r w:rsidR="0031124B">
        <w:t xml:space="preserve"> of direct services staff</w:t>
      </w:r>
      <w:r>
        <w:t>;</w:t>
      </w:r>
    </w:p>
    <w:p w14:paraId="7D9AC578" w14:textId="77777777" w:rsidR="000B3AD8" w:rsidRDefault="000B3AD8" w:rsidP="000B3AD8">
      <w:pPr>
        <w:pStyle w:val="ListBullet"/>
      </w:pPr>
      <w:r>
        <w:t xml:space="preserve">Recognizing </w:t>
      </w:r>
      <w:r w:rsidR="0031124B">
        <w:t xml:space="preserve">staff </w:t>
      </w:r>
      <w:r>
        <w:t>strengths and accomplishments; and</w:t>
      </w:r>
    </w:p>
    <w:p w14:paraId="35968FCB" w14:textId="77777777" w:rsidR="000B3AD8" w:rsidRDefault="000B3AD8" w:rsidP="006F7241">
      <w:pPr>
        <w:pStyle w:val="ListBullet"/>
        <w:spacing w:after="120"/>
        <w:contextualSpacing w:val="0"/>
      </w:pPr>
      <w:r>
        <w:lastRenderedPageBreak/>
        <w:t xml:space="preserve">Addressing </w:t>
      </w:r>
      <w:r w:rsidR="0031124B">
        <w:t xml:space="preserve">staff </w:t>
      </w:r>
      <w:r>
        <w:t>performance and conduct issues.</w:t>
      </w:r>
      <w:r>
        <w:rPr>
          <w:rStyle w:val="FootnoteReference"/>
        </w:rPr>
        <w:footnoteReference w:id="77"/>
      </w:r>
    </w:p>
    <w:p w14:paraId="6C173AAE" w14:textId="77777777" w:rsidR="000B3AD8" w:rsidRDefault="000B3AD8" w:rsidP="0091168C">
      <w:r>
        <w:t>In interview</w:t>
      </w:r>
      <w:r w:rsidR="0031124B">
        <w:t xml:space="preserve">s with supervisors, it was </w:t>
      </w:r>
      <w:r>
        <w:t xml:space="preserve">clear </w:t>
      </w:r>
      <w:r w:rsidR="0031124B">
        <w:t xml:space="preserve">many are struggling to meet </w:t>
      </w:r>
      <w:r>
        <w:t>requirements to provide even monthly supervision. This was confirmed by interviews with cou</w:t>
      </w:r>
      <w:r w:rsidR="008C281E">
        <w:t>nselors in which they indicated</w:t>
      </w:r>
      <w:r w:rsidR="000471B6">
        <w:t xml:space="preserve"> </w:t>
      </w:r>
      <w:r>
        <w:t xml:space="preserve">they </w:t>
      </w:r>
      <w:r w:rsidR="00800F9B">
        <w:t xml:space="preserve">infrequently </w:t>
      </w:r>
      <w:r>
        <w:t>receive one-on-one supervision. Most supervisors “improvise” by talking to their staff while on the floor</w:t>
      </w:r>
      <w:r w:rsidR="00800F9B">
        <w:t>, though it should be noted some counselors apprec</w:t>
      </w:r>
      <w:r w:rsidR="00CD3F9A">
        <w:t>iate and benefit from the more formal</w:t>
      </w:r>
      <w:r w:rsidR="00800F9B">
        <w:t xml:space="preserve"> supervision that happens on a regular basis</w:t>
      </w:r>
      <w:r w:rsidR="00FE6CEE">
        <w:t>.</w:t>
      </w:r>
      <w:r w:rsidR="00800F9B">
        <w:t xml:space="preserve"> </w:t>
      </w:r>
    </w:p>
    <w:p w14:paraId="5233208B" w14:textId="77777777" w:rsidR="000B3AD8" w:rsidRDefault="00684F2D" w:rsidP="0091168C">
      <w:r>
        <w:t xml:space="preserve">According to </w:t>
      </w:r>
      <w:r w:rsidR="000B3AD8">
        <w:t>supervisors</w:t>
      </w:r>
      <w:r>
        <w:t>, the reasons they</w:t>
      </w:r>
      <w:r w:rsidR="000B3AD8">
        <w:t xml:space="preserve"> </w:t>
      </w:r>
      <w:r w:rsidR="0076018F">
        <w:t xml:space="preserve">struggle </w:t>
      </w:r>
      <w:r w:rsidR="000B3AD8">
        <w:t>to conduct monthly o</w:t>
      </w:r>
      <w:r>
        <w:t>ne-on-one supervision include</w:t>
      </w:r>
      <w:r w:rsidR="000B3AD8">
        <w:t>:</w:t>
      </w:r>
    </w:p>
    <w:p w14:paraId="0E744DBD" w14:textId="77777777" w:rsidR="00684F2D" w:rsidRDefault="00684F2D" w:rsidP="00684F2D">
      <w:pPr>
        <w:pStyle w:val="ListBullet"/>
      </w:pPr>
      <w:r>
        <w:t>Always having to be on the floor</w:t>
      </w:r>
      <w:r w:rsidR="0076018F">
        <w:t>;</w:t>
      </w:r>
    </w:p>
    <w:p w14:paraId="1ED70BF3" w14:textId="77777777" w:rsidR="000B3AD8" w:rsidRDefault="000B3AD8" w:rsidP="000B3AD8">
      <w:pPr>
        <w:pStyle w:val="ListBullet"/>
      </w:pPr>
      <w:r>
        <w:t>Vacancies on the unit</w:t>
      </w:r>
      <w:r w:rsidR="0076018F">
        <w:t>;</w:t>
      </w:r>
    </w:p>
    <w:p w14:paraId="3AF23D46" w14:textId="77777777" w:rsidR="000B3AD8" w:rsidRDefault="000B3AD8" w:rsidP="000B3AD8">
      <w:pPr>
        <w:pStyle w:val="ListBullet"/>
      </w:pPr>
      <w:r>
        <w:t>High turnover</w:t>
      </w:r>
      <w:r w:rsidR="0076018F">
        <w:t>;</w:t>
      </w:r>
    </w:p>
    <w:p w14:paraId="7A2571A8" w14:textId="77777777" w:rsidR="000B3AD8" w:rsidRDefault="00684F2D" w:rsidP="000B3AD8">
      <w:pPr>
        <w:pStyle w:val="ListBullet"/>
      </w:pPr>
      <w:r>
        <w:t>Running with</w:t>
      </w:r>
      <w:r w:rsidR="000B3AD8">
        <w:t xml:space="preserve"> half the needed staff</w:t>
      </w:r>
      <w:r w:rsidR="0076018F">
        <w:t>;</w:t>
      </w:r>
    </w:p>
    <w:p w14:paraId="098621F6" w14:textId="77777777" w:rsidR="000B3AD8" w:rsidRDefault="000B3AD8" w:rsidP="000B3AD8">
      <w:pPr>
        <w:pStyle w:val="ListBullet"/>
      </w:pPr>
      <w:r>
        <w:t>Carrying a caseload</w:t>
      </w:r>
      <w:r w:rsidR="0076018F">
        <w:t>;</w:t>
      </w:r>
    </w:p>
    <w:p w14:paraId="79D18B71" w14:textId="77777777" w:rsidR="000B3AD8" w:rsidRDefault="000B3AD8" w:rsidP="000B3AD8">
      <w:pPr>
        <w:pStyle w:val="ListBullet"/>
      </w:pPr>
      <w:r>
        <w:t>Always dealing with emergencies and “hot spots” and the related paperwork</w:t>
      </w:r>
      <w:r w:rsidR="0076018F">
        <w:t>;</w:t>
      </w:r>
    </w:p>
    <w:p w14:paraId="76DF6D47" w14:textId="77777777" w:rsidR="000B3AD8" w:rsidRDefault="00684F2D" w:rsidP="000B3AD8">
      <w:pPr>
        <w:pStyle w:val="ListBullet"/>
      </w:pPr>
      <w:r>
        <w:t>Handling high volumes of</w:t>
      </w:r>
      <w:r w:rsidR="000B3AD8">
        <w:t xml:space="preserve"> phone calls</w:t>
      </w:r>
      <w:r w:rsidR="0076018F">
        <w:t xml:space="preserve">; </w:t>
      </w:r>
    </w:p>
    <w:p w14:paraId="7470271D" w14:textId="77777777" w:rsidR="000B3AD8" w:rsidRDefault="000B3AD8" w:rsidP="000B3AD8">
      <w:pPr>
        <w:pStyle w:val="ListBullet"/>
      </w:pPr>
      <w:r>
        <w:t>Scheduling and dealing with scheduling issues</w:t>
      </w:r>
      <w:r w:rsidR="0076018F">
        <w:t>;</w:t>
      </w:r>
    </w:p>
    <w:p w14:paraId="0D997A26" w14:textId="77777777" w:rsidR="000B3AD8" w:rsidRDefault="00684F2D" w:rsidP="000B3AD8">
      <w:pPr>
        <w:pStyle w:val="ListBullet"/>
      </w:pPr>
      <w:r>
        <w:t>Not being able to take staff off the floor</w:t>
      </w:r>
      <w:r w:rsidR="0076018F">
        <w:t>; and</w:t>
      </w:r>
    </w:p>
    <w:p w14:paraId="53EFCBF6" w14:textId="77777777" w:rsidR="000B3AD8" w:rsidRDefault="00684F2D" w:rsidP="000B3AD8">
      <w:pPr>
        <w:pStyle w:val="ListBullet"/>
        <w:contextualSpacing w:val="0"/>
      </w:pPr>
      <w:r>
        <w:t>Lacking</w:t>
      </w:r>
      <w:r w:rsidR="000B3AD8">
        <w:t xml:space="preserve"> dedicated staff to conduct intakes</w:t>
      </w:r>
      <w:r w:rsidR="0076018F">
        <w:t>.</w:t>
      </w:r>
    </w:p>
    <w:p w14:paraId="31707323" w14:textId="77777777" w:rsidR="000B3AD8" w:rsidRDefault="000B3AD8" w:rsidP="0091168C">
      <w:pPr>
        <w:rPr>
          <w:bdr w:val="none" w:sz="0" w:space="0" w:color="auto" w:frame="1"/>
        </w:rPr>
      </w:pPr>
      <w:r>
        <w:t>The fact that supervisors are struggling to do one-on-one supervision was conf</w:t>
      </w:r>
      <w:r w:rsidR="00CD3F9A">
        <w:t>irmed in interviews with direct services staff. In addition, m</w:t>
      </w:r>
      <w:r>
        <w:t>any on-call staff indicated they have never received supervision</w:t>
      </w:r>
      <w:r>
        <w:rPr>
          <w:bdr w:val="none" w:sz="0" w:space="0" w:color="auto" w:frame="1"/>
        </w:rPr>
        <w:t>.</w:t>
      </w:r>
    </w:p>
    <w:p w14:paraId="41FDC63A" w14:textId="77777777" w:rsidR="003F3A02" w:rsidRDefault="000B3AD8" w:rsidP="003F3A02">
      <w:pPr>
        <w:pStyle w:val="Heading3"/>
      </w:pPr>
      <w:bookmarkStart w:id="55" w:name="_Toc531597501"/>
      <w:r>
        <w:t>Training &amp; Professional Development</w:t>
      </w:r>
      <w:bookmarkEnd w:id="55"/>
      <w:r>
        <w:t xml:space="preserve"> </w:t>
      </w:r>
    </w:p>
    <w:p w14:paraId="3FAA87F8" w14:textId="77777777" w:rsidR="003F3A02" w:rsidRPr="008C6F96" w:rsidRDefault="00C048FC" w:rsidP="00C048FC">
      <w:pPr>
        <w:pStyle w:val="RFPtext"/>
        <w:rPr>
          <w:b/>
          <w:color w:val="auto"/>
        </w:rPr>
      </w:pPr>
      <w:r w:rsidRPr="008C6F96">
        <w:rPr>
          <w:b/>
          <w:color w:val="auto"/>
          <w:sz w:val="24"/>
        </w:rPr>
        <w:t>The need for training and professional development has increased given</w:t>
      </w:r>
      <w:r w:rsidR="00E86D68" w:rsidRPr="008C6F96">
        <w:rPr>
          <w:b/>
          <w:color w:val="auto"/>
          <w:sz w:val="24"/>
        </w:rPr>
        <w:t xml:space="preserve"> </w:t>
      </w:r>
      <w:r w:rsidRPr="008C6F96">
        <w:rPr>
          <w:b/>
          <w:color w:val="auto"/>
          <w:sz w:val="24"/>
        </w:rPr>
        <w:t>J</w:t>
      </w:r>
      <w:r w:rsidR="00CD3F9A">
        <w:rPr>
          <w:b/>
          <w:color w:val="auto"/>
          <w:sz w:val="24"/>
        </w:rPr>
        <w:t>uvenile Rehabilitation (JR)</w:t>
      </w:r>
      <w:r w:rsidRPr="008C6F96">
        <w:rPr>
          <w:b/>
          <w:color w:val="auto"/>
          <w:sz w:val="24"/>
        </w:rPr>
        <w:t xml:space="preserve"> staff are called upon </w:t>
      </w:r>
      <w:r w:rsidR="008C281E">
        <w:rPr>
          <w:b/>
          <w:color w:val="auto"/>
          <w:sz w:val="24"/>
        </w:rPr>
        <w:t>to ensure positive outcomes for</w:t>
      </w:r>
      <w:r w:rsidR="00E86D68" w:rsidRPr="008C6F96">
        <w:rPr>
          <w:b/>
          <w:color w:val="auto"/>
          <w:sz w:val="24"/>
        </w:rPr>
        <w:t xml:space="preserve"> </w:t>
      </w:r>
      <w:r w:rsidRPr="008C6F96">
        <w:rPr>
          <w:b/>
          <w:color w:val="auto"/>
          <w:sz w:val="24"/>
        </w:rPr>
        <w:t xml:space="preserve">youth with greater needs and more complex issues. However, staff are not provided the necessary time for training to gain the requisite knowledge and skills for working with the youth. In addition, current JR training is not </w:t>
      </w:r>
      <w:r w:rsidR="00C26D76" w:rsidRPr="008C6F96">
        <w:rPr>
          <w:b/>
          <w:color w:val="auto"/>
          <w:sz w:val="24"/>
        </w:rPr>
        <w:t xml:space="preserve">always </w:t>
      </w:r>
      <w:r w:rsidRPr="008C6F96">
        <w:rPr>
          <w:b/>
          <w:color w:val="auto"/>
          <w:sz w:val="24"/>
        </w:rPr>
        <w:t xml:space="preserve">provided </w:t>
      </w:r>
      <w:r w:rsidR="00C26D76" w:rsidRPr="008C6F96">
        <w:rPr>
          <w:b/>
          <w:color w:val="auto"/>
          <w:sz w:val="24"/>
        </w:rPr>
        <w:t xml:space="preserve">in a </w:t>
      </w:r>
      <w:r w:rsidRPr="008C6F96">
        <w:rPr>
          <w:b/>
          <w:color w:val="auto"/>
          <w:sz w:val="24"/>
        </w:rPr>
        <w:t xml:space="preserve">timely </w:t>
      </w:r>
      <w:r w:rsidR="00C26D76" w:rsidRPr="008C6F96">
        <w:rPr>
          <w:b/>
          <w:color w:val="auto"/>
          <w:sz w:val="24"/>
        </w:rPr>
        <w:t>fashion</w:t>
      </w:r>
      <w:r w:rsidR="00220101" w:rsidRPr="008C6F96">
        <w:rPr>
          <w:b/>
          <w:color w:val="auto"/>
          <w:sz w:val="24"/>
        </w:rPr>
        <w:t xml:space="preserve">. It should </w:t>
      </w:r>
      <w:r w:rsidRPr="008C6F96">
        <w:rPr>
          <w:b/>
          <w:color w:val="auto"/>
          <w:sz w:val="24"/>
        </w:rPr>
        <w:t xml:space="preserve">be reassessed to ensure </w:t>
      </w:r>
      <w:r w:rsidR="00220101" w:rsidRPr="008C6F96">
        <w:rPr>
          <w:b/>
          <w:color w:val="auto"/>
          <w:sz w:val="24"/>
        </w:rPr>
        <w:t xml:space="preserve">that JR has a </w:t>
      </w:r>
      <w:r w:rsidRPr="008C6F96">
        <w:rPr>
          <w:b/>
          <w:color w:val="auto"/>
          <w:sz w:val="24"/>
        </w:rPr>
        <w:t>systematic and comprehensive approach to training.</w:t>
      </w:r>
    </w:p>
    <w:p w14:paraId="0C2F1A53" w14:textId="77777777" w:rsidR="000B3AD8" w:rsidRDefault="009A6AC3" w:rsidP="008A48A1">
      <w:pPr>
        <w:pStyle w:val="PullQuote"/>
        <w:framePr w:wrap="around" w:hAnchor="page" w:x="7323" w:y="341"/>
      </w:pPr>
      <w:r>
        <w:t>“</w:t>
      </w:r>
      <w:r w:rsidR="000B3AD8">
        <w:t>We need a plan for people to be able to get well trained before they get on the floor. If they know what they are doing, we may not have as much burnout as we have now.”</w:t>
      </w:r>
    </w:p>
    <w:p w14:paraId="0611A4D8" w14:textId="77777777" w:rsidR="000B3AD8" w:rsidRDefault="000B3AD8" w:rsidP="008A48A1">
      <w:pPr>
        <w:pStyle w:val="PullQuote"/>
        <w:framePr w:wrap="around" w:hAnchor="page" w:x="7323" w:y="341"/>
        <w:jc w:val="right"/>
      </w:pPr>
      <w:r>
        <w:t>—</w:t>
      </w:r>
      <w:r w:rsidR="00234C1D">
        <w:t>Interviewee</w:t>
      </w:r>
      <w:r>
        <w:t xml:space="preserve"> </w:t>
      </w:r>
    </w:p>
    <w:p w14:paraId="6DED98E8" w14:textId="77777777" w:rsidR="003D46CC" w:rsidRDefault="000B3AD8" w:rsidP="000B3AD8">
      <w:r>
        <w:t>Given current staffing levels, the faciliti</w:t>
      </w:r>
      <w:r w:rsidR="00684F2D">
        <w:t>es are struggling to provide</w:t>
      </w:r>
      <w:r>
        <w:t xml:space="preserve"> training before staff </w:t>
      </w:r>
      <w:r w:rsidR="0029328F">
        <w:t xml:space="preserve">begin </w:t>
      </w:r>
      <w:r>
        <w:t>work</w:t>
      </w:r>
      <w:r w:rsidR="0029328F">
        <w:t>ing</w:t>
      </w:r>
      <w:r>
        <w:t xml:space="preserve"> directly with youth</w:t>
      </w:r>
      <w:r w:rsidR="0029328F">
        <w:t xml:space="preserve"> and are unable to take </w:t>
      </w:r>
      <w:r w:rsidR="00752140">
        <w:t>staff</w:t>
      </w:r>
      <w:r w:rsidR="0029328F">
        <w:t xml:space="preserve"> </w:t>
      </w:r>
      <w:r>
        <w:t xml:space="preserve">off the floor to receive </w:t>
      </w:r>
      <w:r w:rsidR="0029328F">
        <w:t>even the most</w:t>
      </w:r>
      <w:r w:rsidR="00284131">
        <w:t xml:space="preserve"> important training. </w:t>
      </w:r>
      <w:r w:rsidR="00657B27">
        <w:t>Significant staff time is required to complete the JR in-person t</w:t>
      </w:r>
      <w:r w:rsidR="00284131">
        <w:t>raining requirements</w:t>
      </w:r>
      <w:r w:rsidR="003D46CC">
        <w:t xml:space="preserve"> in the first year</w:t>
      </w:r>
      <w:r w:rsidR="0082727B">
        <w:t xml:space="preserve">, which include:  </w:t>
      </w:r>
    </w:p>
    <w:p w14:paraId="4F0FDD17" w14:textId="77777777" w:rsidR="003D46CC" w:rsidRDefault="003D46CC" w:rsidP="003D46CC">
      <w:pPr>
        <w:pStyle w:val="ListBullet"/>
      </w:pPr>
      <w:r>
        <w:t>100 hours of training for JRSOs working in the community facilities</w:t>
      </w:r>
      <w:r w:rsidR="0082727B">
        <w:t>;</w:t>
      </w:r>
    </w:p>
    <w:p w14:paraId="2EA188E8" w14:textId="77777777" w:rsidR="003D46CC" w:rsidRDefault="003D46CC" w:rsidP="003D46CC">
      <w:pPr>
        <w:pStyle w:val="ListBullet"/>
      </w:pPr>
      <w:r>
        <w:t>116 hours of training for JRSOs working in the institutions</w:t>
      </w:r>
      <w:r w:rsidR="0082727B">
        <w:t>;</w:t>
      </w:r>
    </w:p>
    <w:p w14:paraId="060E060D" w14:textId="77777777" w:rsidR="003D46CC" w:rsidRDefault="003D46CC" w:rsidP="003D46CC">
      <w:pPr>
        <w:pStyle w:val="ListBullet"/>
      </w:pPr>
      <w:r>
        <w:t>124 hours of training for JRRCs and JRCAs working in the community facilities</w:t>
      </w:r>
      <w:r w:rsidR="0082727B">
        <w:t>; and</w:t>
      </w:r>
    </w:p>
    <w:p w14:paraId="630AC510" w14:textId="77777777" w:rsidR="00D150A9" w:rsidRDefault="003D46CC" w:rsidP="000B3AD8">
      <w:pPr>
        <w:pStyle w:val="ListBullet"/>
      </w:pPr>
      <w:r>
        <w:t>140 hours of training for JRRCs and JRCAs working in the institutions</w:t>
      </w:r>
      <w:r w:rsidR="0082727B">
        <w:t>.</w:t>
      </w:r>
      <w:r>
        <w:rPr>
          <w:rStyle w:val="FootnoteReference"/>
        </w:rPr>
        <w:footnoteReference w:id="78"/>
      </w:r>
    </w:p>
    <w:p w14:paraId="2F36D453" w14:textId="77777777" w:rsidR="00546188" w:rsidRDefault="0082727B" w:rsidP="000B3AD8">
      <w:r>
        <w:lastRenderedPageBreak/>
        <w:t xml:space="preserve">These requirements do not include the training staff must complete online through the Learning Management System (LMS) and other additional training </w:t>
      </w:r>
      <w:r w:rsidR="00CD3F9A">
        <w:t xml:space="preserve">in areas </w:t>
      </w:r>
      <w:r>
        <w:t>such as CPR/First Aid, Food Handling, and Sexual Orientation,</w:t>
      </w:r>
      <w:r w:rsidR="00CD3F9A">
        <w:t xml:space="preserve"> Gender Identity and Expression.</w:t>
      </w:r>
    </w:p>
    <w:p w14:paraId="657C4200" w14:textId="77777777" w:rsidR="00F42D48" w:rsidRPr="009A6AC3" w:rsidRDefault="00F42D48" w:rsidP="00F42D48">
      <w:pPr>
        <w:pStyle w:val="PullQuote"/>
        <w:framePr w:wrap="around" w:hAnchor="page" w:x="7429" w:y="2544"/>
      </w:pPr>
      <w:r w:rsidRPr="009A6AC3">
        <w:t xml:space="preserve">“Our staff is expected to develop these kids, but they can’t develop </w:t>
      </w:r>
      <w:r>
        <w:t xml:space="preserve">themselves </w:t>
      </w:r>
      <w:r w:rsidRPr="009A6AC3">
        <w:t>and get proper training.”</w:t>
      </w:r>
    </w:p>
    <w:p w14:paraId="6AFCEFA3" w14:textId="77777777" w:rsidR="00F42D48" w:rsidRPr="00E54D7D" w:rsidRDefault="00F42D48" w:rsidP="00F42D48">
      <w:pPr>
        <w:pStyle w:val="PullQuote"/>
        <w:framePr w:wrap="around" w:hAnchor="page" w:x="7429" w:y="2544"/>
        <w:jc w:val="right"/>
      </w:pPr>
      <w:r>
        <w:t>— Supervisor</w:t>
      </w:r>
    </w:p>
    <w:p w14:paraId="048220CD" w14:textId="77777777" w:rsidR="000B3AD8" w:rsidRDefault="005071D2" w:rsidP="000B3AD8">
      <w:r>
        <w:t>T</w:t>
      </w:r>
      <w:r w:rsidR="000B3AD8">
        <w:t>he current training process</w:t>
      </w:r>
      <w:r>
        <w:t xml:space="preserve"> and the timeframes for the provision of training are not properly equipping staff before they begin working with youth. </w:t>
      </w:r>
      <w:r w:rsidR="000B3AD8">
        <w:t>At all of the institutions</w:t>
      </w:r>
      <w:r w:rsidR="008C6F96">
        <w:t xml:space="preserve"> and community facilities</w:t>
      </w:r>
      <w:r w:rsidR="000B3AD8">
        <w:t xml:space="preserve">, </w:t>
      </w:r>
      <w:r w:rsidR="00E86D68">
        <w:t>Dealing with Resistive Youth (</w:t>
      </w:r>
      <w:r w:rsidR="000B3AD8">
        <w:t>DWRY</w:t>
      </w:r>
      <w:r w:rsidR="00E86D68">
        <w:t>)</w:t>
      </w:r>
      <w:r w:rsidR="000B3AD8">
        <w:t xml:space="preserve"> </w:t>
      </w:r>
      <w:r w:rsidR="00E86D68">
        <w:t xml:space="preserve">safety </w:t>
      </w:r>
      <w:r w:rsidR="000B3AD8">
        <w:t xml:space="preserve">training </w:t>
      </w:r>
      <w:r w:rsidR="00546188">
        <w:t xml:space="preserve">or Community Safety Training </w:t>
      </w:r>
      <w:r w:rsidR="00234C1D">
        <w:t>is</w:t>
      </w:r>
      <w:r w:rsidR="005456CD">
        <w:t xml:space="preserve"> often</w:t>
      </w:r>
      <w:r w:rsidR="00234C1D">
        <w:t xml:space="preserve"> </w:t>
      </w:r>
      <w:r w:rsidR="0082727B">
        <w:t xml:space="preserve">not </w:t>
      </w:r>
      <w:r w:rsidR="000B3AD8">
        <w:t xml:space="preserve">provided before staff begin working with youth. Many staff </w:t>
      </w:r>
      <w:r w:rsidR="00234C1D">
        <w:t xml:space="preserve">do not receive </w:t>
      </w:r>
      <w:r w:rsidR="00546188">
        <w:t xml:space="preserve">safety </w:t>
      </w:r>
      <w:r w:rsidR="00234C1D">
        <w:t xml:space="preserve">training </w:t>
      </w:r>
      <w:r w:rsidR="000B3AD8">
        <w:t>for weeks</w:t>
      </w:r>
      <w:r w:rsidR="00D36095">
        <w:t>,</w:t>
      </w:r>
      <w:r w:rsidR="000B3AD8">
        <w:t xml:space="preserve"> sometimes months. </w:t>
      </w:r>
      <w:r w:rsidR="00234C1D">
        <w:t xml:space="preserve">Staff in the institutions noted this can result in </w:t>
      </w:r>
      <w:r w:rsidR="000B3AD8">
        <w:t>not having enough</w:t>
      </w:r>
      <w:r w:rsidR="00D36095">
        <w:t xml:space="preserve"> trained staff</w:t>
      </w:r>
      <w:r w:rsidR="000B3AD8">
        <w:t xml:space="preserve"> to respond to </w:t>
      </w:r>
      <w:r w:rsidR="00234C1D">
        <w:t xml:space="preserve">an emergent </w:t>
      </w:r>
      <w:r w:rsidR="000B3AD8">
        <w:t>safety issue</w:t>
      </w:r>
      <w:r w:rsidR="00D36095">
        <w:t xml:space="preserve"> in </w:t>
      </w:r>
      <w:r w:rsidR="00234C1D">
        <w:t xml:space="preserve">a particular unit, thereby requiring </w:t>
      </w:r>
      <w:r w:rsidR="000B3AD8">
        <w:t xml:space="preserve">staff from other units </w:t>
      </w:r>
      <w:r w:rsidR="00D36095">
        <w:t>to intervene.</w:t>
      </w:r>
      <w:r w:rsidR="000B3AD8">
        <w:t xml:space="preserve"> In turn, youth from the unit that provides </w:t>
      </w:r>
      <w:r w:rsidR="00D36095">
        <w:t xml:space="preserve">the intervening staff </w:t>
      </w:r>
      <w:r w:rsidR="00234C1D">
        <w:t xml:space="preserve">are often </w:t>
      </w:r>
      <w:r w:rsidR="000B3AD8">
        <w:t>put in their rooms</w:t>
      </w:r>
      <w:r w:rsidR="00D36095">
        <w:t>.</w:t>
      </w:r>
      <w:r w:rsidR="00546188">
        <w:t xml:space="preserve"> We also heard that on-call staff are often not traine</w:t>
      </w:r>
      <w:r w:rsidR="00B44FA7">
        <w:t>d until months after they start</w:t>
      </w:r>
      <w:r w:rsidR="00546188">
        <w:t>, limiting their ability to stop and address egregious behaviors.</w:t>
      </w:r>
    </w:p>
    <w:p w14:paraId="0F311132" w14:textId="4A40B2A7" w:rsidR="000B3AD8" w:rsidRDefault="000B3AD8" w:rsidP="000B3AD8">
      <w:r>
        <w:t>There w</w:t>
      </w:r>
      <w:r w:rsidR="005C68E4">
        <w:t>ere</w:t>
      </w:r>
      <w:r>
        <w:t xml:space="preserve"> also concern</w:t>
      </w:r>
      <w:r w:rsidR="005C68E4">
        <w:t>s</w:t>
      </w:r>
      <w:r>
        <w:t xml:space="preserve"> raised that </w:t>
      </w:r>
      <w:r w:rsidR="00031E0B">
        <w:t xml:space="preserve">JRRCs </w:t>
      </w:r>
      <w:r>
        <w:t>and JRCAs are given a caseload before they receive the minimal DBT training of Milieu Treatment: Coaching on the Floor and Case</w:t>
      </w:r>
      <w:r w:rsidR="00A36323">
        <w:t xml:space="preserve"> Management Training. M</w:t>
      </w:r>
      <w:r>
        <w:t xml:space="preserve">ost of the counselors indicated they have never received training on conducting the weekly individual one-on-one </w:t>
      </w:r>
      <w:r w:rsidR="00E86D68">
        <w:t xml:space="preserve">counseling </w:t>
      </w:r>
      <w:r>
        <w:t xml:space="preserve">sessions, which is one of the key components of the model. They also indicated they </w:t>
      </w:r>
      <w:r w:rsidR="00261A6E">
        <w:t xml:space="preserve"> </w:t>
      </w:r>
      <w:r>
        <w:t>have not received training on conducting the weekly group therapy sessions on mindfulness, interpersonal effectiveness, emotion</w:t>
      </w:r>
      <w:r w:rsidR="001D4981">
        <w:t>al</w:t>
      </w:r>
      <w:r>
        <w:t xml:space="preserve"> regulation, and distress tolerance skills, which is one of their key </w:t>
      </w:r>
      <w:r w:rsidR="001D4981">
        <w:t xml:space="preserve">DBT-related </w:t>
      </w:r>
      <w:r>
        <w:t>responsibilities.</w:t>
      </w:r>
      <w:r w:rsidR="00546188">
        <w:t xml:space="preserve"> Some staff at both the institutions and community facilities reported they often feel “thrown into” group counseling sessions without sufficient </w:t>
      </w:r>
      <w:r w:rsidR="002817E9">
        <w:t>training</w:t>
      </w:r>
      <w:r w:rsidR="00546188">
        <w:t>.</w:t>
      </w:r>
      <w:r>
        <w:t xml:space="preserve"> T</w:t>
      </w:r>
      <w:r w:rsidR="00D66483">
        <w:t>here was also a general sense among</w:t>
      </w:r>
      <w:r>
        <w:t xml:space="preserve"> counselors that JRSOs (</w:t>
      </w:r>
      <w:r w:rsidR="00D66483">
        <w:t>including on-call personnel</w:t>
      </w:r>
      <w:r w:rsidR="00B00E0A">
        <w:t xml:space="preserve">) </w:t>
      </w:r>
      <w:r>
        <w:t>should receive the Coaching on the Floor training. JRSOs spend a</w:t>
      </w:r>
      <w:r w:rsidR="00FC46BC">
        <w:t>s</w:t>
      </w:r>
      <w:r>
        <w:t xml:space="preserve"> </w:t>
      </w:r>
      <w:r w:rsidR="0082727B">
        <w:t xml:space="preserve">much </w:t>
      </w:r>
      <w:r>
        <w:t xml:space="preserve">time with the youth and should </w:t>
      </w:r>
      <w:r w:rsidR="00B00E0A">
        <w:t xml:space="preserve">ideally </w:t>
      </w:r>
      <w:r>
        <w:t xml:space="preserve">have the skills to understand and </w:t>
      </w:r>
      <w:r w:rsidR="0090644B">
        <w:t>be able to coach youth in DBT</w:t>
      </w:r>
      <w:r w:rsidR="00A3786D">
        <w:t xml:space="preserve">. </w:t>
      </w:r>
      <w:r w:rsidR="00B00E0A">
        <w:t>Lastly, m</w:t>
      </w:r>
      <w:r>
        <w:t>any staff indicated there should be refresher courses and new courses provided annually to help reinforce and improve staff skills.</w:t>
      </w:r>
    </w:p>
    <w:p w14:paraId="686D71E5" w14:textId="77777777" w:rsidR="000B3AD8" w:rsidRDefault="005704AC" w:rsidP="000B3AD8">
      <w:pPr>
        <w:pStyle w:val="PullQuote"/>
        <w:framePr w:wrap="around" w:hAnchor="page" w:x="7009" w:y="531"/>
      </w:pPr>
      <w:r>
        <w:t>“</w:t>
      </w:r>
      <w:r w:rsidR="000B3AD8">
        <w:t>Insufficient training and competing demands of staff time –</w:t>
      </w:r>
      <w:r w:rsidR="00133A64">
        <w:t xml:space="preserve"> </w:t>
      </w:r>
      <w:r w:rsidR="000B3AD8">
        <w:t>custodial versus counseli</w:t>
      </w:r>
      <w:r w:rsidR="00133A64">
        <w:t>ng demands – make</w:t>
      </w:r>
      <w:r w:rsidR="000B3AD8">
        <w:t xml:space="preserve"> it hard to do quality treatment.” </w:t>
      </w:r>
    </w:p>
    <w:p w14:paraId="49B74A03" w14:textId="77777777" w:rsidR="000B3AD8" w:rsidRDefault="000B3AD8" w:rsidP="000B3AD8">
      <w:pPr>
        <w:pStyle w:val="PullQuote"/>
        <w:framePr w:wrap="around" w:hAnchor="page" w:x="7009" w:y="531"/>
        <w:jc w:val="right"/>
      </w:pPr>
      <w:r>
        <w:t>—</w:t>
      </w:r>
      <w:r w:rsidR="0082727B">
        <w:t xml:space="preserve">Member of JR Leadership </w:t>
      </w:r>
    </w:p>
    <w:p w14:paraId="179F3D8B" w14:textId="77777777" w:rsidR="002817E9" w:rsidRDefault="000B3AD8" w:rsidP="000B3AD8">
      <w:r>
        <w:t>In interviews with counselors, supervisors</w:t>
      </w:r>
      <w:r w:rsidR="0082727B">
        <w:t>,</w:t>
      </w:r>
      <w:r>
        <w:t xml:space="preserve"> and program managers, many indicated they have never been to the “</w:t>
      </w:r>
      <w:r w:rsidR="0020496B">
        <w:t>training academy</w:t>
      </w:r>
      <w:r>
        <w:t>”</w:t>
      </w:r>
      <w:r w:rsidR="0020496B">
        <w:t xml:space="preserve"> in which they received special off-site instruction on implementing the </w:t>
      </w:r>
      <w:r w:rsidR="00AF70EE">
        <w:t>Rehabilitation Model</w:t>
      </w:r>
      <w:r w:rsidR="0020496B">
        <w:t xml:space="preserve">. </w:t>
      </w:r>
      <w:r>
        <w:t>Some staff had been working at the facilities for years without attending the academy. Many indicated they have had to learn the DBT skills on their</w:t>
      </w:r>
      <w:r w:rsidR="00620B0C">
        <w:t xml:space="preserve"> own. </w:t>
      </w:r>
      <w:r w:rsidR="00546188">
        <w:t xml:space="preserve">Many also indicated that rarely do staff have the base DBT pre-training to fully understand the skills required to build on them in Consultation Team meetings, especially given frequent staff turnover. </w:t>
      </w:r>
    </w:p>
    <w:p w14:paraId="5308B8EA" w14:textId="77777777" w:rsidR="000B3AD8" w:rsidRDefault="00620B0C" w:rsidP="000B3AD8">
      <w:r>
        <w:t>There is, however, a new three</w:t>
      </w:r>
      <w:r w:rsidR="000B3AD8">
        <w:t>-day</w:t>
      </w:r>
      <w:r w:rsidR="0020496B">
        <w:t xml:space="preserve"> training</w:t>
      </w:r>
      <w:r w:rsidR="000B3AD8">
        <w:t xml:space="preserve"> academy that has been developed</w:t>
      </w:r>
      <w:r w:rsidR="007E7A15">
        <w:t>,</w:t>
      </w:r>
      <w:r w:rsidR="000B3AD8">
        <w:t xml:space="preserve"> and JR is working to ensure all </w:t>
      </w:r>
      <w:r w:rsidR="007E7A15">
        <w:t xml:space="preserve">existing </w:t>
      </w:r>
      <w:r w:rsidR="000B3AD8">
        <w:t>counselors attend the academy</w:t>
      </w:r>
      <w:r w:rsidR="007E7A15">
        <w:t>. N</w:t>
      </w:r>
      <w:r w:rsidR="000B3AD8">
        <w:t>ew counsel</w:t>
      </w:r>
      <w:r w:rsidR="007E7A15">
        <w:t>ors will be required to attend</w:t>
      </w:r>
      <w:r w:rsidR="0020496B">
        <w:t xml:space="preserve"> the training academy</w:t>
      </w:r>
      <w:r w:rsidR="007E7A15">
        <w:t xml:space="preserve"> within six </w:t>
      </w:r>
      <w:r w:rsidR="000B3AD8">
        <w:t xml:space="preserve">months </w:t>
      </w:r>
      <w:r w:rsidR="007E7A15">
        <w:t>of completing</w:t>
      </w:r>
      <w:r w:rsidR="00F132FC">
        <w:t xml:space="preserve"> the</w:t>
      </w:r>
      <w:r w:rsidR="000B3AD8">
        <w:t xml:space="preserve"> Coaching on the Floor and Case Management training</w:t>
      </w:r>
      <w:r w:rsidR="00F132FC">
        <w:t>s</w:t>
      </w:r>
      <w:r w:rsidR="000B3AD8">
        <w:t>. Prior to this new</w:t>
      </w:r>
      <w:r w:rsidR="00970B32">
        <w:t xml:space="preserve"> three-day</w:t>
      </w:r>
      <w:r w:rsidR="000B3AD8">
        <w:t xml:space="preserve"> academy being developed, a training academy had not been </w:t>
      </w:r>
      <w:r w:rsidR="00AE7F69">
        <w:t>offered</w:t>
      </w:r>
      <w:r w:rsidR="000B3AD8">
        <w:t xml:space="preserve"> since October 2016. Currently, the Washington State Criminal Justice Training Commission is responsi</w:t>
      </w:r>
      <w:r w:rsidR="00CD3F9A">
        <w:t>ble for providing training to JR</w:t>
      </w:r>
      <w:r w:rsidR="000B3AD8">
        <w:t xml:space="preserve"> staff. For JR staff</w:t>
      </w:r>
      <w:r w:rsidR="00AE7F69">
        <w:t>,</w:t>
      </w:r>
      <w:r w:rsidR="000B3AD8">
        <w:t xml:space="preserve"> this will </w:t>
      </w:r>
      <w:r w:rsidR="000B3AD8">
        <w:lastRenderedPageBreak/>
        <w:t>change when JR becomes a part of the new Department of Children, Youth and Families</w:t>
      </w:r>
      <w:r w:rsidR="00AE7F69">
        <w:t xml:space="preserve"> (DCYF)</w:t>
      </w:r>
      <w:r w:rsidR="000B3AD8">
        <w:t>.</w:t>
      </w:r>
      <w:r w:rsidR="000B3AD8">
        <w:rPr>
          <w:rStyle w:val="FootnoteReference"/>
        </w:rPr>
        <w:footnoteReference w:id="79"/>
      </w:r>
    </w:p>
    <w:p w14:paraId="10AAC46C" w14:textId="77777777" w:rsidR="000B3AD8" w:rsidRDefault="000B3AD8" w:rsidP="000B3AD8">
      <w:r>
        <w:t>Additional areas for training suggested by counselors and security officers included:</w:t>
      </w:r>
    </w:p>
    <w:p w14:paraId="023E2DCB" w14:textId="77777777" w:rsidR="000B3AD8" w:rsidRDefault="00AE7F69" w:rsidP="000B3AD8">
      <w:pPr>
        <w:pStyle w:val="ListBullet"/>
      </w:pPr>
      <w:r>
        <w:t>Approaches</w:t>
      </w:r>
      <w:r w:rsidR="000B3AD8">
        <w:t xml:space="preserve"> to gang</w:t>
      </w:r>
      <w:r>
        <w:t>-related</w:t>
      </w:r>
      <w:r w:rsidR="000B3AD8">
        <w:t xml:space="preserve"> issues and working with gang members</w:t>
      </w:r>
      <w:r w:rsidR="002C149E">
        <w:t>;</w:t>
      </w:r>
    </w:p>
    <w:p w14:paraId="266F6DF5" w14:textId="77777777" w:rsidR="000B3AD8" w:rsidRDefault="000B3AD8" w:rsidP="000B3AD8">
      <w:pPr>
        <w:pStyle w:val="ListBullet"/>
      </w:pPr>
      <w:r>
        <w:t>Understanding and treating juvenile sex offenders</w:t>
      </w:r>
      <w:r w:rsidR="002C149E">
        <w:t>;</w:t>
      </w:r>
    </w:p>
    <w:p w14:paraId="1BDA261A" w14:textId="77777777" w:rsidR="000B3AD8" w:rsidRDefault="000B3AD8" w:rsidP="000B3AD8">
      <w:pPr>
        <w:pStyle w:val="ListBullet"/>
      </w:pPr>
      <w:r>
        <w:t>Self-defense tactics</w:t>
      </w:r>
      <w:r w:rsidR="002C149E">
        <w:t>; and</w:t>
      </w:r>
    </w:p>
    <w:p w14:paraId="1AF4729D" w14:textId="77777777" w:rsidR="000B3AD8" w:rsidRPr="00E24B44" w:rsidRDefault="000B3AD8" w:rsidP="000B3AD8">
      <w:pPr>
        <w:pStyle w:val="ListBullet"/>
        <w:contextualSpacing w:val="0"/>
      </w:pPr>
      <w:r w:rsidRPr="00E24B44">
        <w:t>De-escalation techniques</w:t>
      </w:r>
      <w:r w:rsidR="002C149E">
        <w:t>.</w:t>
      </w:r>
    </w:p>
    <w:p w14:paraId="2EDDA93C" w14:textId="77777777" w:rsidR="000B3AD8" w:rsidRPr="00A73B34" w:rsidRDefault="000B3AD8" w:rsidP="0091168C">
      <w:r w:rsidRPr="00A73B34">
        <w:t>Lastly, there was some concern</w:t>
      </w:r>
      <w:r w:rsidR="005C68E4">
        <w:t>s</w:t>
      </w:r>
      <w:r w:rsidRPr="00A73B34">
        <w:t xml:space="preserve"> raised about </w:t>
      </w:r>
      <w:r w:rsidR="002C149E">
        <w:t xml:space="preserve">training </w:t>
      </w:r>
      <w:r w:rsidRPr="00A73B34">
        <w:t xml:space="preserve">quality. </w:t>
      </w:r>
      <w:r w:rsidR="002C149E">
        <w:t xml:space="preserve">Under </w:t>
      </w:r>
      <w:r w:rsidRPr="00A73B34">
        <w:t>the current model</w:t>
      </w:r>
      <w:r w:rsidR="00843795">
        <w:t xml:space="preserve">, trained </w:t>
      </w:r>
      <w:r w:rsidR="00C9397C">
        <w:t>staff become trainers to future new</w:t>
      </w:r>
      <w:r w:rsidRPr="00A73B34">
        <w:t xml:space="preserve"> staff. </w:t>
      </w:r>
      <w:r w:rsidR="00843795">
        <w:t>Participants</w:t>
      </w:r>
      <w:r w:rsidRPr="00A73B34">
        <w:t xml:space="preserve"> suggested staff deserve to be trained by experts in the subject matter.</w:t>
      </w:r>
    </w:p>
    <w:p w14:paraId="08B21F1E" w14:textId="77777777" w:rsidR="000B3AD8" w:rsidRDefault="00FC5C1A" w:rsidP="0091168C">
      <w:r>
        <w:t>There are currently three ITM t</w:t>
      </w:r>
      <w:r w:rsidR="000B3AD8">
        <w:t>reatment consultants to su</w:t>
      </w:r>
      <w:r w:rsidR="006E435A">
        <w:t xml:space="preserve">pport implementation of the </w:t>
      </w:r>
      <w:r w:rsidR="000B3AD8">
        <w:t>model at all 11 facilities. Their primary responsibility is to provide classroom training at the institutions. For the community facilities, they are also tasked with providing case consultations, as there are no psychologists on staff at these facilities.</w:t>
      </w:r>
      <w:r w:rsidR="000B3AD8">
        <w:rPr>
          <w:rStyle w:val="FootnoteReference"/>
        </w:rPr>
        <w:footnoteReference w:id="80"/>
      </w:r>
      <w:r w:rsidR="000B3AD8">
        <w:t xml:space="preserve"> </w:t>
      </w:r>
    </w:p>
    <w:p w14:paraId="34607DD8" w14:textId="77777777" w:rsidR="000B3AD8" w:rsidRDefault="006E435A" w:rsidP="0091168C">
      <w:r w:rsidRPr="002C149E">
        <w:t>Through the staff s</w:t>
      </w:r>
      <w:r w:rsidR="000B3AD8" w:rsidRPr="002C149E">
        <w:t xml:space="preserve">urvey, we asked participants to provide feedback on their training and skill development opportunities. As seen in </w:t>
      </w:r>
      <w:r w:rsidR="00AE63DD" w:rsidRPr="002C149E">
        <w:t xml:space="preserve">Exhibit </w:t>
      </w:r>
      <w:r w:rsidR="006F7241">
        <w:t>5</w:t>
      </w:r>
      <w:r w:rsidR="00AE63DD" w:rsidRPr="002C149E">
        <w:t>-</w:t>
      </w:r>
      <w:r w:rsidR="00513631" w:rsidRPr="002C149E">
        <w:t>1</w:t>
      </w:r>
      <w:r w:rsidR="00513631">
        <w:t>5</w:t>
      </w:r>
      <w:r w:rsidR="000B3AD8" w:rsidRPr="002C149E">
        <w:t>, almost three-quarte</w:t>
      </w:r>
      <w:r w:rsidRPr="002C149E">
        <w:t>rs of the staff at</w:t>
      </w:r>
      <w:r w:rsidR="000B3AD8" w:rsidRPr="002C149E">
        <w:t xml:space="preserve"> the community facilities (72.2%) feel they have the right training and skill development opportunities to successfully perform their jobs. In contrast, fewer staff at the Echo Glen (52.9%), Green Hill (41.5%) and Naselle (59.2%) agree or strongly agree they have the necessary training and skill</w:t>
      </w:r>
      <w:r w:rsidR="00306E8D" w:rsidRPr="002C149E">
        <w:t>s-</w:t>
      </w:r>
      <w:r w:rsidR="000B3AD8" w:rsidRPr="002C149E">
        <w:t>development opportunities.</w:t>
      </w:r>
      <w:r w:rsidR="000B3AD8">
        <w:t xml:space="preserve"> </w:t>
      </w:r>
    </w:p>
    <w:p w14:paraId="74C886EE" w14:textId="77777777" w:rsidR="009F6D80" w:rsidRDefault="009F6D80" w:rsidP="009F6D80">
      <w:pPr>
        <w:pStyle w:val="Caption"/>
      </w:pPr>
      <w:r>
        <w:t xml:space="preserve">Exhibit </w:t>
      </w:r>
      <w:r>
        <w:rPr>
          <w:noProof/>
        </w:rPr>
        <w:fldChar w:fldCharType="begin"/>
      </w:r>
      <w:r>
        <w:rPr>
          <w:noProof/>
        </w:rPr>
        <w:instrText xml:space="preserve"> STYLEREF 1 \s </w:instrText>
      </w:r>
      <w:r>
        <w:rPr>
          <w:noProof/>
        </w:rPr>
        <w:fldChar w:fldCharType="separate"/>
      </w:r>
      <w:r w:rsidR="00FD2536">
        <w:rPr>
          <w:noProof/>
        </w:rPr>
        <w:t>5</w:t>
      </w:r>
      <w:r>
        <w:rPr>
          <w:noProof/>
        </w:rPr>
        <w:fldChar w:fldCharType="end"/>
      </w:r>
      <w:r>
        <w:noBreakHyphen/>
      </w:r>
      <w:r w:rsidR="00BA341E">
        <w:t>15</w:t>
      </w:r>
      <w:r>
        <w:t xml:space="preserve">. Training and Skill Development Opportunities </w:t>
      </w:r>
    </w:p>
    <w:tbl>
      <w:tblPr>
        <w:tblStyle w:val="HyzerTable"/>
        <w:tblW w:w="5000" w:type="pct"/>
        <w:tblLook w:val="0420" w:firstRow="1" w:lastRow="0" w:firstColumn="0" w:lastColumn="0" w:noHBand="0" w:noVBand="1"/>
      </w:tblPr>
      <w:tblGrid>
        <w:gridCol w:w="2943"/>
        <w:gridCol w:w="1325"/>
        <w:gridCol w:w="1325"/>
        <w:gridCol w:w="1436"/>
        <w:gridCol w:w="994"/>
        <w:gridCol w:w="1337"/>
      </w:tblGrid>
      <w:tr w:rsidR="009F6D80" w:rsidRPr="00CD1826" w14:paraId="7B529282" w14:textId="77777777" w:rsidTr="00C759EE">
        <w:trPr>
          <w:cnfStyle w:val="100000000000" w:firstRow="1" w:lastRow="0" w:firstColumn="0" w:lastColumn="0" w:oddVBand="0" w:evenVBand="0" w:oddHBand="0" w:evenHBand="0" w:firstRowFirstColumn="0" w:firstRowLastColumn="0" w:lastRowFirstColumn="0" w:lastRowLastColumn="0"/>
          <w:tblHeader/>
        </w:trPr>
        <w:tc>
          <w:tcPr>
            <w:tcW w:w="1572" w:type="pct"/>
            <w:vMerge w:val="restart"/>
          </w:tcPr>
          <w:p w14:paraId="4BED52E5" w14:textId="77777777" w:rsidR="009F6D80" w:rsidRPr="002C149E" w:rsidRDefault="009F6D80" w:rsidP="009F6D80">
            <w:pPr>
              <w:pStyle w:val="tableheaderwhite"/>
              <w:keepNext/>
              <w:spacing w:before="20" w:after="20"/>
              <w:rPr>
                <w:sz w:val="22"/>
              </w:rPr>
            </w:pPr>
            <w:r w:rsidRPr="1FF1B213">
              <w:rPr>
                <w:sz w:val="22"/>
                <w:szCs w:val="22"/>
              </w:rPr>
              <w:t>Facility</w:t>
            </w:r>
          </w:p>
        </w:tc>
        <w:tc>
          <w:tcPr>
            <w:tcW w:w="3428" w:type="pct"/>
            <w:gridSpan w:val="5"/>
            <w:tcBorders>
              <w:bottom w:val="single" w:sz="2" w:space="0" w:color="808080" w:themeColor="text1" w:themeTint="7F"/>
            </w:tcBorders>
            <w:vAlign w:val="center"/>
          </w:tcPr>
          <w:p w14:paraId="6A91ED89" w14:textId="77777777" w:rsidR="009F6D80" w:rsidRPr="002C149E" w:rsidRDefault="009F6D80" w:rsidP="009F6D80">
            <w:pPr>
              <w:pStyle w:val="tableheaderwhite"/>
              <w:keepNext/>
              <w:spacing w:before="20" w:after="20"/>
              <w:rPr>
                <w:sz w:val="22"/>
              </w:rPr>
            </w:pPr>
            <w:r w:rsidRPr="1FF1B213">
              <w:rPr>
                <w:sz w:val="22"/>
                <w:szCs w:val="22"/>
              </w:rPr>
              <w:t>“I Have the Right Training and Skill Development Opportunities to Successfully Perform My Job”</w:t>
            </w:r>
          </w:p>
        </w:tc>
      </w:tr>
      <w:tr w:rsidR="009F6D80" w:rsidRPr="00CD1826" w14:paraId="067EDD53" w14:textId="77777777" w:rsidTr="009F6D80">
        <w:trPr>
          <w:cnfStyle w:val="100000000000" w:firstRow="1" w:lastRow="0" w:firstColumn="0" w:lastColumn="0" w:oddVBand="0" w:evenVBand="0" w:oddHBand="0" w:evenHBand="0" w:firstRowFirstColumn="0" w:firstRowLastColumn="0" w:lastRowFirstColumn="0" w:lastRowLastColumn="0"/>
          <w:trHeight w:val="454"/>
          <w:tblHeader/>
        </w:trPr>
        <w:tc>
          <w:tcPr>
            <w:tcW w:w="1572" w:type="pct"/>
            <w:vMerge/>
          </w:tcPr>
          <w:p w14:paraId="29CB7B17" w14:textId="77777777" w:rsidR="009F6D80" w:rsidRPr="002C149E" w:rsidRDefault="009F6D80" w:rsidP="00C759EE">
            <w:pPr>
              <w:pStyle w:val="TableText"/>
              <w:keepNext/>
              <w:rPr>
                <w:sz w:val="22"/>
              </w:rPr>
            </w:pPr>
          </w:p>
        </w:tc>
        <w:tc>
          <w:tcPr>
            <w:tcW w:w="708" w:type="pct"/>
            <w:tcBorders>
              <w:top w:val="single" w:sz="2" w:space="0" w:color="808080" w:themeColor="text1" w:themeTint="7F"/>
              <w:bottom w:val="single" w:sz="2" w:space="0" w:color="808080" w:themeColor="text1" w:themeTint="7F"/>
            </w:tcBorders>
            <w:shd w:val="clear" w:color="auto" w:fill="C6D9F1" w:themeFill="text2" w:themeFillTint="33"/>
          </w:tcPr>
          <w:p w14:paraId="7E3DF08D" w14:textId="77777777" w:rsidR="009F6D80" w:rsidRPr="002C149E" w:rsidRDefault="009F6D80" w:rsidP="009F6D80">
            <w:pPr>
              <w:pStyle w:val="boldcentered"/>
              <w:keepNext/>
              <w:spacing w:before="20" w:after="20"/>
              <w:rPr>
                <w:rStyle w:val="TableTextBold"/>
                <w:rFonts w:ascii="Arial Narrow" w:hAnsi="Arial Narrow"/>
                <w:b/>
                <w:sz w:val="22"/>
              </w:rPr>
            </w:pPr>
            <w:r w:rsidRPr="002C149E">
              <w:rPr>
                <w:rStyle w:val="TableTextBold"/>
                <w:rFonts w:ascii="Arial Narrow" w:hAnsi="Arial Narrow"/>
                <w:b/>
                <w:sz w:val="22"/>
              </w:rPr>
              <w:t>Strongly Disagree</w:t>
            </w:r>
          </w:p>
        </w:tc>
        <w:tc>
          <w:tcPr>
            <w:tcW w:w="708" w:type="pct"/>
            <w:tcBorders>
              <w:top w:val="single" w:sz="2" w:space="0" w:color="808080" w:themeColor="text1" w:themeTint="7F"/>
              <w:bottom w:val="single" w:sz="2" w:space="0" w:color="808080" w:themeColor="text1" w:themeTint="7F"/>
            </w:tcBorders>
            <w:shd w:val="clear" w:color="auto" w:fill="C6D9F1" w:themeFill="text2" w:themeFillTint="33"/>
          </w:tcPr>
          <w:p w14:paraId="29425134" w14:textId="77777777" w:rsidR="009F6D80" w:rsidRPr="002C149E" w:rsidRDefault="009F6D80" w:rsidP="009F6D80">
            <w:pPr>
              <w:pStyle w:val="boldcentered"/>
              <w:keepNext/>
              <w:spacing w:before="20" w:after="20"/>
              <w:rPr>
                <w:rStyle w:val="TableTextBold"/>
                <w:rFonts w:ascii="Arial Narrow" w:hAnsi="Arial Narrow"/>
                <w:b/>
                <w:sz w:val="22"/>
              </w:rPr>
            </w:pPr>
            <w:r w:rsidRPr="002C149E">
              <w:rPr>
                <w:rStyle w:val="TableTextBold"/>
                <w:rFonts w:ascii="Arial Narrow" w:hAnsi="Arial Narrow"/>
                <w:b/>
                <w:sz w:val="22"/>
              </w:rPr>
              <w:t>Disagree</w:t>
            </w:r>
          </w:p>
        </w:tc>
        <w:tc>
          <w:tcPr>
            <w:tcW w:w="767" w:type="pct"/>
            <w:tcBorders>
              <w:top w:val="single" w:sz="2" w:space="0" w:color="808080" w:themeColor="text1" w:themeTint="7F"/>
              <w:bottom w:val="single" w:sz="2" w:space="0" w:color="808080" w:themeColor="text1" w:themeTint="7F"/>
            </w:tcBorders>
            <w:shd w:val="clear" w:color="auto" w:fill="C6D9F1" w:themeFill="text2" w:themeFillTint="33"/>
          </w:tcPr>
          <w:p w14:paraId="7031F4A8" w14:textId="77777777" w:rsidR="009F6D80" w:rsidRPr="002C149E" w:rsidRDefault="009F6D80" w:rsidP="009F6D80">
            <w:pPr>
              <w:pStyle w:val="boldcentered"/>
              <w:keepNext/>
              <w:spacing w:before="20" w:after="20"/>
              <w:rPr>
                <w:rStyle w:val="TableTextBold"/>
                <w:rFonts w:ascii="Arial Narrow" w:hAnsi="Arial Narrow"/>
                <w:b/>
                <w:sz w:val="22"/>
              </w:rPr>
            </w:pPr>
            <w:r w:rsidRPr="002C149E">
              <w:rPr>
                <w:rStyle w:val="TableTextBold"/>
                <w:rFonts w:ascii="Arial Narrow" w:hAnsi="Arial Narrow"/>
                <w:b/>
                <w:sz w:val="22"/>
              </w:rPr>
              <w:t>Neither Agree nor Disagree</w:t>
            </w:r>
          </w:p>
        </w:tc>
        <w:tc>
          <w:tcPr>
            <w:tcW w:w="531" w:type="pct"/>
            <w:tcBorders>
              <w:top w:val="single" w:sz="2" w:space="0" w:color="808080" w:themeColor="text1" w:themeTint="7F"/>
              <w:bottom w:val="single" w:sz="2" w:space="0" w:color="808080" w:themeColor="text1" w:themeTint="7F"/>
            </w:tcBorders>
            <w:shd w:val="clear" w:color="auto" w:fill="C6D9F1" w:themeFill="text2" w:themeFillTint="33"/>
          </w:tcPr>
          <w:p w14:paraId="4783B6C9" w14:textId="77777777" w:rsidR="009F6D80" w:rsidRPr="002C149E" w:rsidRDefault="009F6D80" w:rsidP="009F6D80">
            <w:pPr>
              <w:pStyle w:val="boldcentered"/>
              <w:keepNext/>
              <w:spacing w:before="20" w:after="20"/>
              <w:rPr>
                <w:rStyle w:val="TableTextBold"/>
                <w:rFonts w:ascii="Arial Narrow" w:hAnsi="Arial Narrow"/>
                <w:b/>
                <w:sz w:val="22"/>
              </w:rPr>
            </w:pPr>
            <w:r w:rsidRPr="002C149E">
              <w:rPr>
                <w:rStyle w:val="TableTextBold"/>
                <w:rFonts w:ascii="Arial Narrow" w:hAnsi="Arial Narrow"/>
                <w:b/>
                <w:sz w:val="22"/>
              </w:rPr>
              <w:t>Agree</w:t>
            </w:r>
          </w:p>
        </w:tc>
        <w:tc>
          <w:tcPr>
            <w:tcW w:w="716" w:type="pct"/>
            <w:tcBorders>
              <w:top w:val="single" w:sz="2" w:space="0" w:color="808080" w:themeColor="text1" w:themeTint="7F"/>
              <w:bottom w:val="single" w:sz="2" w:space="0" w:color="808080" w:themeColor="text1" w:themeTint="7F"/>
            </w:tcBorders>
            <w:shd w:val="clear" w:color="auto" w:fill="C6D9F1" w:themeFill="text2" w:themeFillTint="33"/>
          </w:tcPr>
          <w:p w14:paraId="23080A46" w14:textId="77777777" w:rsidR="009F6D80" w:rsidRPr="002C149E" w:rsidRDefault="009F6D80" w:rsidP="009F6D80">
            <w:pPr>
              <w:pStyle w:val="boldcentered"/>
              <w:keepNext/>
              <w:spacing w:before="20" w:after="20"/>
              <w:rPr>
                <w:rFonts w:ascii="Arial Narrow" w:hAnsi="Arial Narrow"/>
                <w:sz w:val="22"/>
              </w:rPr>
            </w:pPr>
            <w:r w:rsidRPr="002C149E">
              <w:rPr>
                <w:rFonts w:ascii="Arial Narrow" w:hAnsi="Arial Narrow"/>
                <w:sz w:val="22"/>
              </w:rPr>
              <w:t>Strongly Agree</w:t>
            </w:r>
          </w:p>
        </w:tc>
      </w:tr>
      <w:tr w:rsidR="009F6D80" w:rsidRPr="00CD1826" w14:paraId="62EFF6BF" w14:textId="77777777" w:rsidTr="00C759EE">
        <w:trPr>
          <w:cnfStyle w:val="000000100000" w:firstRow="0" w:lastRow="0" w:firstColumn="0" w:lastColumn="0" w:oddVBand="0" w:evenVBand="0" w:oddHBand="1" w:evenHBand="0" w:firstRowFirstColumn="0" w:firstRowLastColumn="0" w:lastRowFirstColumn="0" w:lastRowLastColumn="0"/>
        </w:trPr>
        <w:tc>
          <w:tcPr>
            <w:tcW w:w="1572" w:type="pct"/>
          </w:tcPr>
          <w:p w14:paraId="4BFD6DFA" w14:textId="77777777" w:rsidR="009F6D80" w:rsidRPr="004D7918" w:rsidRDefault="009F6D80" w:rsidP="00C759EE">
            <w:pPr>
              <w:pStyle w:val="TableText"/>
              <w:keepNext/>
              <w:rPr>
                <w:b/>
              </w:rPr>
            </w:pPr>
            <w:r w:rsidRPr="004D7918">
              <w:rPr>
                <w:b/>
              </w:rPr>
              <w:t>Echo Glen (n=34)</w:t>
            </w:r>
          </w:p>
        </w:tc>
        <w:tc>
          <w:tcPr>
            <w:tcW w:w="708" w:type="pct"/>
            <w:tcBorders>
              <w:top w:val="single" w:sz="2" w:space="0" w:color="808080" w:themeColor="text1" w:themeTint="7F"/>
            </w:tcBorders>
          </w:tcPr>
          <w:p w14:paraId="5470EBD5" w14:textId="77777777" w:rsidR="009F6D80" w:rsidRPr="004D7918" w:rsidRDefault="009F6D80" w:rsidP="00C759EE">
            <w:pPr>
              <w:pStyle w:val="TableText"/>
              <w:keepNext/>
              <w:jc w:val="center"/>
              <w:rPr>
                <w:rStyle w:val="TableTextBold"/>
                <w:b w:val="0"/>
              </w:rPr>
            </w:pPr>
            <w:r w:rsidRPr="004D7918">
              <w:rPr>
                <w:rStyle w:val="TableTextBold"/>
                <w:b w:val="0"/>
              </w:rPr>
              <w:t>14.7%</w:t>
            </w:r>
          </w:p>
        </w:tc>
        <w:tc>
          <w:tcPr>
            <w:tcW w:w="708" w:type="pct"/>
            <w:tcBorders>
              <w:top w:val="single" w:sz="2" w:space="0" w:color="808080" w:themeColor="text1" w:themeTint="7F"/>
            </w:tcBorders>
          </w:tcPr>
          <w:p w14:paraId="0B142652" w14:textId="77777777" w:rsidR="009F6D80" w:rsidRPr="004D7918" w:rsidRDefault="009F6D80" w:rsidP="00C759EE">
            <w:pPr>
              <w:pStyle w:val="TableText"/>
              <w:keepNext/>
              <w:jc w:val="center"/>
              <w:rPr>
                <w:rStyle w:val="TableTextBold"/>
                <w:b w:val="0"/>
              </w:rPr>
            </w:pPr>
            <w:r w:rsidRPr="004D7918">
              <w:rPr>
                <w:rStyle w:val="TableTextBold"/>
                <w:b w:val="0"/>
              </w:rPr>
              <w:t>8.8%</w:t>
            </w:r>
          </w:p>
        </w:tc>
        <w:tc>
          <w:tcPr>
            <w:tcW w:w="767" w:type="pct"/>
            <w:tcBorders>
              <w:top w:val="single" w:sz="2" w:space="0" w:color="808080" w:themeColor="text1" w:themeTint="7F"/>
            </w:tcBorders>
          </w:tcPr>
          <w:p w14:paraId="1F0EC666" w14:textId="77777777" w:rsidR="009F6D80" w:rsidRPr="004D7918" w:rsidRDefault="009F6D80" w:rsidP="00C759EE">
            <w:pPr>
              <w:pStyle w:val="TableText"/>
              <w:keepNext/>
              <w:jc w:val="center"/>
              <w:rPr>
                <w:rStyle w:val="TableTextBold"/>
                <w:b w:val="0"/>
              </w:rPr>
            </w:pPr>
            <w:r w:rsidRPr="004D7918">
              <w:rPr>
                <w:rStyle w:val="TableTextBold"/>
                <w:b w:val="0"/>
              </w:rPr>
              <w:t>23.5%</w:t>
            </w:r>
          </w:p>
        </w:tc>
        <w:tc>
          <w:tcPr>
            <w:tcW w:w="531" w:type="pct"/>
            <w:tcBorders>
              <w:top w:val="single" w:sz="2" w:space="0" w:color="808080" w:themeColor="text1" w:themeTint="7F"/>
            </w:tcBorders>
          </w:tcPr>
          <w:p w14:paraId="14DDE9C9" w14:textId="77777777" w:rsidR="009F6D80" w:rsidRPr="004D7918" w:rsidRDefault="009F6D80" w:rsidP="00C759EE">
            <w:pPr>
              <w:pStyle w:val="TableText"/>
              <w:keepNext/>
              <w:jc w:val="center"/>
              <w:rPr>
                <w:rStyle w:val="TableTextBold"/>
                <w:b w:val="0"/>
              </w:rPr>
            </w:pPr>
            <w:r w:rsidRPr="004D7918">
              <w:rPr>
                <w:rStyle w:val="TableTextBold"/>
                <w:b w:val="0"/>
              </w:rPr>
              <w:t>38.2%</w:t>
            </w:r>
          </w:p>
        </w:tc>
        <w:tc>
          <w:tcPr>
            <w:tcW w:w="716" w:type="pct"/>
            <w:tcBorders>
              <w:top w:val="single" w:sz="2" w:space="0" w:color="808080" w:themeColor="text1" w:themeTint="7F"/>
            </w:tcBorders>
          </w:tcPr>
          <w:p w14:paraId="205E7660" w14:textId="77777777" w:rsidR="009F6D80" w:rsidRPr="004D7918" w:rsidRDefault="009F6D80" w:rsidP="00C759EE">
            <w:pPr>
              <w:pStyle w:val="TableTextRight"/>
              <w:keepNext/>
              <w:jc w:val="center"/>
            </w:pPr>
            <w:r w:rsidRPr="004D7918">
              <w:t>14.7%</w:t>
            </w:r>
          </w:p>
        </w:tc>
      </w:tr>
      <w:tr w:rsidR="009F6D80" w:rsidRPr="00CD1826" w14:paraId="7D025C11" w14:textId="77777777" w:rsidTr="00C759EE">
        <w:tc>
          <w:tcPr>
            <w:tcW w:w="1572" w:type="pct"/>
          </w:tcPr>
          <w:p w14:paraId="2AD9EE3B" w14:textId="77777777" w:rsidR="009F6D80" w:rsidRPr="00EA727D" w:rsidRDefault="009F6D80" w:rsidP="00C759EE">
            <w:pPr>
              <w:pStyle w:val="TableBullet"/>
              <w:numPr>
                <w:ilvl w:val="0"/>
                <w:numId w:val="0"/>
              </w:numPr>
              <w:rPr>
                <w:b/>
              </w:rPr>
            </w:pPr>
            <w:r w:rsidRPr="00EA727D">
              <w:rPr>
                <w:b/>
              </w:rPr>
              <w:t>Green Hill (n=65)</w:t>
            </w:r>
          </w:p>
        </w:tc>
        <w:tc>
          <w:tcPr>
            <w:tcW w:w="708" w:type="pct"/>
            <w:vAlign w:val="bottom"/>
          </w:tcPr>
          <w:p w14:paraId="0595160B" w14:textId="77777777" w:rsidR="009F6D80" w:rsidRPr="004D7918" w:rsidRDefault="009F6D80" w:rsidP="00C759EE">
            <w:pPr>
              <w:pStyle w:val="tabletextcenter"/>
              <w:keepNext/>
            </w:pPr>
            <w:r w:rsidRPr="004D7918">
              <w:rPr>
                <w:rFonts w:cs="Calibri"/>
                <w:color w:val="000000"/>
              </w:rPr>
              <w:t>15.4%</w:t>
            </w:r>
          </w:p>
        </w:tc>
        <w:tc>
          <w:tcPr>
            <w:tcW w:w="708" w:type="pct"/>
            <w:vAlign w:val="bottom"/>
          </w:tcPr>
          <w:p w14:paraId="437B57D9" w14:textId="77777777" w:rsidR="009F6D80" w:rsidRPr="004D7918" w:rsidRDefault="009F6D80" w:rsidP="00C759EE">
            <w:pPr>
              <w:pStyle w:val="tabletextcenter"/>
              <w:keepNext/>
            </w:pPr>
            <w:r w:rsidRPr="004D7918">
              <w:rPr>
                <w:rFonts w:cs="Calibri"/>
                <w:color w:val="000000"/>
              </w:rPr>
              <w:t>12.3%</w:t>
            </w:r>
          </w:p>
        </w:tc>
        <w:tc>
          <w:tcPr>
            <w:tcW w:w="767" w:type="pct"/>
            <w:vAlign w:val="bottom"/>
          </w:tcPr>
          <w:p w14:paraId="6DE5EDFB" w14:textId="77777777" w:rsidR="009F6D80" w:rsidRPr="004D7918" w:rsidRDefault="009F6D80" w:rsidP="00C759EE">
            <w:pPr>
              <w:pStyle w:val="tabletextcenter"/>
              <w:keepNext/>
            </w:pPr>
            <w:r w:rsidRPr="004D7918">
              <w:rPr>
                <w:rFonts w:cs="Calibri"/>
                <w:color w:val="000000"/>
              </w:rPr>
              <w:t>30.8%</w:t>
            </w:r>
          </w:p>
        </w:tc>
        <w:tc>
          <w:tcPr>
            <w:tcW w:w="531" w:type="pct"/>
            <w:vAlign w:val="bottom"/>
          </w:tcPr>
          <w:p w14:paraId="28E7A155" w14:textId="77777777" w:rsidR="009F6D80" w:rsidRPr="004D7918" w:rsidRDefault="009F6D80" w:rsidP="00C759EE">
            <w:pPr>
              <w:pStyle w:val="tabletextcenter"/>
              <w:keepNext/>
            </w:pPr>
            <w:r w:rsidRPr="004D7918">
              <w:rPr>
                <w:rFonts w:cs="Calibri"/>
                <w:color w:val="000000"/>
              </w:rPr>
              <w:t>32.3%</w:t>
            </w:r>
          </w:p>
        </w:tc>
        <w:tc>
          <w:tcPr>
            <w:tcW w:w="716" w:type="pct"/>
            <w:vAlign w:val="bottom"/>
          </w:tcPr>
          <w:p w14:paraId="59250A20" w14:textId="77777777" w:rsidR="009F6D80" w:rsidRPr="004D7918" w:rsidRDefault="009F6D80" w:rsidP="00C759EE">
            <w:pPr>
              <w:pStyle w:val="TableTextBoldRight"/>
              <w:keepNext/>
              <w:jc w:val="center"/>
              <w:rPr>
                <w:b w:val="0"/>
              </w:rPr>
            </w:pPr>
            <w:r w:rsidRPr="004D7918">
              <w:rPr>
                <w:rFonts w:cs="Calibri"/>
                <w:b w:val="0"/>
                <w:color w:val="000000"/>
              </w:rPr>
              <w:t>9.2%</w:t>
            </w:r>
          </w:p>
        </w:tc>
      </w:tr>
      <w:tr w:rsidR="009F6D80" w:rsidRPr="00CD1826" w14:paraId="03F087AC" w14:textId="77777777" w:rsidTr="00C759EE">
        <w:trPr>
          <w:cnfStyle w:val="000000100000" w:firstRow="0" w:lastRow="0" w:firstColumn="0" w:lastColumn="0" w:oddVBand="0" w:evenVBand="0" w:oddHBand="1" w:evenHBand="0" w:firstRowFirstColumn="0" w:firstRowLastColumn="0" w:lastRowFirstColumn="0" w:lastRowLastColumn="0"/>
        </w:trPr>
        <w:tc>
          <w:tcPr>
            <w:tcW w:w="1572" w:type="pct"/>
          </w:tcPr>
          <w:p w14:paraId="5E92EE56" w14:textId="77777777" w:rsidR="009F6D80" w:rsidRPr="004D7918" w:rsidRDefault="009F6D80" w:rsidP="00C759EE">
            <w:pPr>
              <w:pStyle w:val="TableText"/>
              <w:keepNext/>
              <w:rPr>
                <w:b/>
              </w:rPr>
            </w:pPr>
            <w:r w:rsidRPr="004D7918">
              <w:rPr>
                <w:b/>
              </w:rPr>
              <w:t>Naselle (n=27)</w:t>
            </w:r>
          </w:p>
        </w:tc>
        <w:tc>
          <w:tcPr>
            <w:tcW w:w="708" w:type="pct"/>
            <w:vAlign w:val="bottom"/>
          </w:tcPr>
          <w:p w14:paraId="45CE4451" w14:textId="77777777" w:rsidR="009F6D80" w:rsidRPr="004D7918" w:rsidRDefault="009F6D80" w:rsidP="00C759EE">
            <w:pPr>
              <w:pStyle w:val="TableTextBoldCentered"/>
              <w:keepNext/>
              <w:rPr>
                <w:b w:val="0"/>
              </w:rPr>
            </w:pPr>
            <w:r w:rsidRPr="004D7918">
              <w:rPr>
                <w:rFonts w:cs="Calibri"/>
                <w:b w:val="0"/>
                <w:color w:val="000000"/>
              </w:rPr>
              <w:t>7.4%</w:t>
            </w:r>
          </w:p>
        </w:tc>
        <w:tc>
          <w:tcPr>
            <w:tcW w:w="708" w:type="pct"/>
            <w:vAlign w:val="bottom"/>
          </w:tcPr>
          <w:p w14:paraId="151FA08F" w14:textId="77777777" w:rsidR="009F6D80" w:rsidRPr="004D7918" w:rsidRDefault="009F6D80" w:rsidP="00C759EE">
            <w:pPr>
              <w:pStyle w:val="TableTextBoldCentered"/>
              <w:keepNext/>
              <w:rPr>
                <w:b w:val="0"/>
              </w:rPr>
            </w:pPr>
            <w:r w:rsidRPr="004D7918">
              <w:rPr>
                <w:rFonts w:cs="Calibri"/>
                <w:b w:val="0"/>
                <w:color w:val="000000"/>
              </w:rPr>
              <w:t>14.8%</w:t>
            </w:r>
          </w:p>
        </w:tc>
        <w:tc>
          <w:tcPr>
            <w:tcW w:w="767" w:type="pct"/>
            <w:vAlign w:val="bottom"/>
          </w:tcPr>
          <w:p w14:paraId="795F4C36" w14:textId="77777777" w:rsidR="009F6D80" w:rsidRPr="004D7918" w:rsidRDefault="009F6D80" w:rsidP="00C759EE">
            <w:pPr>
              <w:pStyle w:val="TableTextBoldCentered"/>
              <w:keepNext/>
              <w:rPr>
                <w:b w:val="0"/>
              </w:rPr>
            </w:pPr>
            <w:r w:rsidRPr="004D7918">
              <w:rPr>
                <w:rFonts w:cs="Calibri"/>
                <w:b w:val="0"/>
                <w:color w:val="000000"/>
              </w:rPr>
              <w:t>18.5%</w:t>
            </w:r>
          </w:p>
        </w:tc>
        <w:tc>
          <w:tcPr>
            <w:tcW w:w="531" w:type="pct"/>
            <w:vAlign w:val="bottom"/>
          </w:tcPr>
          <w:p w14:paraId="57FBB1A5" w14:textId="77777777" w:rsidR="009F6D80" w:rsidRPr="004D7918" w:rsidRDefault="009F6D80" w:rsidP="00C759EE">
            <w:pPr>
              <w:pStyle w:val="TableTextBoldCentered"/>
              <w:keepNext/>
              <w:rPr>
                <w:b w:val="0"/>
              </w:rPr>
            </w:pPr>
            <w:r w:rsidRPr="004D7918">
              <w:rPr>
                <w:rFonts w:cs="Calibri"/>
                <w:b w:val="0"/>
                <w:color w:val="000000"/>
              </w:rPr>
              <w:t>25.9%</w:t>
            </w:r>
          </w:p>
        </w:tc>
        <w:tc>
          <w:tcPr>
            <w:tcW w:w="716" w:type="pct"/>
            <w:vAlign w:val="bottom"/>
          </w:tcPr>
          <w:p w14:paraId="6DDAF4DC" w14:textId="77777777" w:rsidR="009F6D80" w:rsidRPr="004D7918" w:rsidRDefault="009F6D80" w:rsidP="00C759EE">
            <w:pPr>
              <w:pStyle w:val="TableText"/>
              <w:keepNext/>
              <w:jc w:val="center"/>
            </w:pPr>
            <w:r w:rsidRPr="004D7918">
              <w:rPr>
                <w:rFonts w:cs="Calibri"/>
                <w:color w:val="000000"/>
              </w:rPr>
              <w:t>33.3%</w:t>
            </w:r>
          </w:p>
        </w:tc>
      </w:tr>
      <w:tr w:rsidR="009F6D80" w:rsidRPr="00CD1826" w14:paraId="074CF456" w14:textId="77777777" w:rsidTr="00C759EE">
        <w:tc>
          <w:tcPr>
            <w:tcW w:w="1572" w:type="pct"/>
          </w:tcPr>
          <w:p w14:paraId="3D918CC1" w14:textId="77777777" w:rsidR="009F6D80" w:rsidRPr="004D7918" w:rsidRDefault="009F6D80" w:rsidP="00C759EE">
            <w:pPr>
              <w:pStyle w:val="TableText"/>
              <w:rPr>
                <w:b/>
              </w:rPr>
            </w:pPr>
            <w:r w:rsidRPr="004D7918">
              <w:rPr>
                <w:b/>
              </w:rPr>
              <w:t>Community Facilities (n=36)</w:t>
            </w:r>
          </w:p>
        </w:tc>
        <w:tc>
          <w:tcPr>
            <w:tcW w:w="708" w:type="pct"/>
            <w:vAlign w:val="center"/>
          </w:tcPr>
          <w:p w14:paraId="13D19598" w14:textId="77777777" w:rsidR="009F6D80" w:rsidRPr="004D7918" w:rsidRDefault="009F6D80" w:rsidP="00C759EE">
            <w:pPr>
              <w:pStyle w:val="TableTextBoldCentered"/>
              <w:rPr>
                <w:b w:val="0"/>
              </w:rPr>
            </w:pPr>
            <w:r w:rsidRPr="004D7918">
              <w:rPr>
                <w:rFonts w:cs="Calibri"/>
                <w:b w:val="0"/>
                <w:color w:val="000000"/>
              </w:rPr>
              <w:t>2.8%</w:t>
            </w:r>
          </w:p>
        </w:tc>
        <w:tc>
          <w:tcPr>
            <w:tcW w:w="708" w:type="pct"/>
            <w:vAlign w:val="center"/>
          </w:tcPr>
          <w:p w14:paraId="6A6494A6" w14:textId="77777777" w:rsidR="009F6D80" w:rsidRPr="004D7918" w:rsidRDefault="009F6D80" w:rsidP="00C759EE">
            <w:pPr>
              <w:pStyle w:val="TableTextBoldCentered"/>
              <w:rPr>
                <w:b w:val="0"/>
              </w:rPr>
            </w:pPr>
            <w:r w:rsidRPr="004D7918">
              <w:rPr>
                <w:rFonts w:cs="Calibri"/>
                <w:b w:val="0"/>
                <w:color w:val="000000"/>
              </w:rPr>
              <w:t>5.6%</w:t>
            </w:r>
          </w:p>
        </w:tc>
        <w:tc>
          <w:tcPr>
            <w:tcW w:w="767" w:type="pct"/>
            <w:vAlign w:val="center"/>
          </w:tcPr>
          <w:p w14:paraId="2FA7997E" w14:textId="77777777" w:rsidR="009F6D80" w:rsidRPr="004D7918" w:rsidRDefault="009F6D80" w:rsidP="00C759EE">
            <w:pPr>
              <w:pStyle w:val="TableTextBoldCentered"/>
              <w:rPr>
                <w:b w:val="0"/>
              </w:rPr>
            </w:pPr>
            <w:r w:rsidRPr="004D7918">
              <w:rPr>
                <w:rFonts w:cs="Calibri"/>
                <w:b w:val="0"/>
                <w:color w:val="000000"/>
              </w:rPr>
              <w:t>19.4%</w:t>
            </w:r>
          </w:p>
        </w:tc>
        <w:tc>
          <w:tcPr>
            <w:tcW w:w="531" w:type="pct"/>
            <w:vAlign w:val="center"/>
          </w:tcPr>
          <w:p w14:paraId="4BB853E9" w14:textId="77777777" w:rsidR="009F6D80" w:rsidRPr="004D7918" w:rsidRDefault="009F6D80" w:rsidP="00C759EE">
            <w:pPr>
              <w:pStyle w:val="TableTextBoldCentered"/>
              <w:rPr>
                <w:b w:val="0"/>
              </w:rPr>
            </w:pPr>
            <w:r w:rsidRPr="004D7918">
              <w:rPr>
                <w:rFonts w:cs="Calibri"/>
                <w:b w:val="0"/>
                <w:color w:val="000000"/>
              </w:rPr>
              <w:t>58.3%</w:t>
            </w:r>
          </w:p>
        </w:tc>
        <w:tc>
          <w:tcPr>
            <w:tcW w:w="716" w:type="pct"/>
            <w:vAlign w:val="center"/>
          </w:tcPr>
          <w:p w14:paraId="7977E303" w14:textId="77777777" w:rsidR="009F6D80" w:rsidRPr="004D7918" w:rsidRDefault="009F6D80" w:rsidP="00C759EE">
            <w:pPr>
              <w:pStyle w:val="TableText"/>
              <w:jc w:val="center"/>
            </w:pPr>
            <w:r w:rsidRPr="004D7918">
              <w:rPr>
                <w:rFonts w:cs="Calibri"/>
                <w:color w:val="000000"/>
              </w:rPr>
              <w:t>13.9%</w:t>
            </w:r>
          </w:p>
        </w:tc>
      </w:tr>
    </w:tbl>
    <w:p w14:paraId="2E463FAA" w14:textId="77777777" w:rsidR="003F3A02" w:rsidRDefault="00800135" w:rsidP="003F3A02">
      <w:pPr>
        <w:pStyle w:val="Heading3"/>
      </w:pPr>
      <w:bookmarkStart w:id="56" w:name="_Toc531597502"/>
      <w:r w:rsidRPr="00EC247A">
        <w:t>Staff Ratios</w:t>
      </w:r>
      <w:bookmarkEnd w:id="56"/>
      <w:r w:rsidRPr="00EC247A">
        <w:t xml:space="preserve"> </w:t>
      </w:r>
    </w:p>
    <w:p w14:paraId="58052DFB" w14:textId="77777777" w:rsidR="00C048FC" w:rsidRPr="00B679F0" w:rsidRDefault="00E91FF8" w:rsidP="00C048FC">
      <w:pPr>
        <w:pStyle w:val="RFPtext"/>
        <w:rPr>
          <w:b/>
          <w:color w:val="auto"/>
          <w:sz w:val="24"/>
        </w:rPr>
      </w:pPr>
      <w:r>
        <w:rPr>
          <w:b/>
          <w:color w:val="auto"/>
          <w:sz w:val="24"/>
        </w:rPr>
        <w:t xml:space="preserve">A recent </w:t>
      </w:r>
      <w:r w:rsidR="005E06E1" w:rsidRPr="00B679F0">
        <w:rPr>
          <w:b/>
          <w:color w:val="auto"/>
          <w:sz w:val="24"/>
        </w:rPr>
        <w:t>Prison Rape Elimination Act (</w:t>
      </w:r>
      <w:r w:rsidR="00C048FC" w:rsidRPr="00B679F0">
        <w:rPr>
          <w:b/>
          <w:color w:val="auto"/>
          <w:sz w:val="24"/>
        </w:rPr>
        <w:t>PREA</w:t>
      </w:r>
      <w:r w:rsidR="005E06E1" w:rsidRPr="00B679F0">
        <w:rPr>
          <w:b/>
          <w:color w:val="auto"/>
          <w:sz w:val="24"/>
        </w:rPr>
        <w:t>)</w:t>
      </w:r>
      <w:r w:rsidR="00C048FC" w:rsidRPr="00B679F0">
        <w:rPr>
          <w:b/>
          <w:color w:val="auto"/>
          <w:sz w:val="24"/>
        </w:rPr>
        <w:t xml:space="preserve"> </w:t>
      </w:r>
      <w:r>
        <w:rPr>
          <w:b/>
          <w:color w:val="auto"/>
          <w:sz w:val="24"/>
        </w:rPr>
        <w:t xml:space="preserve">audit clarified </w:t>
      </w:r>
      <w:r w:rsidR="00E35B64">
        <w:rPr>
          <w:b/>
          <w:color w:val="auto"/>
          <w:sz w:val="24"/>
        </w:rPr>
        <w:t xml:space="preserve">PREA ratios must be met by </w:t>
      </w:r>
      <w:r w:rsidRPr="00261A6E">
        <w:rPr>
          <w:b/>
          <w:color w:val="auto"/>
          <w:sz w:val="24"/>
          <w:u w:val="single"/>
        </w:rPr>
        <w:t xml:space="preserve">specific </w:t>
      </w:r>
      <w:r w:rsidR="00E35B64" w:rsidRPr="00261A6E">
        <w:rPr>
          <w:b/>
          <w:color w:val="auto"/>
          <w:sz w:val="24"/>
          <w:u w:val="single"/>
        </w:rPr>
        <w:t>area</w:t>
      </w:r>
      <w:r w:rsidRPr="00261A6E">
        <w:rPr>
          <w:b/>
          <w:color w:val="auto"/>
          <w:sz w:val="24"/>
          <w:u w:val="single"/>
        </w:rPr>
        <w:t>s</w:t>
      </w:r>
      <w:r>
        <w:rPr>
          <w:b/>
          <w:color w:val="auto"/>
          <w:sz w:val="24"/>
        </w:rPr>
        <w:t xml:space="preserve"> within each living unit or building, rather than simply for an overall living unit or building. Under this interpretation, </w:t>
      </w:r>
      <w:r w:rsidR="00E35B64">
        <w:rPr>
          <w:b/>
          <w:color w:val="auto"/>
          <w:sz w:val="24"/>
        </w:rPr>
        <w:t xml:space="preserve">two of the three </w:t>
      </w:r>
      <w:r>
        <w:rPr>
          <w:b/>
          <w:color w:val="auto"/>
          <w:sz w:val="24"/>
        </w:rPr>
        <w:t xml:space="preserve">JR </w:t>
      </w:r>
      <w:r w:rsidR="00E35B64">
        <w:rPr>
          <w:b/>
          <w:color w:val="auto"/>
          <w:sz w:val="24"/>
        </w:rPr>
        <w:t xml:space="preserve">institutions </w:t>
      </w:r>
      <w:r>
        <w:rPr>
          <w:b/>
          <w:color w:val="auto"/>
          <w:sz w:val="24"/>
        </w:rPr>
        <w:t xml:space="preserve">are currently out of </w:t>
      </w:r>
      <w:r w:rsidR="00E35B64">
        <w:rPr>
          <w:b/>
          <w:color w:val="auto"/>
          <w:sz w:val="24"/>
        </w:rPr>
        <w:t xml:space="preserve">compliance with PREA. </w:t>
      </w:r>
      <w:r>
        <w:rPr>
          <w:b/>
          <w:color w:val="auto"/>
          <w:sz w:val="24"/>
        </w:rPr>
        <w:t xml:space="preserve">Further, </w:t>
      </w:r>
      <w:r w:rsidR="00E35B64">
        <w:rPr>
          <w:b/>
          <w:color w:val="auto"/>
          <w:sz w:val="24"/>
        </w:rPr>
        <w:t xml:space="preserve">staff indicated </w:t>
      </w:r>
      <w:r w:rsidR="00C048FC" w:rsidRPr="00B679F0">
        <w:rPr>
          <w:b/>
          <w:color w:val="auto"/>
          <w:sz w:val="24"/>
        </w:rPr>
        <w:t>PREA ratios</w:t>
      </w:r>
      <w:r w:rsidR="00E35B64">
        <w:rPr>
          <w:b/>
          <w:color w:val="auto"/>
          <w:sz w:val="24"/>
        </w:rPr>
        <w:t xml:space="preserve"> should be a </w:t>
      </w:r>
      <w:r w:rsidR="00FD2536">
        <w:rPr>
          <w:b/>
          <w:color w:val="auto"/>
          <w:sz w:val="24"/>
        </w:rPr>
        <w:t>baseline,</w:t>
      </w:r>
      <w:r w:rsidR="00E35B64">
        <w:rPr>
          <w:b/>
          <w:color w:val="auto"/>
          <w:sz w:val="24"/>
        </w:rPr>
        <w:t xml:space="preserve"> as </w:t>
      </w:r>
      <w:r>
        <w:rPr>
          <w:b/>
          <w:color w:val="auto"/>
          <w:sz w:val="24"/>
        </w:rPr>
        <w:t xml:space="preserve">staffing facilities only to meet PREA ratios does not fully </w:t>
      </w:r>
      <w:r w:rsidR="00C048FC" w:rsidRPr="00B679F0">
        <w:rPr>
          <w:b/>
          <w:color w:val="auto"/>
          <w:sz w:val="24"/>
        </w:rPr>
        <w:t xml:space="preserve">support the </w:t>
      </w:r>
      <w:r>
        <w:rPr>
          <w:b/>
          <w:color w:val="auto"/>
          <w:sz w:val="24"/>
        </w:rPr>
        <w:t xml:space="preserve">fidelity to </w:t>
      </w:r>
      <w:r w:rsidR="00C048FC" w:rsidRPr="00B679F0">
        <w:rPr>
          <w:b/>
          <w:color w:val="auto"/>
          <w:sz w:val="24"/>
        </w:rPr>
        <w:t xml:space="preserve">the </w:t>
      </w:r>
      <w:r w:rsidR="008C0316">
        <w:rPr>
          <w:b/>
          <w:color w:val="auto"/>
          <w:sz w:val="24"/>
        </w:rPr>
        <w:t>Rehabilitation Model</w:t>
      </w:r>
      <w:r>
        <w:rPr>
          <w:b/>
          <w:color w:val="auto"/>
          <w:sz w:val="24"/>
        </w:rPr>
        <w:t>.</w:t>
      </w:r>
    </w:p>
    <w:p w14:paraId="59C1CC20" w14:textId="77777777" w:rsidR="00800135" w:rsidRDefault="00800135" w:rsidP="00800135">
      <w:r>
        <w:t>In 2003, Congress passed the Prison Rape Elimination Act (PREA) in response to high rates of sexual assault across all types of detention facilities in the United States.</w:t>
      </w:r>
      <w:r>
        <w:rPr>
          <w:rStyle w:val="FootnoteReference"/>
        </w:rPr>
        <w:footnoteReference w:id="81"/>
      </w:r>
      <w:r w:rsidR="00D2134C">
        <w:t xml:space="preserve"> Implementation</w:t>
      </w:r>
      <w:r>
        <w:t xml:space="preserve"> </w:t>
      </w:r>
      <w:r>
        <w:lastRenderedPageBreak/>
        <w:t>regulations require each “secure juvenile facility shall maintain staff ratios of a minimum of 1:8 during resident waking hours</w:t>
      </w:r>
      <w:r w:rsidR="00D2134C">
        <w:t>,</w:t>
      </w:r>
      <w:r>
        <w:t xml:space="preserve"> and 1:16 during resident sleeping hours, except during limited and discrete exigent circumstances, which shall be fully documented. </w:t>
      </w:r>
      <w:r w:rsidRPr="00425624">
        <w:rPr>
          <w:i/>
        </w:rPr>
        <w:t>Only</w:t>
      </w:r>
      <w:r>
        <w:rPr>
          <w:i/>
        </w:rPr>
        <w:t xml:space="preserve"> </w:t>
      </w:r>
      <w:r w:rsidRPr="00425624">
        <w:t>security staff shall be included in these ratios</w:t>
      </w:r>
      <w:r>
        <w:t>.”</w:t>
      </w:r>
      <w:r>
        <w:rPr>
          <w:rStyle w:val="FootnoteReference"/>
        </w:rPr>
        <w:footnoteReference w:id="82"/>
      </w:r>
      <w:r>
        <w:t xml:space="preserve"> In addition, each facility must develop, implement and docu</w:t>
      </w:r>
      <w:r w:rsidR="00447DD3">
        <w:t>ment a staffing plan, to</w:t>
      </w:r>
      <w:r>
        <w:t xml:space="preserve"> be reviewed at least annually. In assessing adequate staffing levels</w:t>
      </w:r>
      <w:r w:rsidR="00D2134C">
        <w:t>,</w:t>
      </w:r>
      <w:r>
        <w:t xml:space="preserve"> consideration </w:t>
      </w:r>
      <w:r w:rsidRPr="00D2134C">
        <w:t>must</w:t>
      </w:r>
      <w:r w:rsidRPr="00CD75F3">
        <w:rPr>
          <w:i/>
        </w:rPr>
        <w:t xml:space="preserve"> </w:t>
      </w:r>
      <w:r>
        <w:t>be given to: (1) Generally accepted detention and correctional practices; (2) Any judicial findings of inadequacy; (3) A</w:t>
      </w:r>
      <w:r w:rsidR="005C37E4">
        <w:t>ny findings of inadequacy from f</w:t>
      </w:r>
      <w:r>
        <w:t xml:space="preserve">ederal investigative agencies; (4) Any findings of inadequacy from internal or external oversight bodies; (5) All components of the facility’s physical plant (including “blind-spots” or areas where staff or inmates may be isolated); (6) The </w:t>
      </w:r>
      <w:r w:rsidR="00EA727D">
        <w:t xml:space="preserve">demographic </w:t>
      </w:r>
      <w:r>
        <w:t>composition of the inmate population; (7) The number and placement of supervisory staff; (8) Institution programs occurring on a partic</w:t>
      </w:r>
      <w:r w:rsidR="00EA727D">
        <w:t>ular shift; (9) Any applicable s</w:t>
      </w:r>
      <w:r>
        <w:t>tate or local laws, regulations, or standards; (10) The prevalence of substantiated and unsubstantiated incidents of sexual abuse; and (11) Any other relevant factors.</w:t>
      </w:r>
      <w:r>
        <w:rPr>
          <w:rStyle w:val="FootnoteReference"/>
        </w:rPr>
        <w:footnoteReference w:id="83"/>
      </w:r>
      <w:r w:rsidR="00EA727D">
        <w:t xml:space="preserve"> </w:t>
      </w:r>
    </w:p>
    <w:p w14:paraId="7AC0CE93" w14:textId="77777777" w:rsidR="00047390" w:rsidRPr="00B6709D" w:rsidRDefault="00047390" w:rsidP="00047390">
      <w:pPr>
        <w:pStyle w:val="Heading4"/>
        <w:rPr>
          <w:color w:val="auto"/>
        </w:rPr>
      </w:pPr>
      <w:r w:rsidRPr="00B6709D">
        <w:rPr>
          <w:color w:val="auto"/>
        </w:rPr>
        <w:t xml:space="preserve">Factors Impacting Staffing Ratios </w:t>
      </w:r>
    </w:p>
    <w:p w14:paraId="51C1CD45" w14:textId="77777777" w:rsidR="00E91FF8" w:rsidRDefault="00047390" w:rsidP="0091168C">
      <w:r w:rsidRPr="00C048FC">
        <w:t xml:space="preserve">In interviews with </w:t>
      </w:r>
      <w:r w:rsidR="008450B4">
        <w:t>program level administrators</w:t>
      </w:r>
      <w:r w:rsidR="008450B4" w:rsidRPr="00C048FC">
        <w:t xml:space="preserve"> </w:t>
      </w:r>
      <w:r w:rsidRPr="00C048FC">
        <w:t xml:space="preserve">and staff, some </w:t>
      </w:r>
      <w:r w:rsidR="00FF5F13">
        <w:t>believed</w:t>
      </w:r>
      <w:r w:rsidR="00FF5F13" w:rsidRPr="00C048FC">
        <w:t xml:space="preserve"> </w:t>
      </w:r>
      <w:r w:rsidRPr="00C048FC">
        <w:t xml:space="preserve">they </w:t>
      </w:r>
      <w:r w:rsidR="00FF5F13">
        <w:t>were</w:t>
      </w:r>
      <w:r w:rsidRPr="00C048FC">
        <w:t xml:space="preserve"> meeting the requirements of PREA. That is, </w:t>
      </w:r>
      <w:r w:rsidR="00FF5F13">
        <w:t xml:space="preserve">they believed that </w:t>
      </w:r>
      <w:r w:rsidRPr="00C048FC">
        <w:t xml:space="preserve">if the number of youth are added up and divided by the total number of staff on the units, the ratios meet the requirements. However, </w:t>
      </w:r>
      <w:r>
        <w:t>there are several factors that impact a facility’s ability to meet PREA ratios. First, building layouts significantly impact a facility’s ability to meet a staffing ratio and may require an added level of staff</w:t>
      </w:r>
      <w:r w:rsidR="00A3786D">
        <w:t xml:space="preserve">. </w:t>
      </w:r>
      <w:r>
        <w:t xml:space="preserve">For instance, </w:t>
      </w:r>
      <w:r w:rsidRPr="00C048FC">
        <w:t>the building designs of the 40-</w:t>
      </w:r>
      <w:r w:rsidR="00B34AFE">
        <w:t>room</w:t>
      </w:r>
      <w:r w:rsidRPr="00C048FC">
        <w:t xml:space="preserve"> units at Green Hill do not result in an actual ratio of </w:t>
      </w:r>
      <w:r>
        <w:t xml:space="preserve">one </w:t>
      </w:r>
      <w:r w:rsidRPr="00C048FC">
        <w:t xml:space="preserve">staff to </w:t>
      </w:r>
      <w:r>
        <w:t>eight</w:t>
      </w:r>
      <w:r w:rsidRPr="00C048FC">
        <w:t xml:space="preserve"> youth. In the 40-</w:t>
      </w:r>
      <w:r w:rsidR="00B34AFE">
        <w:t xml:space="preserve">room </w:t>
      </w:r>
      <w:r w:rsidRPr="00C048FC">
        <w:t>units at Green Hill</w:t>
      </w:r>
      <w:r>
        <w:t>,</w:t>
      </w:r>
      <w:r w:rsidRPr="00C048FC">
        <w:t xml:space="preserve"> staff </w:t>
      </w:r>
      <w:r>
        <w:t xml:space="preserve">often supervise </w:t>
      </w:r>
      <w:r w:rsidRPr="00C048FC">
        <w:t xml:space="preserve">more than </w:t>
      </w:r>
      <w:r>
        <w:t xml:space="preserve">eight </w:t>
      </w:r>
      <w:r w:rsidRPr="00C048FC">
        <w:t xml:space="preserve">youth. When there is need for intervention due to an altercation or safety concern, staff in another wing must respond. Youth must be secured in their rooms before the staff person can respond. This delays response time and </w:t>
      </w:r>
      <w:r>
        <w:t xml:space="preserve">may </w:t>
      </w:r>
      <w:r w:rsidRPr="00C048FC">
        <w:t>have safety implications. It also impacts the youth on the wing that lose their staff</w:t>
      </w:r>
      <w:r>
        <w:t>,</w:t>
      </w:r>
      <w:r w:rsidRPr="00C048FC">
        <w:t xml:space="preserve"> as it takes their staff person away from taking care of their needs. This leads to frustrations on the part of youth and staff. I</w:t>
      </w:r>
      <w:r>
        <w:t>n</w:t>
      </w:r>
      <w:r w:rsidRPr="00C048FC">
        <w:t xml:space="preserve"> interviews with youth who live on the 40-</w:t>
      </w:r>
      <w:r w:rsidR="00B34AFE">
        <w:t xml:space="preserve">room </w:t>
      </w:r>
      <w:r w:rsidRPr="00C048FC">
        <w:t xml:space="preserve">units, </w:t>
      </w:r>
      <w:r>
        <w:t>some</w:t>
      </w:r>
      <w:r w:rsidRPr="00C048FC">
        <w:t xml:space="preserve"> indicated they would prefer to be living on the smaller units, as they feel “less prisonlike.” Similar issues were identified in the community facilities in which the buil</w:t>
      </w:r>
      <w:r>
        <w:t xml:space="preserve">ding design had youth rooms on </w:t>
      </w:r>
      <w:r w:rsidRPr="00C048FC">
        <w:t>separate floors or were separate from the common living areas.</w:t>
      </w:r>
    </w:p>
    <w:p w14:paraId="12ECB140" w14:textId="2F129812" w:rsidR="00FF5F13" w:rsidRDefault="00FF5F13" w:rsidP="0091168C">
      <w:r>
        <w:t xml:space="preserve">In fact, a recent audit found </w:t>
      </w:r>
      <w:r w:rsidR="00E91FF8">
        <w:t xml:space="preserve">two of the three JR institutions were not in compliance with PREA staffing ratios. </w:t>
      </w:r>
      <w:r w:rsidR="00E35B64">
        <w:t xml:space="preserve">The auditors clarified that the 1:8 and 1:16 staffing </w:t>
      </w:r>
      <w:r w:rsidR="00E91FF8">
        <w:t>ratios must be met in every area of a building, and not for a building overall. For instance, a living unit with 22 youth would require a minimum of three staff working in the unit during the day and s</w:t>
      </w:r>
      <w:r w:rsidR="00ED2AA6">
        <w:t>w</w:t>
      </w:r>
      <w:r w:rsidR="00E91FF8">
        <w:t>ing shifts to meet the PREA standard of one staff for every eight youth. However, if that living unit had two separate areas</w:t>
      </w:r>
      <w:r w:rsidR="006324BE">
        <w:t xml:space="preserve"> – each with 11 youth – then then the PREA standard of 1:8 must be met in each area. In this example, four staff would be required to meet the 1:8 – two staff in each area. As a result of the recent audit, </w:t>
      </w:r>
      <w:r>
        <w:t xml:space="preserve">JR </w:t>
      </w:r>
      <w:r w:rsidR="006324BE">
        <w:t xml:space="preserve">has furthered reviewed </w:t>
      </w:r>
      <w:r>
        <w:t>how many</w:t>
      </w:r>
      <w:r w:rsidR="00E35B64">
        <w:t xml:space="preserve"> staff </w:t>
      </w:r>
      <w:r>
        <w:t>will be required to meet the PREA staffing ratios</w:t>
      </w:r>
      <w:r w:rsidR="00E35B64">
        <w:t>.</w:t>
      </w:r>
      <w:r w:rsidR="008A3CFD">
        <w:rPr>
          <w:rStyle w:val="FootnoteReference"/>
        </w:rPr>
        <w:footnoteReference w:id="84"/>
      </w:r>
    </w:p>
    <w:p w14:paraId="1D58AE48" w14:textId="77777777" w:rsidR="00FF5F13" w:rsidRDefault="00E35B64" w:rsidP="0091168C">
      <w:r>
        <w:t xml:space="preserve">The Touchstone Community Facility </w:t>
      </w:r>
      <w:r w:rsidR="005C68E4">
        <w:t>and Woodinville Community Facility are also</w:t>
      </w:r>
      <w:r>
        <w:t xml:space="preserve"> example</w:t>
      </w:r>
      <w:r w:rsidR="005C68E4">
        <w:t>s</w:t>
      </w:r>
      <w:r>
        <w:t xml:space="preserve"> of how building design impacts staffing ratios. Touchstone has two stories. In a scenario where </w:t>
      </w:r>
      <w:r>
        <w:lastRenderedPageBreak/>
        <w:t>there are 14 youth in the building, meeting a staffing ratio standard depends on where the youth and staff are located. For example, if seven youth were on both the upper and lower floors, then one staff member on each floor would meet the PREA ratio. However, if ten youth were on the upper floor and four were on the lower floor, three staff would be needed to meet the ratio – two on the upper floor and one on the lower. In the most recent audit, the community facilities were found in compliance with the requirements of PREA.</w:t>
      </w:r>
    </w:p>
    <w:p w14:paraId="6E22C550" w14:textId="77777777" w:rsidR="00047390" w:rsidRDefault="00047390" w:rsidP="0091168C">
      <w:r>
        <w:t>We also heard from staff that acuity level of the population significantly drives the need for staff. Many staff felt that the PREA 1:8 staffing ratio was insufficient to appropriately manage units with a high percentage of residents with behavioral or emotional needs. Most staff suggested that as the overall acuity level of a facility’s population increases, so should the number of staff assigned to each day and swing shift</w:t>
      </w:r>
      <w:r w:rsidR="00A3786D">
        <w:t xml:space="preserve">. </w:t>
      </w:r>
    </w:p>
    <w:p w14:paraId="46F88101" w14:textId="77777777" w:rsidR="00047390" w:rsidRDefault="00047390" w:rsidP="0091168C">
      <w:r>
        <w:t xml:space="preserve">In addition to the building layout and acuity levels, characteristics such as specific programming can impact the number of staff needed to provide an adequate staffing level. JR’s current </w:t>
      </w:r>
      <w:r w:rsidR="005D560D">
        <w:t xml:space="preserve">residential </w:t>
      </w:r>
      <w:r>
        <w:t xml:space="preserve">staffing model does not include any type of adjustment for these factors, and they will be important to consider when developing the new model. </w:t>
      </w:r>
    </w:p>
    <w:p w14:paraId="4679CF6A" w14:textId="77777777" w:rsidR="00047390" w:rsidRDefault="00047390" w:rsidP="00047390">
      <w:pPr>
        <w:pStyle w:val="Heading3"/>
      </w:pPr>
      <w:bookmarkStart w:id="57" w:name="_Toc523836812"/>
      <w:bookmarkStart w:id="58" w:name="_Toc531597503"/>
      <w:r>
        <w:t>Scheduling Challenges</w:t>
      </w:r>
      <w:bookmarkEnd w:id="57"/>
      <w:bookmarkEnd w:id="58"/>
      <w:r>
        <w:t xml:space="preserve"> </w:t>
      </w:r>
    </w:p>
    <w:p w14:paraId="4A16FD5C" w14:textId="77777777" w:rsidR="00047390" w:rsidRPr="00DE53C9" w:rsidRDefault="00047390" w:rsidP="00047390">
      <w:pPr>
        <w:pStyle w:val="RFPtext"/>
        <w:rPr>
          <w:b/>
          <w:color w:val="auto"/>
          <w:sz w:val="24"/>
        </w:rPr>
      </w:pPr>
      <w:r w:rsidRPr="00DE53C9">
        <w:rPr>
          <w:b/>
          <w:color w:val="auto"/>
          <w:sz w:val="24"/>
        </w:rPr>
        <w:t xml:space="preserve">There are many challenges in creating a schedule that provides appropriate coverage for the units with available resources, while at the same </w:t>
      </w:r>
      <w:r w:rsidR="00ED2AA6">
        <w:rPr>
          <w:b/>
          <w:color w:val="auto"/>
          <w:sz w:val="24"/>
        </w:rPr>
        <w:t xml:space="preserve">time </w:t>
      </w:r>
      <w:r w:rsidRPr="00DE53C9">
        <w:rPr>
          <w:b/>
          <w:color w:val="auto"/>
          <w:sz w:val="24"/>
        </w:rPr>
        <w:t>offers staff a health</w:t>
      </w:r>
      <w:r w:rsidR="00B34AFE" w:rsidRPr="00DE53C9">
        <w:rPr>
          <w:b/>
          <w:color w:val="auto"/>
          <w:sz w:val="24"/>
        </w:rPr>
        <w:t>y</w:t>
      </w:r>
      <w:r w:rsidRPr="00DE53C9">
        <w:rPr>
          <w:b/>
          <w:color w:val="auto"/>
          <w:sz w:val="24"/>
        </w:rPr>
        <w:t xml:space="preserve"> work-life balance. Many staff reported the current scheduling patterns are a key reason they are searching for other employment. </w:t>
      </w:r>
    </w:p>
    <w:p w14:paraId="6F0282D1" w14:textId="77777777" w:rsidR="00047390" w:rsidRDefault="00047390" w:rsidP="00047390">
      <w:r>
        <w:t>Staff related several challenges exist with regard to each facility’s staffing schedule. Managers and supervisors noted the difficulty of trying to create a staffing schedule that provide</w:t>
      </w:r>
      <w:r w:rsidR="003F54B1">
        <w:t>s</w:t>
      </w:r>
      <w:r>
        <w:t xml:space="preserve"> appropriate staff coverage for each shift with the available resources, while at the same </w:t>
      </w:r>
      <w:r w:rsidR="00ED2AA6">
        <w:t xml:space="preserve">time </w:t>
      </w:r>
      <w:r>
        <w:t xml:space="preserve">giving each staff member a preferable schedule. The staff members responsible for creating the schedule indicated this is a difficult and often impossible task, as it is simply impossible for everyone to have the days off they want. </w:t>
      </w:r>
    </w:p>
    <w:p w14:paraId="4E61884E" w14:textId="77777777" w:rsidR="00047390" w:rsidRDefault="00047390" w:rsidP="00047390">
      <w:r>
        <w:t xml:space="preserve">Many of the JRRCs, JRCAs, and JRSOs we spoke with indicated the schedule is one of the reasons they have or are currently searching for other employment. One area of schedule-related dissatisfaction staff noted was with their ‘weekend,” which often does not include a weekend day. While most staff reported having two consecutive days off, these days often did not include a Saturday or Sunday. Staff indicated this presents challenges when trying to schedule time with their families and friends and often inhibited their ability to maintain social relationships outside of work. </w:t>
      </w:r>
    </w:p>
    <w:p w14:paraId="0EB70642" w14:textId="77777777" w:rsidR="00047390" w:rsidRDefault="00047390" w:rsidP="00047390">
      <w:r>
        <w:t>An additional schedule challenge is ensuring that as the shifts change, there is enough overlap for the staff going off-shift to brief the incoming staff on current living unit status, any issues that occurred, and provide</w:t>
      </w:r>
      <w:r w:rsidR="00CD3F9A">
        <w:t xml:space="preserve"> a general update on the youth</w:t>
      </w:r>
      <w:r>
        <w:t xml:space="preserve">. Most of the facilities stagger the starting times of their staff, so staff are starting their shifts throughout the day, allowing these briefings to happen informally. However, as most employees felt the staffing levels were insufficient, they indicated that as soon as their shift starts, they become directly involved with unit activities and do not have time for a briefing with staff going off-shift. </w:t>
      </w:r>
    </w:p>
    <w:p w14:paraId="1E77D75D" w14:textId="77777777" w:rsidR="00047390" w:rsidRDefault="00047390" w:rsidP="00047390">
      <w:r>
        <w:t>Finally, many staff indicated that a “4/10” schedule – where they work ten-hour shifts four days per week – would be an incentive to remain in JR employment. When asked, most of the program managers or s</w:t>
      </w:r>
      <w:r w:rsidR="00CD3F9A">
        <w:t>upervisors who set the schedule</w:t>
      </w:r>
      <w:r>
        <w:t xml:space="preserve"> i</w:t>
      </w:r>
      <w:r w:rsidR="008C281E">
        <w:t xml:space="preserve">ndicated they could make a 4/10 </w:t>
      </w:r>
      <w:r>
        <w:t xml:space="preserve">schedule work, although many felt additional staff were needed to do so. </w:t>
      </w:r>
    </w:p>
    <w:p w14:paraId="768DC5E7" w14:textId="77777777" w:rsidR="00047390" w:rsidRDefault="00047390" w:rsidP="00047390">
      <w:pPr>
        <w:pStyle w:val="Heading3"/>
      </w:pPr>
      <w:bookmarkStart w:id="59" w:name="_Toc523836813"/>
      <w:bookmarkStart w:id="60" w:name="_Toc531597504"/>
      <w:r>
        <w:lastRenderedPageBreak/>
        <w:t>Intakes</w:t>
      </w:r>
      <w:bookmarkEnd w:id="59"/>
      <w:r>
        <w:t xml:space="preserve"> and Discharges</w:t>
      </w:r>
      <w:bookmarkEnd w:id="60"/>
      <w:r>
        <w:t xml:space="preserve"> </w:t>
      </w:r>
    </w:p>
    <w:p w14:paraId="37EE14D2" w14:textId="77777777" w:rsidR="00047390" w:rsidRPr="00BD430E" w:rsidRDefault="002C1B35" w:rsidP="00047390">
      <w:pPr>
        <w:pStyle w:val="RFPtext"/>
        <w:rPr>
          <w:b/>
          <w:color w:val="auto"/>
          <w:sz w:val="24"/>
        </w:rPr>
      </w:pPr>
      <w:r w:rsidRPr="00BD430E">
        <w:rPr>
          <w:b/>
          <w:color w:val="auto"/>
          <w:sz w:val="24"/>
        </w:rPr>
        <w:t>With</w:t>
      </w:r>
      <w:r w:rsidR="007B622F">
        <w:rPr>
          <w:b/>
          <w:color w:val="auto"/>
          <w:sz w:val="24"/>
        </w:rPr>
        <w:t>in</w:t>
      </w:r>
      <w:r w:rsidRPr="00BD430E">
        <w:rPr>
          <w:b/>
          <w:color w:val="auto"/>
          <w:sz w:val="24"/>
        </w:rPr>
        <w:t xml:space="preserve"> a year, there are many intakes and discharges of youth to and from the facilities which require a significant amount of intake-</w:t>
      </w:r>
      <w:r w:rsidR="00B2755C" w:rsidRPr="00BD430E">
        <w:rPr>
          <w:b/>
          <w:color w:val="auto"/>
          <w:sz w:val="24"/>
        </w:rPr>
        <w:t xml:space="preserve"> and</w:t>
      </w:r>
      <w:r w:rsidRPr="00BD430E">
        <w:rPr>
          <w:b/>
          <w:color w:val="auto"/>
          <w:sz w:val="24"/>
        </w:rPr>
        <w:t xml:space="preserve"> discharge</w:t>
      </w:r>
      <w:r w:rsidR="00B2755C" w:rsidRPr="00BD430E">
        <w:rPr>
          <w:b/>
          <w:color w:val="auto"/>
          <w:sz w:val="24"/>
        </w:rPr>
        <w:t>-</w:t>
      </w:r>
      <w:r w:rsidRPr="00BD430E">
        <w:rPr>
          <w:b/>
          <w:color w:val="auto"/>
          <w:sz w:val="24"/>
        </w:rPr>
        <w:t xml:space="preserve"> related work that must be taken into consideration in a </w:t>
      </w:r>
      <w:r w:rsidR="005D560D" w:rsidRPr="005D560D">
        <w:rPr>
          <w:b/>
          <w:color w:val="auto"/>
          <w:sz w:val="24"/>
        </w:rPr>
        <w:t xml:space="preserve">residential </w:t>
      </w:r>
      <w:r w:rsidRPr="00BD430E">
        <w:rPr>
          <w:b/>
          <w:color w:val="auto"/>
          <w:sz w:val="24"/>
        </w:rPr>
        <w:t>staffing model.</w:t>
      </w:r>
      <w:r w:rsidR="00047390" w:rsidRPr="00BD430E">
        <w:rPr>
          <w:b/>
          <w:color w:val="auto"/>
          <w:sz w:val="24"/>
        </w:rPr>
        <w:t xml:space="preserve"> </w:t>
      </w:r>
    </w:p>
    <w:p w14:paraId="43A19754" w14:textId="77777777" w:rsidR="00047390" w:rsidRDefault="00047390" w:rsidP="00047390">
      <w:r>
        <w:t>A final workload challenge is the need for staff to conduct intake- and discharge-related work every time a youth enters or departs a facility. This work includes a variety of activities ranging from conducting the initial youth assessment to preparing for and conducting the initial counseling session to making the initial family contact. Estimates vary, but staff members we interviewed generally indicated this work requires between four and eight hours to comp</w:t>
      </w:r>
      <w:r w:rsidR="002C1B35">
        <w:t>l</w:t>
      </w:r>
      <w:r>
        <w:t xml:space="preserve">ete per youth, and it often happens over two days. </w:t>
      </w:r>
      <w:r w:rsidR="002C1B35">
        <w:t>Further, most facilities do not have staff dedicated to intake or discharge processes.</w:t>
      </w:r>
    </w:p>
    <w:p w14:paraId="29373F98" w14:textId="77777777" w:rsidR="00047390" w:rsidRDefault="00047390" w:rsidP="00047390">
      <w:r>
        <w:t xml:space="preserve">Given the number of intakes and discharges at the facilities, work related to processing intakes requires a significant time and effort. Exhibit </w:t>
      </w:r>
      <w:r w:rsidR="006F7241">
        <w:t>5</w:t>
      </w:r>
      <w:r w:rsidR="00513631">
        <w:t>-16</w:t>
      </w:r>
      <w:r>
        <w:t xml:space="preserve"> presents the number of intakes for each facility during SFY 2018. </w:t>
      </w:r>
    </w:p>
    <w:p w14:paraId="478F6809" w14:textId="77777777" w:rsidR="00047390" w:rsidRDefault="00047390" w:rsidP="00047390">
      <w:pPr>
        <w:pStyle w:val="Caption"/>
      </w:pPr>
      <w:r>
        <w:t xml:space="preserve">Exhibit </w:t>
      </w:r>
      <w:r w:rsidR="006F7241">
        <w:t>5</w:t>
      </w:r>
      <w:r w:rsidR="00513631">
        <w:t>-16</w:t>
      </w:r>
      <w:r>
        <w:t xml:space="preserve">. Moves by Facility </w:t>
      </w:r>
    </w:p>
    <w:tbl>
      <w:tblPr>
        <w:tblStyle w:val="HyzerTable5"/>
        <w:tblW w:w="0" w:type="auto"/>
        <w:tblLook w:val="04A0" w:firstRow="1" w:lastRow="0" w:firstColumn="1" w:lastColumn="0" w:noHBand="0" w:noVBand="1"/>
      </w:tblPr>
      <w:tblGrid>
        <w:gridCol w:w="1958"/>
        <w:gridCol w:w="1958"/>
        <w:gridCol w:w="1958"/>
        <w:gridCol w:w="1958"/>
      </w:tblGrid>
      <w:tr w:rsidR="00047390" w:rsidRPr="00047390" w14:paraId="4E007BE2" w14:textId="77777777" w:rsidTr="00047390">
        <w:trPr>
          <w:cnfStyle w:val="100000000000" w:firstRow="1" w:lastRow="0" w:firstColumn="0" w:lastColumn="0" w:oddVBand="0" w:evenVBand="0" w:oddHBand="0" w:evenHBand="0" w:firstRowFirstColumn="0" w:firstRowLastColumn="0" w:lastRowFirstColumn="0" w:lastRowLastColumn="0"/>
        </w:trPr>
        <w:tc>
          <w:tcPr>
            <w:tcW w:w="1958" w:type="dxa"/>
          </w:tcPr>
          <w:p w14:paraId="6396F57D" w14:textId="77777777" w:rsidR="00047390" w:rsidRPr="00047390" w:rsidRDefault="00047390" w:rsidP="00047390"/>
        </w:tc>
        <w:tc>
          <w:tcPr>
            <w:tcW w:w="1958" w:type="dxa"/>
          </w:tcPr>
          <w:p w14:paraId="31549C8B" w14:textId="77777777" w:rsidR="00047390" w:rsidRPr="00047390" w:rsidRDefault="00047390" w:rsidP="00047390">
            <w:pPr>
              <w:spacing w:after="0"/>
              <w:jc w:val="center"/>
              <w:rPr>
                <w:rFonts w:ascii="Arial Narrow" w:hAnsi="Arial Narrow" w:cs="Arial"/>
                <w:b/>
                <w:color w:val="FFFFFF"/>
                <w:sz w:val="22"/>
              </w:rPr>
            </w:pPr>
            <w:r w:rsidRPr="00047390">
              <w:rPr>
                <w:rFonts w:ascii="Arial Narrow" w:hAnsi="Arial Narrow" w:cs="Arial"/>
                <w:b/>
                <w:color w:val="FFFFFF"/>
                <w:sz w:val="22"/>
              </w:rPr>
              <w:t xml:space="preserve">Total In </w:t>
            </w:r>
          </w:p>
        </w:tc>
        <w:tc>
          <w:tcPr>
            <w:tcW w:w="1958" w:type="dxa"/>
          </w:tcPr>
          <w:p w14:paraId="16065C10" w14:textId="77777777" w:rsidR="00047390" w:rsidRPr="00047390" w:rsidRDefault="00047390" w:rsidP="00047390">
            <w:pPr>
              <w:spacing w:after="0"/>
              <w:jc w:val="center"/>
              <w:rPr>
                <w:rFonts w:ascii="Arial Narrow" w:hAnsi="Arial Narrow" w:cs="Arial"/>
                <w:b/>
                <w:color w:val="FFFFFF"/>
                <w:sz w:val="22"/>
              </w:rPr>
            </w:pPr>
            <w:r w:rsidRPr="00047390">
              <w:rPr>
                <w:rFonts w:ascii="Arial Narrow" w:hAnsi="Arial Narrow" w:cs="Arial"/>
                <w:b/>
                <w:color w:val="FFFFFF"/>
                <w:sz w:val="22"/>
              </w:rPr>
              <w:t>Total Out</w:t>
            </w:r>
          </w:p>
        </w:tc>
        <w:tc>
          <w:tcPr>
            <w:tcW w:w="1958" w:type="dxa"/>
          </w:tcPr>
          <w:p w14:paraId="0D0683F1" w14:textId="77777777" w:rsidR="00047390" w:rsidRPr="00047390" w:rsidRDefault="00047390" w:rsidP="00047390">
            <w:pPr>
              <w:spacing w:after="0"/>
              <w:jc w:val="center"/>
              <w:rPr>
                <w:rFonts w:ascii="Arial Narrow" w:hAnsi="Arial Narrow" w:cs="Arial"/>
                <w:b/>
                <w:color w:val="FFFFFF"/>
                <w:sz w:val="22"/>
              </w:rPr>
            </w:pPr>
            <w:r w:rsidRPr="00047390">
              <w:rPr>
                <w:rFonts w:ascii="Arial Narrow" w:hAnsi="Arial Narrow" w:cs="Arial"/>
                <w:b/>
                <w:color w:val="FFFFFF"/>
                <w:sz w:val="22"/>
              </w:rPr>
              <w:t xml:space="preserve">Total Moves </w:t>
            </w:r>
          </w:p>
        </w:tc>
      </w:tr>
      <w:tr w:rsidR="00047390" w:rsidRPr="00047390" w14:paraId="4DBEA9B1" w14:textId="77777777" w:rsidTr="00047390">
        <w:trPr>
          <w:cnfStyle w:val="000000100000" w:firstRow="0" w:lastRow="0" w:firstColumn="0" w:lastColumn="0" w:oddVBand="0" w:evenVBand="0" w:oddHBand="1" w:evenHBand="0" w:firstRowFirstColumn="0" w:firstRowLastColumn="0" w:lastRowFirstColumn="0" w:lastRowLastColumn="0"/>
        </w:trPr>
        <w:tc>
          <w:tcPr>
            <w:tcW w:w="1958" w:type="dxa"/>
            <w:shd w:val="clear" w:color="auto" w:fill="A6A6A6" w:themeFill="background1" w:themeFillShade="A6"/>
          </w:tcPr>
          <w:p w14:paraId="039D63F3" w14:textId="77777777" w:rsidR="00047390" w:rsidRPr="00047390" w:rsidRDefault="00047390" w:rsidP="00047390">
            <w:pPr>
              <w:spacing w:before="40" w:after="40"/>
              <w:rPr>
                <w:rFonts w:ascii="Arial Narrow" w:hAnsi="Arial Narrow"/>
                <w:b/>
                <w:sz w:val="20"/>
                <w:szCs w:val="20"/>
              </w:rPr>
            </w:pPr>
            <w:r w:rsidRPr="00047390">
              <w:rPr>
                <w:rFonts w:ascii="Arial Narrow" w:hAnsi="Arial Narrow"/>
                <w:b/>
                <w:sz w:val="20"/>
                <w:szCs w:val="20"/>
              </w:rPr>
              <w:t xml:space="preserve">Total JR </w:t>
            </w:r>
          </w:p>
        </w:tc>
        <w:tc>
          <w:tcPr>
            <w:tcW w:w="1958" w:type="dxa"/>
            <w:shd w:val="clear" w:color="auto" w:fill="A6A6A6" w:themeFill="background1" w:themeFillShade="A6"/>
            <w:vAlign w:val="center"/>
          </w:tcPr>
          <w:p w14:paraId="48100265" w14:textId="77777777" w:rsidR="00047390" w:rsidRPr="00047390" w:rsidRDefault="00047390" w:rsidP="00047390">
            <w:pPr>
              <w:spacing w:before="40" w:after="40"/>
              <w:jc w:val="center"/>
              <w:rPr>
                <w:rFonts w:ascii="Arial Narrow" w:hAnsi="Arial Narrow"/>
                <w:b/>
                <w:sz w:val="20"/>
                <w:szCs w:val="20"/>
              </w:rPr>
            </w:pPr>
            <w:r w:rsidRPr="00047390">
              <w:rPr>
                <w:rFonts w:ascii="Arial Narrow" w:hAnsi="Arial Narrow"/>
                <w:b/>
                <w:sz w:val="20"/>
                <w:szCs w:val="20"/>
              </w:rPr>
              <w:t>1,125</w:t>
            </w:r>
          </w:p>
        </w:tc>
        <w:tc>
          <w:tcPr>
            <w:tcW w:w="1958" w:type="dxa"/>
            <w:shd w:val="clear" w:color="auto" w:fill="A6A6A6" w:themeFill="background1" w:themeFillShade="A6"/>
            <w:vAlign w:val="center"/>
          </w:tcPr>
          <w:p w14:paraId="2938C179" w14:textId="77777777" w:rsidR="00047390" w:rsidRPr="00047390" w:rsidRDefault="00047390" w:rsidP="00047390">
            <w:pPr>
              <w:spacing w:before="40" w:after="40"/>
              <w:jc w:val="center"/>
              <w:rPr>
                <w:rFonts w:ascii="Arial Narrow" w:hAnsi="Arial Narrow"/>
                <w:b/>
                <w:sz w:val="20"/>
                <w:szCs w:val="20"/>
              </w:rPr>
            </w:pPr>
            <w:r w:rsidRPr="00047390">
              <w:rPr>
                <w:rFonts w:ascii="Arial Narrow" w:hAnsi="Arial Narrow"/>
                <w:b/>
                <w:sz w:val="20"/>
                <w:szCs w:val="20"/>
              </w:rPr>
              <w:t>1,102</w:t>
            </w:r>
          </w:p>
        </w:tc>
        <w:tc>
          <w:tcPr>
            <w:tcW w:w="1958" w:type="dxa"/>
            <w:shd w:val="clear" w:color="auto" w:fill="A6A6A6" w:themeFill="background1" w:themeFillShade="A6"/>
            <w:vAlign w:val="center"/>
          </w:tcPr>
          <w:p w14:paraId="0162FE33" w14:textId="77777777" w:rsidR="00047390" w:rsidRPr="00047390" w:rsidRDefault="00047390" w:rsidP="00047390">
            <w:pPr>
              <w:spacing w:before="40" w:after="40"/>
              <w:jc w:val="center"/>
              <w:rPr>
                <w:rFonts w:ascii="Arial Narrow" w:hAnsi="Arial Narrow"/>
                <w:b/>
                <w:sz w:val="20"/>
                <w:szCs w:val="20"/>
              </w:rPr>
            </w:pPr>
            <w:r w:rsidRPr="00047390">
              <w:rPr>
                <w:rFonts w:ascii="Arial Narrow" w:hAnsi="Arial Narrow"/>
                <w:b/>
                <w:sz w:val="20"/>
                <w:szCs w:val="20"/>
              </w:rPr>
              <w:t>2,227</w:t>
            </w:r>
          </w:p>
        </w:tc>
      </w:tr>
      <w:tr w:rsidR="00047390" w:rsidRPr="00047390" w14:paraId="0F77AC5D" w14:textId="77777777" w:rsidTr="00047390">
        <w:tc>
          <w:tcPr>
            <w:tcW w:w="1958" w:type="dxa"/>
          </w:tcPr>
          <w:p w14:paraId="2680C9DD" w14:textId="77777777" w:rsidR="00047390" w:rsidRPr="00047390" w:rsidRDefault="00047390" w:rsidP="00047390">
            <w:pPr>
              <w:spacing w:before="40" w:after="40"/>
              <w:rPr>
                <w:rFonts w:ascii="Arial Narrow" w:hAnsi="Arial Narrow"/>
                <w:sz w:val="20"/>
                <w:szCs w:val="20"/>
              </w:rPr>
            </w:pPr>
            <w:r w:rsidRPr="00047390">
              <w:rPr>
                <w:rFonts w:ascii="Arial Narrow" w:hAnsi="Arial Narrow"/>
                <w:sz w:val="20"/>
                <w:szCs w:val="20"/>
              </w:rPr>
              <w:t xml:space="preserve">Echo Glen </w:t>
            </w:r>
          </w:p>
        </w:tc>
        <w:tc>
          <w:tcPr>
            <w:tcW w:w="1958" w:type="dxa"/>
            <w:vAlign w:val="center"/>
          </w:tcPr>
          <w:p w14:paraId="35CCEB11"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260</w:t>
            </w:r>
          </w:p>
        </w:tc>
        <w:tc>
          <w:tcPr>
            <w:tcW w:w="1958" w:type="dxa"/>
            <w:vAlign w:val="center"/>
          </w:tcPr>
          <w:p w14:paraId="1162C578"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256</w:t>
            </w:r>
          </w:p>
        </w:tc>
        <w:tc>
          <w:tcPr>
            <w:tcW w:w="1958" w:type="dxa"/>
            <w:vAlign w:val="center"/>
          </w:tcPr>
          <w:p w14:paraId="153E3B5A"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516</w:t>
            </w:r>
          </w:p>
        </w:tc>
      </w:tr>
      <w:tr w:rsidR="00047390" w:rsidRPr="00047390" w14:paraId="187B0A2A" w14:textId="77777777" w:rsidTr="00047390">
        <w:trPr>
          <w:cnfStyle w:val="000000100000" w:firstRow="0" w:lastRow="0" w:firstColumn="0" w:lastColumn="0" w:oddVBand="0" w:evenVBand="0" w:oddHBand="1" w:evenHBand="0" w:firstRowFirstColumn="0" w:firstRowLastColumn="0" w:lastRowFirstColumn="0" w:lastRowLastColumn="0"/>
        </w:trPr>
        <w:tc>
          <w:tcPr>
            <w:tcW w:w="1958" w:type="dxa"/>
          </w:tcPr>
          <w:p w14:paraId="7D1C15E4" w14:textId="77777777" w:rsidR="00047390" w:rsidRPr="00047390" w:rsidRDefault="00047390" w:rsidP="00047390">
            <w:pPr>
              <w:spacing w:before="40" w:after="40"/>
              <w:rPr>
                <w:rFonts w:ascii="Arial Narrow" w:hAnsi="Arial Narrow"/>
                <w:sz w:val="20"/>
                <w:szCs w:val="20"/>
              </w:rPr>
            </w:pPr>
            <w:r w:rsidRPr="00047390">
              <w:rPr>
                <w:rFonts w:ascii="Arial Narrow" w:hAnsi="Arial Narrow"/>
                <w:sz w:val="20"/>
                <w:szCs w:val="20"/>
              </w:rPr>
              <w:t xml:space="preserve">Green Hill </w:t>
            </w:r>
          </w:p>
        </w:tc>
        <w:tc>
          <w:tcPr>
            <w:tcW w:w="1958" w:type="dxa"/>
            <w:vAlign w:val="center"/>
          </w:tcPr>
          <w:p w14:paraId="3980CF2E"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299</w:t>
            </w:r>
          </w:p>
        </w:tc>
        <w:tc>
          <w:tcPr>
            <w:tcW w:w="1958" w:type="dxa"/>
            <w:vAlign w:val="center"/>
          </w:tcPr>
          <w:p w14:paraId="1D98DB39"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292</w:t>
            </w:r>
          </w:p>
        </w:tc>
        <w:tc>
          <w:tcPr>
            <w:tcW w:w="1958" w:type="dxa"/>
            <w:vAlign w:val="center"/>
          </w:tcPr>
          <w:p w14:paraId="0C1EE670"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591</w:t>
            </w:r>
          </w:p>
        </w:tc>
      </w:tr>
      <w:tr w:rsidR="00047390" w:rsidRPr="00047390" w14:paraId="754735E2" w14:textId="77777777" w:rsidTr="00047390">
        <w:tc>
          <w:tcPr>
            <w:tcW w:w="1958" w:type="dxa"/>
          </w:tcPr>
          <w:p w14:paraId="4341BEEE" w14:textId="77777777" w:rsidR="00047390" w:rsidRPr="00047390" w:rsidRDefault="00047390" w:rsidP="00047390">
            <w:pPr>
              <w:spacing w:before="40" w:after="40"/>
              <w:rPr>
                <w:rFonts w:ascii="Arial Narrow" w:hAnsi="Arial Narrow"/>
                <w:sz w:val="20"/>
                <w:szCs w:val="20"/>
              </w:rPr>
            </w:pPr>
            <w:r w:rsidRPr="00047390">
              <w:rPr>
                <w:rFonts w:ascii="Arial Narrow" w:hAnsi="Arial Narrow"/>
                <w:sz w:val="20"/>
                <w:szCs w:val="20"/>
              </w:rPr>
              <w:t xml:space="preserve">Naselle </w:t>
            </w:r>
          </w:p>
        </w:tc>
        <w:tc>
          <w:tcPr>
            <w:tcW w:w="1958" w:type="dxa"/>
            <w:vAlign w:val="center"/>
          </w:tcPr>
          <w:p w14:paraId="4C4689DA"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291</w:t>
            </w:r>
          </w:p>
        </w:tc>
        <w:tc>
          <w:tcPr>
            <w:tcW w:w="1958" w:type="dxa"/>
            <w:vAlign w:val="center"/>
          </w:tcPr>
          <w:p w14:paraId="49233E6C"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281</w:t>
            </w:r>
          </w:p>
        </w:tc>
        <w:tc>
          <w:tcPr>
            <w:tcW w:w="1958" w:type="dxa"/>
            <w:vAlign w:val="center"/>
          </w:tcPr>
          <w:p w14:paraId="681E80FC"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572</w:t>
            </w:r>
          </w:p>
        </w:tc>
      </w:tr>
      <w:tr w:rsidR="00047390" w:rsidRPr="00047390" w14:paraId="43FCA444" w14:textId="77777777" w:rsidTr="00047390">
        <w:trPr>
          <w:cnfStyle w:val="000000100000" w:firstRow="0" w:lastRow="0" w:firstColumn="0" w:lastColumn="0" w:oddVBand="0" w:evenVBand="0" w:oddHBand="1" w:evenHBand="0" w:firstRowFirstColumn="0" w:firstRowLastColumn="0" w:lastRowFirstColumn="0" w:lastRowLastColumn="0"/>
        </w:trPr>
        <w:tc>
          <w:tcPr>
            <w:tcW w:w="1958" w:type="dxa"/>
          </w:tcPr>
          <w:p w14:paraId="47EB2659" w14:textId="77777777" w:rsidR="00047390" w:rsidRPr="00047390" w:rsidRDefault="00047390" w:rsidP="00047390">
            <w:pPr>
              <w:spacing w:before="40" w:after="40"/>
              <w:rPr>
                <w:rFonts w:ascii="Arial Narrow" w:hAnsi="Arial Narrow"/>
                <w:sz w:val="20"/>
                <w:szCs w:val="20"/>
              </w:rPr>
            </w:pPr>
            <w:r w:rsidRPr="00047390">
              <w:rPr>
                <w:rFonts w:ascii="Arial Narrow" w:hAnsi="Arial Narrow"/>
                <w:sz w:val="20"/>
                <w:szCs w:val="20"/>
              </w:rPr>
              <w:t xml:space="preserve">Community Facilities </w:t>
            </w:r>
          </w:p>
        </w:tc>
        <w:tc>
          <w:tcPr>
            <w:tcW w:w="1958" w:type="dxa"/>
            <w:vAlign w:val="center"/>
          </w:tcPr>
          <w:p w14:paraId="232AF8EE"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275</w:t>
            </w:r>
          </w:p>
        </w:tc>
        <w:tc>
          <w:tcPr>
            <w:tcW w:w="1958" w:type="dxa"/>
            <w:vAlign w:val="center"/>
          </w:tcPr>
          <w:p w14:paraId="429C78B6"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273</w:t>
            </w:r>
          </w:p>
        </w:tc>
        <w:tc>
          <w:tcPr>
            <w:tcW w:w="1958" w:type="dxa"/>
            <w:vAlign w:val="center"/>
          </w:tcPr>
          <w:p w14:paraId="07CFA514" w14:textId="77777777" w:rsidR="00047390" w:rsidRPr="00047390" w:rsidRDefault="00047390" w:rsidP="00047390">
            <w:pPr>
              <w:spacing w:before="40" w:after="40"/>
              <w:jc w:val="center"/>
              <w:rPr>
                <w:rFonts w:ascii="Arial Narrow" w:hAnsi="Arial Narrow"/>
                <w:sz w:val="20"/>
                <w:szCs w:val="20"/>
              </w:rPr>
            </w:pPr>
            <w:r w:rsidRPr="00047390">
              <w:rPr>
                <w:rFonts w:ascii="Arial Narrow" w:hAnsi="Arial Narrow"/>
                <w:sz w:val="20"/>
                <w:szCs w:val="20"/>
              </w:rPr>
              <w:t>548</w:t>
            </w:r>
          </w:p>
        </w:tc>
      </w:tr>
    </w:tbl>
    <w:p w14:paraId="4E36A0CA" w14:textId="77777777" w:rsidR="00047390" w:rsidRDefault="00047390" w:rsidP="00047390">
      <w:pPr>
        <w:spacing w:before="0"/>
        <w:rPr>
          <w:i/>
          <w:sz w:val="22"/>
          <w:szCs w:val="22"/>
        </w:rPr>
      </w:pPr>
      <w:r w:rsidRPr="00047390">
        <w:rPr>
          <w:i/>
          <w:sz w:val="22"/>
          <w:szCs w:val="22"/>
        </w:rPr>
        <w:tab/>
        <w:t>Source: JR Moves by Facility data for SFY 2018</w:t>
      </w:r>
      <w:r>
        <w:rPr>
          <w:i/>
          <w:sz w:val="22"/>
          <w:szCs w:val="22"/>
        </w:rPr>
        <w:t xml:space="preserve"> </w:t>
      </w:r>
    </w:p>
    <w:p w14:paraId="20C3484A" w14:textId="77777777" w:rsidR="009B7A58" w:rsidRDefault="00047390" w:rsidP="00047390">
      <w:r w:rsidRPr="00047390">
        <w:t xml:space="preserve">Even a low estimate of four hours to complete the required work whenever a youth enters or leaves a facility results in a high workload. As seen in the exhibit, there were 2,227 moves during SFY 2018. At four hours per move, that represents 8,908 hours of work that must be completed – the equivalent of about </w:t>
      </w:r>
      <w:r w:rsidR="00CD3F9A">
        <w:t>four</w:t>
      </w:r>
      <w:r w:rsidRPr="00047390">
        <w:t xml:space="preserve"> full-time employee</w:t>
      </w:r>
      <w:r w:rsidR="00CD3F9A">
        <w:t>s</w:t>
      </w:r>
      <w:r w:rsidRPr="00047390">
        <w:t xml:space="preserve"> across all of JR. This factor should be considered in any new </w:t>
      </w:r>
      <w:r w:rsidR="005D560D">
        <w:t xml:space="preserve">residential </w:t>
      </w:r>
      <w:r w:rsidRPr="00047390">
        <w:t>staff</w:t>
      </w:r>
      <w:r w:rsidR="002C1B35">
        <w:t>ing</w:t>
      </w:r>
      <w:r w:rsidRPr="00047390">
        <w:t xml:space="preserve"> model. </w:t>
      </w:r>
    </w:p>
    <w:p w14:paraId="7EB90FBA" w14:textId="77777777" w:rsidR="00EC3803" w:rsidRPr="002D22B3" w:rsidRDefault="00EC3803" w:rsidP="00047390">
      <w:r w:rsidRPr="002D22B3">
        <w:t>Intakes and discharges also may include youth who are going on or coming back from an authorized leave. Youth can go on leave for no more than seven consecutive days</w:t>
      </w:r>
      <w:r w:rsidR="002D22B3" w:rsidRPr="002D22B3">
        <w:t xml:space="preserve">. They may do so only in cases where they have </w:t>
      </w:r>
      <w:r w:rsidRPr="002D22B3">
        <w:t xml:space="preserve">completed sixty percent of </w:t>
      </w:r>
      <w:r w:rsidR="002D22B3" w:rsidRPr="002D22B3">
        <w:t xml:space="preserve">their </w:t>
      </w:r>
      <w:r w:rsidRPr="002D22B3">
        <w:t>minimum sentence. Youth may go on leave to visit their family for the purpose of strengthening or preserving family relationships or to make plans for parole or release.</w:t>
      </w:r>
      <w:r w:rsidRPr="002D22B3">
        <w:rPr>
          <w:rStyle w:val="FootnoteReference"/>
        </w:rPr>
        <w:footnoteReference w:id="85"/>
      </w:r>
      <w:r w:rsidRPr="002D22B3">
        <w:t xml:space="preserve">  </w:t>
      </w:r>
    </w:p>
    <w:p w14:paraId="1C9D5267" w14:textId="77777777" w:rsidR="00EC3803" w:rsidRPr="002D22B3" w:rsidRDefault="0016381B" w:rsidP="0091168C">
      <w:r>
        <w:t xml:space="preserve">School </w:t>
      </w:r>
      <w:r w:rsidR="007B622F">
        <w:t xml:space="preserve">notification must be made for all youth transferred to a community facility, discharged, paroled, released, or granted a leave. </w:t>
      </w:r>
      <w:r w:rsidR="00EC3803" w:rsidRPr="002D22B3">
        <w:t xml:space="preserve">For youth who have committed a violent offense, sex offense, or stalking, notice must be </w:t>
      </w:r>
      <w:r w:rsidR="00E371C3" w:rsidRPr="002D22B3">
        <w:t xml:space="preserve">sent no later than </w:t>
      </w:r>
      <w:r w:rsidR="002D22B3" w:rsidRPr="002D22B3">
        <w:t xml:space="preserve">thirty </w:t>
      </w:r>
      <w:r w:rsidR="00E371C3" w:rsidRPr="002D22B3">
        <w:t>days prior to the youth being</w:t>
      </w:r>
      <w:r w:rsidR="00EC3803" w:rsidRPr="002D22B3">
        <w:t xml:space="preserve"> transferred to a community facility</w:t>
      </w:r>
      <w:r w:rsidR="007B622F">
        <w:t>,</w:t>
      </w:r>
      <w:r w:rsidR="005C68E4">
        <w:t xml:space="preserve"> </w:t>
      </w:r>
      <w:r w:rsidR="00E371C3" w:rsidRPr="002D22B3">
        <w:t>discharged</w:t>
      </w:r>
      <w:r w:rsidR="007B622F">
        <w:t xml:space="preserve">, paroled, released or granted a leave. </w:t>
      </w:r>
      <w:r w:rsidR="00E371C3" w:rsidRPr="002D22B3">
        <w:t>The notice must be sent to</w:t>
      </w:r>
      <w:r w:rsidR="002D22B3" w:rsidRPr="002D22B3">
        <w:t xml:space="preserve"> </w:t>
      </w:r>
      <w:r>
        <w:t xml:space="preserve">law enforcement, </w:t>
      </w:r>
      <w:r w:rsidR="00E371C3" w:rsidRPr="002D22B3">
        <w:t xml:space="preserve">private and public schools in </w:t>
      </w:r>
      <w:r w:rsidR="002D22B3" w:rsidRPr="002D22B3">
        <w:t xml:space="preserve">the </w:t>
      </w:r>
      <w:r w:rsidR="00E371C3" w:rsidRPr="002D22B3">
        <w:t xml:space="preserve">district </w:t>
      </w:r>
      <w:r w:rsidR="002D22B3" w:rsidRPr="002D22B3">
        <w:t xml:space="preserve">where the </w:t>
      </w:r>
      <w:r w:rsidR="00E371C3" w:rsidRPr="002D22B3">
        <w:t xml:space="preserve">juvenile will reside, the victim of the offense </w:t>
      </w:r>
      <w:r w:rsidR="002D22B3" w:rsidRPr="002D22B3">
        <w:t>(</w:t>
      </w:r>
      <w:r w:rsidR="00E371C3" w:rsidRPr="002D22B3">
        <w:t>as appropriate</w:t>
      </w:r>
      <w:r w:rsidR="002D22B3" w:rsidRPr="002D22B3">
        <w:t xml:space="preserve">), </w:t>
      </w:r>
      <w:r w:rsidR="00E371C3" w:rsidRPr="002D22B3">
        <w:t>any witnesses who testified, and any person specified by prosecuting attorney.</w:t>
      </w:r>
      <w:r w:rsidR="00E371C3" w:rsidRPr="002D22B3">
        <w:rPr>
          <w:rStyle w:val="FootnoteReference"/>
        </w:rPr>
        <w:footnoteReference w:id="86"/>
      </w:r>
    </w:p>
    <w:p w14:paraId="5A6EE866" w14:textId="77777777" w:rsidR="00946562" w:rsidRDefault="00946562" w:rsidP="00F42D48">
      <w:pPr>
        <w:pStyle w:val="Heading2"/>
      </w:pPr>
      <w:bookmarkStart w:id="61" w:name="_Toc531597505"/>
      <w:r>
        <w:lastRenderedPageBreak/>
        <w:t>S</w:t>
      </w:r>
      <w:r w:rsidR="00101E1C">
        <w:t>t</w:t>
      </w:r>
      <w:r>
        <w:t>aff Demographics</w:t>
      </w:r>
      <w:bookmarkEnd w:id="61"/>
    </w:p>
    <w:p w14:paraId="6BD6669F" w14:textId="77777777" w:rsidR="00AC60E7" w:rsidRPr="00285A03" w:rsidRDefault="00AC60E7" w:rsidP="00AC60E7">
      <w:pPr>
        <w:pStyle w:val="RFPtext"/>
        <w:rPr>
          <w:b/>
          <w:color w:val="auto"/>
          <w:sz w:val="24"/>
        </w:rPr>
      </w:pPr>
      <w:r w:rsidRPr="00285A03">
        <w:rPr>
          <w:b/>
          <w:color w:val="auto"/>
          <w:sz w:val="24"/>
        </w:rPr>
        <w:t>J</w:t>
      </w:r>
      <w:r w:rsidR="00AE4F72">
        <w:rPr>
          <w:b/>
          <w:color w:val="auto"/>
          <w:sz w:val="24"/>
        </w:rPr>
        <w:t>uvenile Rehabilitation’s (J</w:t>
      </w:r>
      <w:r w:rsidRPr="00285A03">
        <w:rPr>
          <w:b/>
          <w:color w:val="auto"/>
          <w:sz w:val="24"/>
        </w:rPr>
        <w:t>R’s</w:t>
      </w:r>
      <w:r w:rsidR="00AE4F72">
        <w:rPr>
          <w:b/>
          <w:color w:val="auto"/>
          <w:sz w:val="24"/>
        </w:rPr>
        <w:t>)</w:t>
      </w:r>
      <w:r w:rsidRPr="00285A03">
        <w:rPr>
          <w:b/>
          <w:color w:val="auto"/>
          <w:sz w:val="24"/>
        </w:rPr>
        <w:t xml:space="preserve"> current staff demographic composition has a wide range of experience levels, generational differences, and changes occurring that present three key challenges impacting the future of its workforce and staffing planning: 1. Retaining experience</w:t>
      </w:r>
      <w:r w:rsidR="008F7F6B" w:rsidRPr="00285A03">
        <w:rPr>
          <w:b/>
          <w:color w:val="auto"/>
          <w:sz w:val="24"/>
        </w:rPr>
        <w:t>d</w:t>
      </w:r>
      <w:r w:rsidRPr="00285A03">
        <w:rPr>
          <w:b/>
          <w:color w:val="auto"/>
          <w:sz w:val="24"/>
        </w:rPr>
        <w:t xml:space="preserve"> staff and </w:t>
      </w:r>
      <w:r w:rsidR="008F7F6B" w:rsidRPr="00285A03">
        <w:rPr>
          <w:b/>
          <w:color w:val="auto"/>
          <w:sz w:val="24"/>
        </w:rPr>
        <w:t>preparing to lose</w:t>
      </w:r>
      <w:r w:rsidRPr="00285A03">
        <w:rPr>
          <w:b/>
          <w:color w:val="auto"/>
          <w:sz w:val="24"/>
        </w:rPr>
        <w:t xml:space="preserve"> knowledge</w:t>
      </w:r>
      <w:r w:rsidR="00AE4F72">
        <w:rPr>
          <w:b/>
          <w:color w:val="auto"/>
          <w:sz w:val="24"/>
        </w:rPr>
        <w:t xml:space="preserve"> of </w:t>
      </w:r>
      <w:r w:rsidR="009D0220">
        <w:rPr>
          <w:b/>
          <w:color w:val="auto"/>
          <w:sz w:val="24"/>
        </w:rPr>
        <w:t xml:space="preserve">the </w:t>
      </w:r>
      <w:r w:rsidR="008C0316">
        <w:rPr>
          <w:b/>
          <w:color w:val="auto"/>
          <w:sz w:val="24"/>
        </w:rPr>
        <w:t>Rehabilitation Model</w:t>
      </w:r>
      <w:r w:rsidRPr="00285A03">
        <w:rPr>
          <w:b/>
          <w:color w:val="auto"/>
          <w:sz w:val="24"/>
        </w:rPr>
        <w:t xml:space="preserve"> </w:t>
      </w:r>
      <w:r w:rsidR="008F7F6B" w:rsidRPr="00285A03">
        <w:rPr>
          <w:b/>
          <w:color w:val="auto"/>
          <w:sz w:val="24"/>
        </w:rPr>
        <w:t xml:space="preserve">resulting from eventual retirements </w:t>
      </w:r>
      <w:r w:rsidRPr="00285A03">
        <w:rPr>
          <w:b/>
          <w:color w:val="auto"/>
          <w:sz w:val="24"/>
        </w:rPr>
        <w:t xml:space="preserve">2. Fostering career paths, role advancements for high-performing millennial </w:t>
      </w:r>
      <w:r w:rsidR="00CA0900" w:rsidRPr="00285A03">
        <w:rPr>
          <w:b/>
          <w:color w:val="auto"/>
          <w:sz w:val="24"/>
        </w:rPr>
        <w:t>staff</w:t>
      </w:r>
      <w:r w:rsidRPr="00285A03">
        <w:rPr>
          <w:b/>
          <w:color w:val="auto"/>
          <w:sz w:val="24"/>
        </w:rPr>
        <w:t>; and 3. Attracting and hiring diverse staff who have the experience</w:t>
      </w:r>
      <w:r w:rsidR="00CA0900" w:rsidRPr="00285A03">
        <w:rPr>
          <w:b/>
          <w:color w:val="auto"/>
          <w:sz w:val="24"/>
        </w:rPr>
        <w:t>,</w:t>
      </w:r>
      <w:r w:rsidRPr="00285A03">
        <w:rPr>
          <w:b/>
          <w:color w:val="auto"/>
          <w:sz w:val="24"/>
        </w:rPr>
        <w:t xml:space="preserve"> competencies and ability to develop mentoring relationships with a diverse group of youth.</w:t>
      </w:r>
    </w:p>
    <w:p w14:paraId="1B2BCC3D" w14:textId="77777777" w:rsidR="00AC60E7" w:rsidRDefault="00946562" w:rsidP="00946562">
      <w:r w:rsidRPr="00E214F0">
        <w:t>This section describes the demographic character</w:t>
      </w:r>
      <w:r w:rsidR="000352A1" w:rsidRPr="00E214F0">
        <w:t>istics of the direct</w:t>
      </w:r>
      <w:r w:rsidR="00117154">
        <w:t xml:space="preserve"> </w:t>
      </w:r>
      <w:r w:rsidRPr="00E214F0">
        <w:t xml:space="preserve">services staff working in </w:t>
      </w:r>
      <w:r w:rsidR="009D305E" w:rsidRPr="00E214F0">
        <w:t xml:space="preserve">the </w:t>
      </w:r>
      <w:r w:rsidR="00AE4F72">
        <w:t>three</w:t>
      </w:r>
      <w:r w:rsidRPr="00E214F0">
        <w:t xml:space="preserve"> institutions and the</w:t>
      </w:r>
      <w:r w:rsidR="00AE4F72">
        <w:t xml:space="preserve"> eight</w:t>
      </w:r>
      <w:r w:rsidRPr="00E214F0">
        <w:t xml:space="preserve"> community facilities. As shown in </w:t>
      </w:r>
      <w:r w:rsidR="00AE63DD" w:rsidRPr="00E214F0">
        <w:t xml:space="preserve">Exhibit </w:t>
      </w:r>
      <w:r w:rsidR="006F7241">
        <w:t>5</w:t>
      </w:r>
      <w:r w:rsidR="00AE63DD" w:rsidRPr="00E214F0">
        <w:t>-</w:t>
      </w:r>
      <w:r w:rsidR="00513631" w:rsidRPr="00E214F0">
        <w:t>1</w:t>
      </w:r>
      <w:r w:rsidR="00513631">
        <w:t>7</w:t>
      </w:r>
      <w:r w:rsidRPr="00E214F0">
        <w:t xml:space="preserve">, staff of JR institutions and community facilities mirror the workforce across the </w:t>
      </w:r>
      <w:r w:rsidR="0097283A" w:rsidRPr="00E214F0">
        <w:t xml:space="preserve">country, with staff members of different generations, genders, races and ethnicities </w:t>
      </w:r>
      <w:r w:rsidRPr="00E214F0">
        <w:t>working side-by-side.</w:t>
      </w:r>
      <w:r>
        <w:t xml:space="preserve"> </w:t>
      </w:r>
    </w:p>
    <w:p w14:paraId="7A46F7FA" w14:textId="77777777" w:rsidR="00AC60E7" w:rsidRPr="00131649" w:rsidRDefault="00AE63DD" w:rsidP="00AC60E7">
      <w:pPr>
        <w:pStyle w:val="Caption"/>
        <w:keepNext w:val="0"/>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BA341E">
        <w:t>17</w:t>
      </w:r>
      <w:r w:rsidR="00E251C1">
        <w:t>.</w:t>
      </w:r>
      <w:r w:rsidR="00391964">
        <w:t xml:space="preserve"> </w:t>
      </w:r>
      <w:r w:rsidR="00AC60E7">
        <w:t>Staff Demographics, JR Facilities</w:t>
      </w:r>
    </w:p>
    <w:tbl>
      <w:tblPr>
        <w:tblStyle w:val="HyzerTable"/>
        <w:tblW w:w="5000" w:type="pct"/>
        <w:tblLook w:val="0420" w:firstRow="1" w:lastRow="0" w:firstColumn="0" w:lastColumn="0" w:noHBand="0" w:noVBand="1"/>
      </w:tblPr>
      <w:tblGrid>
        <w:gridCol w:w="1323"/>
        <w:gridCol w:w="767"/>
        <w:gridCol w:w="717"/>
        <w:gridCol w:w="708"/>
        <w:gridCol w:w="990"/>
        <w:gridCol w:w="706"/>
        <w:gridCol w:w="766"/>
        <w:gridCol w:w="642"/>
        <w:gridCol w:w="940"/>
        <w:gridCol w:w="751"/>
        <w:gridCol w:w="1050"/>
      </w:tblGrid>
      <w:tr w:rsidR="00AC60E7" w:rsidRPr="00CD1826" w14:paraId="34FEA451" w14:textId="77777777" w:rsidTr="00671624">
        <w:trPr>
          <w:cnfStyle w:val="100000000000" w:firstRow="1" w:lastRow="0" w:firstColumn="0" w:lastColumn="0" w:oddVBand="0" w:evenVBand="0" w:oddHBand="0" w:evenHBand="0" w:firstRowFirstColumn="0" w:firstRowLastColumn="0" w:lastRowFirstColumn="0" w:lastRowLastColumn="0"/>
          <w:tblHeader/>
        </w:trPr>
        <w:tc>
          <w:tcPr>
            <w:tcW w:w="707" w:type="pct"/>
            <w:tcBorders>
              <w:bottom w:val="single" w:sz="2" w:space="0" w:color="808080" w:themeColor="text1" w:themeTint="7F"/>
            </w:tcBorders>
            <w:vAlign w:val="bottom"/>
          </w:tcPr>
          <w:p w14:paraId="0FA43E64" w14:textId="77777777" w:rsidR="00AC60E7" w:rsidRDefault="00AC60E7" w:rsidP="00EE647E">
            <w:pPr>
              <w:pStyle w:val="tableheaderwhite"/>
            </w:pPr>
          </w:p>
        </w:tc>
        <w:tc>
          <w:tcPr>
            <w:tcW w:w="793" w:type="pct"/>
            <w:gridSpan w:val="2"/>
            <w:tcBorders>
              <w:bottom w:val="single" w:sz="2" w:space="0" w:color="808080" w:themeColor="text1" w:themeTint="7F"/>
            </w:tcBorders>
            <w:vAlign w:val="center"/>
          </w:tcPr>
          <w:p w14:paraId="2AFA2C84" w14:textId="77777777" w:rsidR="00AC60E7" w:rsidRPr="00FA536F" w:rsidRDefault="00AC60E7" w:rsidP="00EE647E">
            <w:pPr>
              <w:pStyle w:val="tableheaderwhite"/>
              <w:spacing w:before="40" w:after="40"/>
              <w:rPr>
                <w:sz w:val="22"/>
              </w:rPr>
            </w:pPr>
            <w:r w:rsidRPr="775938C6">
              <w:rPr>
                <w:sz w:val="22"/>
                <w:szCs w:val="22"/>
              </w:rPr>
              <w:t>Total</w:t>
            </w:r>
          </w:p>
        </w:tc>
        <w:tc>
          <w:tcPr>
            <w:tcW w:w="907" w:type="pct"/>
            <w:gridSpan w:val="2"/>
            <w:tcBorders>
              <w:bottom w:val="single" w:sz="2" w:space="0" w:color="808080" w:themeColor="text1" w:themeTint="7F"/>
            </w:tcBorders>
            <w:vAlign w:val="center"/>
          </w:tcPr>
          <w:p w14:paraId="5A8A818B" w14:textId="77777777" w:rsidR="00AC60E7" w:rsidRPr="00FA536F" w:rsidRDefault="00AC60E7" w:rsidP="00EE647E">
            <w:pPr>
              <w:pStyle w:val="tableheaderwhite"/>
              <w:spacing w:before="40" w:after="40"/>
              <w:rPr>
                <w:sz w:val="22"/>
              </w:rPr>
            </w:pPr>
            <w:r w:rsidRPr="775938C6">
              <w:rPr>
                <w:sz w:val="22"/>
                <w:szCs w:val="22"/>
              </w:rPr>
              <w:t>Echo Glen</w:t>
            </w:r>
          </w:p>
        </w:tc>
        <w:tc>
          <w:tcPr>
            <w:tcW w:w="786" w:type="pct"/>
            <w:gridSpan w:val="2"/>
            <w:tcBorders>
              <w:bottom w:val="single" w:sz="2" w:space="0" w:color="808080" w:themeColor="text1" w:themeTint="7F"/>
            </w:tcBorders>
            <w:vAlign w:val="center"/>
          </w:tcPr>
          <w:p w14:paraId="0E98972D" w14:textId="77777777" w:rsidR="00AC60E7" w:rsidRPr="00FA536F" w:rsidRDefault="00AC60E7" w:rsidP="00EE647E">
            <w:pPr>
              <w:pStyle w:val="tableheaderwhite"/>
              <w:spacing w:before="40" w:after="40"/>
              <w:rPr>
                <w:sz w:val="22"/>
              </w:rPr>
            </w:pPr>
            <w:r w:rsidRPr="775938C6">
              <w:rPr>
                <w:sz w:val="22"/>
                <w:szCs w:val="22"/>
              </w:rPr>
              <w:t>Green Hill</w:t>
            </w:r>
          </w:p>
        </w:tc>
        <w:tc>
          <w:tcPr>
            <w:tcW w:w="845" w:type="pct"/>
            <w:gridSpan w:val="2"/>
            <w:tcBorders>
              <w:bottom w:val="single" w:sz="2" w:space="0" w:color="808080" w:themeColor="text1" w:themeTint="7F"/>
            </w:tcBorders>
            <w:vAlign w:val="center"/>
          </w:tcPr>
          <w:p w14:paraId="0EEC5F7C" w14:textId="77777777" w:rsidR="00AC60E7" w:rsidRPr="00FA536F" w:rsidRDefault="00AC60E7" w:rsidP="00EE647E">
            <w:pPr>
              <w:pStyle w:val="tableheaderwhite"/>
              <w:spacing w:before="40" w:after="40"/>
              <w:rPr>
                <w:sz w:val="22"/>
              </w:rPr>
            </w:pPr>
            <w:r w:rsidRPr="775938C6">
              <w:rPr>
                <w:sz w:val="22"/>
                <w:szCs w:val="22"/>
              </w:rPr>
              <w:t>Naselle</w:t>
            </w:r>
          </w:p>
        </w:tc>
        <w:tc>
          <w:tcPr>
            <w:tcW w:w="962" w:type="pct"/>
            <w:gridSpan w:val="2"/>
            <w:tcBorders>
              <w:bottom w:val="single" w:sz="2" w:space="0" w:color="808080" w:themeColor="text1" w:themeTint="7F"/>
            </w:tcBorders>
            <w:vAlign w:val="center"/>
          </w:tcPr>
          <w:p w14:paraId="1D17CC20" w14:textId="77777777" w:rsidR="00AC60E7" w:rsidRPr="00FA536F" w:rsidRDefault="00AC60E7" w:rsidP="00EE647E">
            <w:pPr>
              <w:pStyle w:val="tableheaderwhite"/>
              <w:spacing w:before="40" w:after="40"/>
              <w:rPr>
                <w:sz w:val="22"/>
              </w:rPr>
            </w:pPr>
            <w:r w:rsidRPr="775938C6">
              <w:rPr>
                <w:sz w:val="22"/>
                <w:szCs w:val="22"/>
              </w:rPr>
              <w:t>Community Facilities</w:t>
            </w:r>
          </w:p>
        </w:tc>
      </w:tr>
      <w:tr w:rsidR="00AC60E7" w:rsidRPr="00CD1826" w14:paraId="3DC46EF7"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Borders>
              <w:top w:val="single" w:sz="2" w:space="0" w:color="808080" w:themeColor="text1" w:themeTint="7F"/>
            </w:tcBorders>
          </w:tcPr>
          <w:p w14:paraId="27F29636" w14:textId="77777777" w:rsidR="00AC60E7" w:rsidRPr="00E33C4C" w:rsidRDefault="00AC60E7" w:rsidP="00EE647E">
            <w:pPr>
              <w:pStyle w:val="TableText"/>
              <w:rPr>
                <w:b/>
              </w:rPr>
            </w:pPr>
          </w:p>
        </w:tc>
        <w:tc>
          <w:tcPr>
            <w:tcW w:w="410" w:type="pct"/>
            <w:tcBorders>
              <w:top w:val="single" w:sz="2" w:space="0" w:color="808080" w:themeColor="text1" w:themeTint="7F"/>
            </w:tcBorders>
          </w:tcPr>
          <w:p w14:paraId="207966D7" w14:textId="77777777" w:rsidR="00AC60E7" w:rsidRPr="001047F2" w:rsidRDefault="00AC60E7" w:rsidP="00EE647E">
            <w:pPr>
              <w:pStyle w:val="TableText"/>
              <w:jc w:val="center"/>
            </w:pPr>
            <w:r>
              <w:t>N</w:t>
            </w:r>
          </w:p>
        </w:tc>
        <w:tc>
          <w:tcPr>
            <w:tcW w:w="383" w:type="pct"/>
            <w:tcBorders>
              <w:top w:val="single" w:sz="2" w:space="0" w:color="808080" w:themeColor="text1" w:themeTint="7F"/>
            </w:tcBorders>
            <w:vAlign w:val="center"/>
          </w:tcPr>
          <w:p w14:paraId="6C6B1C0C" w14:textId="77777777" w:rsidR="00AC60E7" w:rsidRDefault="00AC60E7" w:rsidP="00EE647E">
            <w:pPr>
              <w:pStyle w:val="TableText"/>
              <w:jc w:val="center"/>
            </w:pPr>
            <w:r>
              <w:t>%</w:t>
            </w:r>
          </w:p>
        </w:tc>
        <w:tc>
          <w:tcPr>
            <w:tcW w:w="378" w:type="pct"/>
            <w:tcBorders>
              <w:top w:val="single" w:sz="2" w:space="0" w:color="808080" w:themeColor="text1" w:themeTint="7F"/>
            </w:tcBorders>
          </w:tcPr>
          <w:p w14:paraId="641FDF4F" w14:textId="77777777" w:rsidR="00AC60E7" w:rsidRPr="001047F2" w:rsidRDefault="00AC60E7" w:rsidP="00EE647E">
            <w:pPr>
              <w:pStyle w:val="TableText"/>
              <w:jc w:val="center"/>
            </w:pPr>
            <w:r>
              <w:t>N</w:t>
            </w:r>
          </w:p>
        </w:tc>
        <w:tc>
          <w:tcPr>
            <w:tcW w:w="529" w:type="pct"/>
            <w:tcBorders>
              <w:top w:val="single" w:sz="2" w:space="0" w:color="808080" w:themeColor="text1" w:themeTint="7F"/>
            </w:tcBorders>
            <w:vAlign w:val="center"/>
          </w:tcPr>
          <w:p w14:paraId="35C6C9B8" w14:textId="77777777" w:rsidR="00AC60E7" w:rsidRPr="001047F2" w:rsidRDefault="00AC60E7" w:rsidP="00EE647E">
            <w:pPr>
              <w:pStyle w:val="TableText"/>
              <w:jc w:val="center"/>
            </w:pPr>
            <w:r>
              <w:t>%</w:t>
            </w:r>
          </w:p>
        </w:tc>
        <w:tc>
          <w:tcPr>
            <w:tcW w:w="377" w:type="pct"/>
            <w:tcBorders>
              <w:top w:val="single" w:sz="2" w:space="0" w:color="808080" w:themeColor="text1" w:themeTint="7F"/>
            </w:tcBorders>
          </w:tcPr>
          <w:p w14:paraId="26356087" w14:textId="77777777" w:rsidR="00AC60E7" w:rsidRPr="001047F2" w:rsidRDefault="00AC60E7" w:rsidP="00EE647E">
            <w:pPr>
              <w:pStyle w:val="TableText"/>
              <w:jc w:val="center"/>
            </w:pPr>
            <w:r>
              <w:t>N</w:t>
            </w:r>
          </w:p>
        </w:tc>
        <w:tc>
          <w:tcPr>
            <w:tcW w:w="409" w:type="pct"/>
            <w:tcBorders>
              <w:top w:val="single" w:sz="2" w:space="0" w:color="808080" w:themeColor="text1" w:themeTint="7F"/>
            </w:tcBorders>
            <w:vAlign w:val="center"/>
          </w:tcPr>
          <w:p w14:paraId="68C4D5DC" w14:textId="77777777" w:rsidR="00AC60E7" w:rsidRPr="001047F2" w:rsidRDefault="00AC60E7" w:rsidP="00EE647E">
            <w:pPr>
              <w:pStyle w:val="TableText"/>
              <w:jc w:val="center"/>
            </w:pPr>
            <w:r>
              <w:t>%</w:t>
            </w:r>
          </w:p>
        </w:tc>
        <w:tc>
          <w:tcPr>
            <w:tcW w:w="343" w:type="pct"/>
            <w:tcBorders>
              <w:top w:val="single" w:sz="2" w:space="0" w:color="808080" w:themeColor="text1" w:themeTint="7F"/>
            </w:tcBorders>
          </w:tcPr>
          <w:p w14:paraId="624D4950" w14:textId="77777777" w:rsidR="00AC60E7" w:rsidRPr="001047F2" w:rsidRDefault="00AC60E7" w:rsidP="00EE647E">
            <w:pPr>
              <w:pStyle w:val="TableText"/>
              <w:jc w:val="center"/>
            </w:pPr>
            <w:r>
              <w:t>N</w:t>
            </w:r>
          </w:p>
        </w:tc>
        <w:tc>
          <w:tcPr>
            <w:tcW w:w="502" w:type="pct"/>
            <w:tcBorders>
              <w:top w:val="single" w:sz="2" w:space="0" w:color="808080" w:themeColor="text1" w:themeTint="7F"/>
            </w:tcBorders>
            <w:vAlign w:val="center"/>
          </w:tcPr>
          <w:p w14:paraId="4A026D96" w14:textId="77777777" w:rsidR="00AC60E7" w:rsidRPr="001047F2" w:rsidRDefault="00AC60E7" w:rsidP="00EE647E">
            <w:pPr>
              <w:pStyle w:val="TableText"/>
              <w:jc w:val="center"/>
            </w:pPr>
            <w:r>
              <w:t>%</w:t>
            </w:r>
          </w:p>
        </w:tc>
        <w:tc>
          <w:tcPr>
            <w:tcW w:w="401" w:type="pct"/>
            <w:tcBorders>
              <w:top w:val="single" w:sz="2" w:space="0" w:color="808080" w:themeColor="text1" w:themeTint="7F"/>
            </w:tcBorders>
          </w:tcPr>
          <w:p w14:paraId="5A32E011" w14:textId="77777777" w:rsidR="00AC60E7" w:rsidRDefault="00AC60E7" w:rsidP="00EE647E">
            <w:pPr>
              <w:pStyle w:val="TableText"/>
              <w:jc w:val="center"/>
            </w:pPr>
            <w:r>
              <w:t>N</w:t>
            </w:r>
          </w:p>
        </w:tc>
        <w:tc>
          <w:tcPr>
            <w:tcW w:w="561" w:type="pct"/>
            <w:tcBorders>
              <w:top w:val="single" w:sz="2" w:space="0" w:color="808080" w:themeColor="text1" w:themeTint="7F"/>
            </w:tcBorders>
            <w:vAlign w:val="center"/>
          </w:tcPr>
          <w:p w14:paraId="6CCADE70" w14:textId="77777777" w:rsidR="00AC60E7" w:rsidRDefault="00AC60E7" w:rsidP="00EE647E">
            <w:pPr>
              <w:pStyle w:val="TableText"/>
              <w:jc w:val="center"/>
            </w:pPr>
            <w:r>
              <w:t>%</w:t>
            </w:r>
          </w:p>
        </w:tc>
      </w:tr>
      <w:tr w:rsidR="009F7F6A" w:rsidRPr="00CD1826" w14:paraId="36A0EE2D" w14:textId="77777777" w:rsidTr="00671624">
        <w:tc>
          <w:tcPr>
            <w:tcW w:w="707" w:type="pct"/>
            <w:tcBorders>
              <w:top w:val="single" w:sz="2" w:space="0" w:color="808080" w:themeColor="text1" w:themeTint="7F"/>
            </w:tcBorders>
            <w:shd w:val="clear" w:color="auto" w:fill="A6A6A6" w:themeFill="background1" w:themeFillShade="A6"/>
          </w:tcPr>
          <w:p w14:paraId="33E1D25F" w14:textId="77777777" w:rsidR="00AC60E7" w:rsidRDefault="00AC60E7" w:rsidP="00EE647E">
            <w:pPr>
              <w:pStyle w:val="TableText"/>
            </w:pPr>
            <w:r w:rsidRPr="00E33C4C">
              <w:rPr>
                <w:b/>
              </w:rPr>
              <w:t>Age</w:t>
            </w:r>
            <w:r>
              <w:rPr>
                <w:b/>
              </w:rPr>
              <w:t xml:space="preserve">  </w:t>
            </w:r>
          </w:p>
        </w:tc>
        <w:tc>
          <w:tcPr>
            <w:tcW w:w="410" w:type="pct"/>
            <w:tcBorders>
              <w:top w:val="single" w:sz="2" w:space="0" w:color="808080" w:themeColor="text1" w:themeTint="7F"/>
            </w:tcBorders>
            <w:shd w:val="clear" w:color="auto" w:fill="A6A6A6" w:themeFill="background1" w:themeFillShade="A6"/>
            <w:vAlign w:val="bottom"/>
          </w:tcPr>
          <w:p w14:paraId="79505BC7" w14:textId="77777777" w:rsidR="00AC60E7" w:rsidRPr="00A82100" w:rsidRDefault="00AC60E7" w:rsidP="00EE647E">
            <w:pPr>
              <w:pStyle w:val="tabletextcenter"/>
              <w:rPr>
                <w:b/>
              </w:rPr>
            </w:pPr>
            <w:r w:rsidRPr="00A82100">
              <w:rPr>
                <w:b/>
              </w:rPr>
              <w:t>185</w:t>
            </w:r>
          </w:p>
        </w:tc>
        <w:tc>
          <w:tcPr>
            <w:tcW w:w="383" w:type="pct"/>
            <w:tcBorders>
              <w:top w:val="single" w:sz="2" w:space="0" w:color="808080" w:themeColor="text1" w:themeTint="7F"/>
            </w:tcBorders>
            <w:shd w:val="clear" w:color="auto" w:fill="A6A6A6" w:themeFill="background1" w:themeFillShade="A6"/>
            <w:vAlign w:val="bottom"/>
          </w:tcPr>
          <w:p w14:paraId="1ADDD642" w14:textId="77777777" w:rsidR="00AC60E7" w:rsidRPr="00A82100" w:rsidRDefault="00AC60E7" w:rsidP="00EE647E">
            <w:pPr>
              <w:pStyle w:val="tabletextcenter"/>
              <w:rPr>
                <w:b/>
              </w:rPr>
            </w:pPr>
            <w:r w:rsidRPr="00A82100">
              <w:rPr>
                <w:b/>
              </w:rPr>
              <w:t>100%</w:t>
            </w:r>
          </w:p>
        </w:tc>
        <w:tc>
          <w:tcPr>
            <w:tcW w:w="378" w:type="pct"/>
            <w:tcBorders>
              <w:top w:val="single" w:sz="2" w:space="0" w:color="808080" w:themeColor="text1" w:themeTint="7F"/>
            </w:tcBorders>
            <w:shd w:val="clear" w:color="auto" w:fill="A6A6A6" w:themeFill="background1" w:themeFillShade="A6"/>
            <w:vAlign w:val="bottom"/>
          </w:tcPr>
          <w:p w14:paraId="4B716A48" w14:textId="77777777" w:rsidR="00AC60E7" w:rsidRPr="00A82100" w:rsidRDefault="00AC60E7" w:rsidP="00EE647E">
            <w:pPr>
              <w:pStyle w:val="tabletextcenter"/>
              <w:rPr>
                <w:b/>
              </w:rPr>
            </w:pPr>
            <w:r w:rsidRPr="00A82100">
              <w:rPr>
                <w:b/>
              </w:rPr>
              <w:t>39</w:t>
            </w:r>
          </w:p>
        </w:tc>
        <w:tc>
          <w:tcPr>
            <w:tcW w:w="529" w:type="pct"/>
            <w:tcBorders>
              <w:top w:val="single" w:sz="2" w:space="0" w:color="808080" w:themeColor="text1" w:themeTint="7F"/>
            </w:tcBorders>
            <w:shd w:val="clear" w:color="auto" w:fill="A6A6A6" w:themeFill="background1" w:themeFillShade="A6"/>
            <w:vAlign w:val="bottom"/>
          </w:tcPr>
          <w:p w14:paraId="590730DC" w14:textId="77777777" w:rsidR="00AC60E7" w:rsidRPr="00A82100" w:rsidRDefault="00AC60E7" w:rsidP="00EE647E">
            <w:pPr>
              <w:pStyle w:val="tabletextcenter"/>
              <w:rPr>
                <w:b/>
              </w:rPr>
            </w:pPr>
            <w:r w:rsidRPr="00A82100">
              <w:rPr>
                <w:b/>
              </w:rPr>
              <w:t>100%</w:t>
            </w:r>
          </w:p>
        </w:tc>
        <w:tc>
          <w:tcPr>
            <w:tcW w:w="377" w:type="pct"/>
            <w:tcBorders>
              <w:top w:val="single" w:sz="2" w:space="0" w:color="808080" w:themeColor="text1" w:themeTint="7F"/>
            </w:tcBorders>
            <w:shd w:val="clear" w:color="auto" w:fill="A6A6A6" w:themeFill="background1" w:themeFillShade="A6"/>
            <w:vAlign w:val="bottom"/>
          </w:tcPr>
          <w:p w14:paraId="03EA468F" w14:textId="77777777" w:rsidR="00AC60E7" w:rsidRPr="00A82100" w:rsidRDefault="00AC60E7" w:rsidP="00EE647E">
            <w:pPr>
              <w:pStyle w:val="tabletextcenter"/>
              <w:rPr>
                <w:b/>
              </w:rPr>
            </w:pPr>
            <w:r w:rsidRPr="00A82100">
              <w:rPr>
                <w:b/>
              </w:rPr>
              <w:t>73</w:t>
            </w:r>
          </w:p>
        </w:tc>
        <w:tc>
          <w:tcPr>
            <w:tcW w:w="409" w:type="pct"/>
            <w:tcBorders>
              <w:top w:val="single" w:sz="2" w:space="0" w:color="808080" w:themeColor="text1" w:themeTint="7F"/>
            </w:tcBorders>
            <w:shd w:val="clear" w:color="auto" w:fill="A6A6A6" w:themeFill="background1" w:themeFillShade="A6"/>
            <w:vAlign w:val="bottom"/>
          </w:tcPr>
          <w:p w14:paraId="4DA19F3C" w14:textId="77777777" w:rsidR="00AC60E7" w:rsidRPr="00A82100" w:rsidRDefault="00AC60E7" w:rsidP="00EE647E">
            <w:pPr>
              <w:pStyle w:val="tabletextcenter"/>
              <w:rPr>
                <w:b/>
              </w:rPr>
            </w:pPr>
            <w:r w:rsidRPr="00A82100">
              <w:rPr>
                <w:b/>
              </w:rPr>
              <w:t>100%</w:t>
            </w:r>
          </w:p>
        </w:tc>
        <w:tc>
          <w:tcPr>
            <w:tcW w:w="343" w:type="pct"/>
            <w:tcBorders>
              <w:top w:val="single" w:sz="2" w:space="0" w:color="808080" w:themeColor="text1" w:themeTint="7F"/>
            </w:tcBorders>
            <w:shd w:val="clear" w:color="auto" w:fill="A6A6A6" w:themeFill="background1" w:themeFillShade="A6"/>
            <w:vAlign w:val="bottom"/>
          </w:tcPr>
          <w:p w14:paraId="4C669EFB" w14:textId="77777777" w:rsidR="00AC60E7" w:rsidRPr="00A82100" w:rsidRDefault="00AC60E7" w:rsidP="00EE647E">
            <w:pPr>
              <w:pStyle w:val="tabletextcenter"/>
              <w:rPr>
                <w:b/>
              </w:rPr>
            </w:pPr>
            <w:r w:rsidRPr="00A82100">
              <w:rPr>
                <w:b/>
              </w:rPr>
              <w:t>35</w:t>
            </w:r>
          </w:p>
        </w:tc>
        <w:tc>
          <w:tcPr>
            <w:tcW w:w="502" w:type="pct"/>
            <w:tcBorders>
              <w:top w:val="single" w:sz="2" w:space="0" w:color="808080" w:themeColor="text1" w:themeTint="7F"/>
            </w:tcBorders>
            <w:shd w:val="clear" w:color="auto" w:fill="A6A6A6" w:themeFill="background1" w:themeFillShade="A6"/>
            <w:vAlign w:val="bottom"/>
          </w:tcPr>
          <w:p w14:paraId="17EDE963" w14:textId="77777777" w:rsidR="00AC60E7" w:rsidRPr="00A82100" w:rsidRDefault="00AC60E7" w:rsidP="00EE647E">
            <w:pPr>
              <w:pStyle w:val="tabletextcenter"/>
              <w:rPr>
                <w:b/>
              </w:rPr>
            </w:pPr>
            <w:r w:rsidRPr="00A82100">
              <w:rPr>
                <w:b/>
              </w:rPr>
              <w:t>100%</w:t>
            </w:r>
          </w:p>
        </w:tc>
        <w:tc>
          <w:tcPr>
            <w:tcW w:w="401" w:type="pct"/>
            <w:tcBorders>
              <w:top w:val="single" w:sz="2" w:space="0" w:color="808080" w:themeColor="text1" w:themeTint="7F"/>
            </w:tcBorders>
            <w:shd w:val="clear" w:color="auto" w:fill="A6A6A6" w:themeFill="background1" w:themeFillShade="A6"/>
            <w:vAlign w:val="bottom"/>
          </w:tcPr>
          <w:p w14:paraId="1D1F4B84" w14:textId="77777777" w:rsidR="00AC60E7" w:rsidRPr="00A82100" w:rsidRDefault="00AC60E7" w:rsidP="00EE647E">
            <w:pPr>
              <w:pStyle w:val="tabletextcenter"/>
              <w:rPr>
                <w:b/>
              </w:rPr>
            </w:pPr>
            <w:r w:rsidRPr="00A82100">
              <w:rPr>
                <w:b/>
              </w:rPr>
              <w:t>38</w:t>
            </w:r>
          </w:p>
        </w:tc>
        <w:tc>
          <w:tcPr>
            <w:tcW w:w="561" w:type="pct"/>
            <w:tcBorders>
              <w:top w:val="single" w:sz="2" w:space="0" w:color="808080" w:themeColor="text1" w:themeTint="7F"/>
            </w:tcBorders>
            <w:shd w:val="clear" w:color="auto" w:fill="A6A6A6" w:themeFill="background1" w:themeFillShade="A6"/>
            <w:vAlign w:val="bottom"/>
          </w:tcPr>
          <w:p w14:paraId="54A0C48B" w14:textId="77777777" w:rsidR="00AC60E7" w:rsidRPr="00A82100" w:rsidRDefault="00AC60E7" w:rsidP="00EE647E">
            <w:pPr>
              <w:pStyle w:val="tabletextcenter"/>
              <w:rPr>
                <w:b/>
              </w:rPr>
            </w:pPr>
            <w:r w:rsidRPr="00A82100">
              <w:rPr>
                <w:b/>
              </w:rPr>
              <w:t>100%</w:t>
            </w:r>
          </w:p>
        </w:tc>
      </w:tr>
      <w:tr w:rsidR="00AC60E7" w:rsidRPr="00CD1826" w14:paraId="05E368C2"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Borders>
              <w:top w:val="single" w:sz="2" w:space="0" w:color="808080" w:themeColor="text1" w:themeTint="7F"/>
            </w:tcBorders>
          </w:tcPr>
          <w:p w14:paraId="56DDFA7B" w14:textId="77777777" w:rsidR="00AC60E7" w:rsidRDefault="00AC60E7" w:rsidP="00EE647E">
            <w:pPr>
              <w:pStyle w:val="TableText"/>
              <w:ind w:left="135"/>
            </w:pPr>
            <w:r>
              <w:t>21- 29</w:t>
            </w:r>
          </w:p>
        </w:tc>
        <w:tc>
          <w:tcPr>
            <w:tcW w:w="410" w:type="pct"/>
            <w:tcBorders>
              <w:top w:val="single" w:sz="2" w:space="0" w:color="808080" w:themeColor="text1" w:themeTint="7F"/>
            </w:tcBorders>
            <w:vAlign w:val="bottom"/>
          </w:tcPr>
          <w:p w14:paraId="1CDF1B20" w14:textId="77777777" w:rsidR="00AC60E7" w:rsidRPr="001047F2" w:rsidRDefault="00AC60E7" w:rsidP="00EE647E">
            <w:pPr>
              <w:pStyle w:val="tabletextcenter"/>
            </w:pPr>
            <w:r>
              <w:t>50</w:t>
            </w:r>
          </w:p>
        </w:tc>
        <w:tc>
          <w:tcPr>
            <w:tcW w:w="383" w:type="pct"/>
            <w:tcBorders>
              <w:top w:val="single" w:sz="2" w:space="0" w:color="808080" w:themeColor="text1" w:themeTint="7F"/>
            </w:tcBorders>
            <w:vAlign w:val="bottom"/>
          </w:tcPr>
          <w:p w14:paraId="36205751" w14:textId="77777777" w:rsidR="00AC60E7" w:rsidRDefault="00AC60E7" w:rsidP="00EE647E">
            <w:pPr>
              <w:pStyle w:val="tabletextcenter"/>
            </w:pPr>
            <w:r>
              <w:t>23.0%</w:t>
            </w:r>
          </w:p>
        </w:tc>
        <w:tc>
          <w:tcPr>
            <w:tcW w:w="378" w:type="pct"/>
            <w:tcBorders>
              <w:top w:val="single" w:sz="2" w:space="0" w:color="808080" w:themeColor="text1" w:themeTint="7F"/>
            </w:tcBorders>
            <w:vAlign w:val="bottom"/>
          </w:tcPr>
          <w:p w14:paraId="11C29D37" w14:textId="77777777" w:rsidR="00AC60E7" w:rsidRPr="001047F2" w:rsidRDefault="00AC60E7" w:rsidP="00EE647E">
            <w:pPr>
              <w:pStyle w:val="tabletextcenter"/>
            </w:pPr>
            <w:r>
              <w:t>10</w:t>
            </w:r>
          </w:p>
        </w:tc>
        <w:tc>
          <w:tcPr>
            <w:tcW w:w="529" w:type="pct"/>
            <w:tcBorders>
              <w:top w:val="single" w:sz="2" w:space="0" w:color="808080" w:themeColor="text1" w:themeTint="7F"/>
            </w:tcBorders>
            <w:vAlign w:val="bottom"/>
          </w:tcPr>
          <w:p w14:paraId="7215F1D6" w14:textId="77777777" w:rsidR="00AC60E7" w:rsidRPr="001047F2" w:rsidRDefault="00AC60E7" w:rsidP="00EE647E">
            <w:pPr>
              <w:pStyle w:val="tabletextcenter"/>
            </w:pPr>
            <w:r>
              <w:t>25.6%</w:t>
            </w:r>
          </w:p>
        </w:tc>
        <w:tc>
          <w:tcPr>
            <w:tcW w:w="377" w:type="pct"/>
            <w:tcBorders>
              <w:top w:val="single" w:sz="2" w:space="0" w:color="808080" w:themeColor="text1" w:themeTint="7F"/>
            </w:tcBorders>
            <w:vAlign w:val="bottom"/>
          </w:tcPr>
          <w:p w14:paraId="4EEB9B0C" w14:textId="77777777" w:rsidR="00AC60E7" w:rsidRPr="001047F2" w:rsidRDefault="00AC60E7" w:rsidP="00EE647E">
            <w:pPr>
              <w:pStyle w:val="tabletextcenter"/>
            </w:pPr>
            <w:r>
              <w:t>18</w:t>
            </w:r>
          </w:p>
        </w:tc>
        <w:tc>
          <w:tcPr>
            <w:tcW w:w="409" w:type="pct"/>
            <w:tcBorders>
              <w:top w:val="single" w:sz="2" w:space="0" w:color="808080" w:themeColor="text1" w:themeTint="7F"/>
            </w:tcBorders>
            <w:vAlign w:val="bottom"/>
          </w:tcPr>
          <w:p w14:paraId="3FA80263" w14:textId="77777777" w:rsidR="00AC60E7" w:rsidRPr="001047F2" w:rsidRDefault="00AC60E7" w:rsidP="00EE647E">
            <w:pPr>
              <w:pStyle w:val="tabletextcenter"/>
            </w:pPr>
            <w:r>
              <w:t>24.7%</w:t>
            </w:r>
          </w:p>
        </w:tc>
        <w:tc>
          <w:tcPr>
            <w:tcW w:w="343" w:type="pct"/>
            <w:tcBorders>
              <w:top w:val="single" w:sz="2" w:space="0" w:color="808080" w:themeColor="text1" w:themeTint="7F"/>
            </w:tcBorders>
            <w:vAlign w:val="bottom"/>
          </w:tcPr>
          <w:p w14:paraId="2B706070" w14:textId="77777777" w:rsidR="00AC60E7" w:rsidRPr="001047F2" w:rsidRDefault="00AC60E7" w:rsidP="00EE647E">
            <w:pPr>
              <w:pStyle w:val="tabletextcenter"/>
            </w:pPr>
            <w:r>
              <w:t>6</w:t>
            </w:r>
          </w:p>
        </w:tc>
        <w:tc>
          <w:tcPr>
            <w:tcW w:w="502" w:type="pct"/>
            <w:tcBorders>
              <w:top w:val="single" w:sz="2" w:space="0" w:color="808080" w:themeColor="text1" w:themeTint="7F"/>
            </w:tcBorders>
            <w:vAlign w:val="bottom"/>
          </w:tcPr>
          <w:p w14:paraId="113085AD" w14:textId="77777777" w:rsidR="00AC60E7" w:rsidRPr="001047F2" w:rsidRDefault="00AC60E7" w:rsidP="00EE647E">
            <w:pPr>
              <w:pStyle w:val="tabletextcenter"/>
            </w:pPr>
            <w:r>
              <w:t>17.1%</w:t>
            </w:r>
          </w:p>
        </w:tc>
        <w:tc>
          <w:tcPr>
            <w:tcW w:w="401" w:type="pct"/>
            <w:tcBorders>
              <w:top w:val="single" w:sz="2" w:space="0" w:color="808080" w:themeColor="text1" w:themeTint="7F"/>
            </w:tcBorders>
            <w:vAlign w:val="bottom"/>
          </w:tcPr>
          <w:p w14:paraId="0D850149" w14:textId="77777777" w:rsidR="00AC60E7" w:rsidRPr="00FF02D1" w:rsidRDefault="00AC60E7" w:rsidP="00EE647E">
            <w:pPr>
              <w:pStyle w:val="tabletextcenter"/>
            </w:pPr>
            <w:r>
              <w:t>16</w:t>
            </w:r>
          </w:p>
        </w:tc>
        <w:tc>
          <w:tcPr>
            <w:tcW w:w="561" w:type="pct"/>
            <w:tcBorders>
              <w:top w:val="single" w:sz="2" w:space="0" w:color="808080" w:themeColor="text1" w:themeTint="7F"/>
            </w:tcBorders>
            <w:vAlign w:val="bottom"/>
          </w:tcPr>
          <w:p w14:paraId="428F1347" w14:textId="77777777" w:rsidR="00AC60E7" w:rsidRPr="00FF02D1" w:rsidRDefault="00AC60E7" w:rsidP="00EE647E">
            <w:pPr>
              <w:pStyle w:val="tabletextcenter"/>
            </w:pPr>
            <w:r>
              <w:t>42.1%</w:t>
            </w:r>
          </w:p>
        </w:tc>
      </w:tr>
      <w:tr w:rsidR="00AC60E7" w:rsidRPr="00CD1826" w14:paraId="7CC876BA" w14:textId="77777777" w:rsidTr="00671624">
        <w:tc>
          <w:tcPr>
            <w:tcW w:w="707" w:type="pct"/>
          </w:tcPr>
          <w:p w14:paraId="0036856A" w14:textId="77777777" w:rsidR="00AC60E7" w:rsidRPr="00CD1826" w:rsidRDefault="00AC60E7" w:rsidP="00EE647E">
            <w:pPr>
              <w:pStyle w:val="TableText"/>
              <w:ind w:left="135"/>
            </w:pPr>
            <w:r>
              <w:t>30 – 39</w:t>
            </w:r>
          </w:p>
        </w:tc>
        <w:tc>
          <w:tcPr>
            <w:tcW w:w="410" w:type="pct"/>
            <w:vAlign w:val="bottom"/>
          </w:tcPr>
          <w:p w14:paraId="46A8EA0E" w14:textId="77777777" w:rsidR="00AC60E7" w:rsidRPr="001047F2" w:rsidRDefault="00AC60E7" w:rsidP="00EE647E">
            <w:pPr>
              <w:pStyle w:val="tabletextcenter"/>
            </w:pPr>
            <w:r>
              <w:t>45</w:t>
            </w:r>
          </w:p>
        </w:tc>
        <w:tc>
          <w:tcPr>
            <w:tcW w:w="383" w:type="pct"/>
            <w:vAlign w:val="bottom"/>
          </w:tcPr>
          <w:p w14:paraId="5927FDEB" w14:textId="77777777" w:rsidR="00AC60E7" w:rsidRDefault="00AC60E7" w:rsidP="00EE647E">
            <w:pPr>
              <w:pStyle w:val="tabletextcenter"/>
            </w:pPr>
            <w:r>
              <w:t>26.8%</w:t>
            </w:r>
          </w:p>
        </w:tc>
        <w:tc>
          <w:tcPr>
            <w:tcW w:w="378" w:type="pct"/>
            <w:vAlign w:val="bottom"/>
          </w:tcPr>
          <w:p w14:paraId="6E44F8A2" w14:textId="77777777" w:rsidR="00AC60E7" w:rsidRPr="001047F2" w:rsidRDefault="00AC60E7" w:rsidP="00EE647E">
            <w:pPr>
              <w:pStyle w:val="tabletextcenter"/>
            </w:pPr>
            <w:r>
              <w:t>9</w:t>
            </w:r>
          </w:p>
        </w:tc>
        <w:tc>
          <w:tcPr>
            <w:tcW w:w="529" w:type="pct"/>
            <w:vAlign w:val="bottom"/>
          </w:tcPr>
          <w:p w14:paraId="67035E01" w14:textId="77777777" w:rsidR="00AC60E7" w:rsidRPr="001047F2" w:rsidRDefault="00AC60E7" w:rsidP="00EE647E">
            <w:pPr>
              <w:pStyle w:val="tabletextcenter"/>
            </w:pPr>
            <w:r>
              <w:t>23.1%</w:t>
            </w:r>
          </w:p>
        </w:tc>
        <w:tc>
          <w:tcPr>
            <w:tcW w:w="377" w:type="pct"/>
            <w:vAlign w:val="bottom"/>
          </w:tcPr>
          <w:p w14:paraId="073A2FA6" w14:textId="77777777" w:rsidR="00AC60E7" w:rsidRPr="001047F2" w:rsidRDefault="00AC60E7" w:rsidP="00EE647E">
            <w:pPr>
              <w:pStyle w:val="tabletextcenter"/>
            </w:pPr>
            <w:r>
              <w:t>22</w:t>
            </w:r>
          </w:p>
        </w:tc>
        <w:tc>
          <w:tcPr>
            <w:tcW w:w="409" w:type="pct"/>
            <w:vAlign w:val="bottom"/>
          </w:tcPr>
          <w:p w14:paraId="5E429A44" w14:textId="77777777" w:rsidR="00AC60E7" w:rsidRPr="001047F2" w:rsidRDefault="00AC60E7" w:rsidP="00EE647E">
            <w:pPr>
              <w:pStyle w:val="tabletextcenter"/>
            </w:pPr>
            <w:r>
              <w:t>30.1%</w:t>
            </w:r>
          </w:p>
        </w:tc>
        <w:tc>
          <w:tcPr>
            <w:tcW w:w="343" w:type="pct"/>
            <w:vAlign w:val="bottom"/>
          </w:tcPr>
          <w:p w14:paraId="3C250DED" w14:textId="77777777" w:rsidR="00AC60E7" w:rsidRPr="001047F2" w:rsidRDefault="00AC60E7" w:rsidP="00EE647E">
            <w:pPr>
              <w:pStyle w:val="tabletextcenter"/>
            </w:pPr>
            <w:r>
              <w:t>10</w:t>
            </w:r>
          </w:p>
        </w:tc>
        <w:tc>
          <w:tcPr>
            <w:tcW w:w="502" w:type="pct"/>
            <w:vAlign w:val="bottom"/>
          </w:tcPr>
          <w:p w14:paraId="74941429" w14:textId="77777777" w:rsidR="00AC60E7" w:rsidRPr="001047F2" w:rsidRDefault="00AC60E7" w:rsidP="00EE647E">
            <w:pPr>
              <w:pStyle w:val="tabletextcenter"/>
            </w:pPr>
            <w:r>
              <w:t>28.6%</w:t>
            </w:r>
          </w:p>
        </w:tc>
        <w:tc>
          <w:tcPr>
            <w:tcW w:w="401" w:type="pct"/>
            <w:vAlign w:val="bottom"/>
          </w:tcPr>
          <w:p w14:paraId="6FD66BA4" w14:textId="77777777" w:rsidR="00AC60E7" w:rsidRPr="00FF02D1" w:rsidRDefault="00AC60E7" w:rsidP="00EE647E">
            <w:pPr>
              <w:pStyle w:val="tabletextcenter"/>
            </w:pPr>
            <w:r>
              <w:t>4</w:t>
            </w:r>
          </w:p>
        </w:tc>
        <w:tc>
          <w:tcPr>
            <w:tcW w:w="561" w:type="pct"/>
            <w:vAlign w:val="bottom"/>
          </w:tcPr>
          <w:p w14:paraId="0FEC716F" w14:textId="77777777" w:rsidR="00AC60E7" w:rsidRPr="00FF02D1" w:rsidRDefault="00AC60E7" w:rsidP="00EE647E">
            <w:pPr>
              <w:pStyle w:val="tabletextcenter"/>
            </w:pPr>
            <w:r>
              <w:t>10.5%</w:t>
            </w:r>
          </w:p>
        </w:tc>
      </w:tr>
      <w:tr w:rsidR="00AC60E7" w:rsidRPr="00CD1826" w14:paraId="6E625594"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317FC1BF" w14:textId="77777777" w:rsidR="00AC60E7" w:rsidRDefault="00AC60E7" w:rsidP="00EE647E">
            <w:pPr>
              <w:pStyle w:val="TableText"/>
              <w:ind w:left="135"/>
            </w:pPr>
            <w:r>
              <w:t>40 – 49</w:t>
            </w:r>
          </w:p>
        </w:tc>
        <w:tc>
          <w:tcPr>
            <w:tcW w:w="410" w:type="pct"/>
            <w:vAlign w:val="bottom"/>
          </w:tcPr>
          <w:p w14:paraId="0D387FC0" w14:textId="77777777" w:rsidR="00AC60E7" w:rsidRPr="001047F2" w:rsidRDefault="00AC60E7" w:rsidP="00EE647E">
            <w:pPr>
              <w:pStyle w:val="tabletextcenter"/>
            </w:pPr>
            <w:r>
              <w:t>45</w:t>
            </w:r>
          </w:p>
        </w:tc>
        <w:tc>
          <w:tcPr>
            <w:tcW w:w="383" w:type="pct"/>
            <w:vAlign w:val="bottom"/>
          </w:tcPr>
          <w:p w14:paraId="4B89A78A" w14:textId="77777777" w:rsidR="00AC60E7" w:rsidRDefault="00AC60E7" w:rsidP="00EE647E">
            <w:pPr>
              <w:pStyle w:val="tabletextcenter"/>
            </w:pPr>
            <w:r>
              <w:t>25.1%</w:t>
            </w:r>
          </w:p>
        </w:tc>
        <w:tc>
          <w:tcPr>
            <w:tcW w:w="378" w:type="pct"/>
            <w:vAlign w:val="bottom"/>
          </w:tcPr>
          <w:p w14:paraId="7AED3B36" w14:textId="77777777" w:rsidR="00AC60E7" w:rsidRPr="001047F2" w:rsidRDefault="00AC60E7" w:rsidP="00EE647E">
            <w:pPr>
              <w:pStyle w:val="tabletextcenter"/>
            </w:pPr>
            <w:r>
              <w:t>11</w:t>
            </w:r>
          </w:p>
        </w:tc>
        <w:tc>
          <w:tcPr>
            <w:tcW w:w="529" w:type="pct"/>
            <w:vAlign w:val="bottom"/>
          </w:tcPr>
          <w:p w14:paraId="7A057DE6" w14:textId="77777777" w:rsidR="00AC60E7" w:rsidRPr="001047F2" w:rsidRDefault="00AC60E7" w:rsidP="00EE647E">
            <w:pPr>
              <w:pStyle w:val="tabletextcenter"/>
            </w:pPr>
            <w:r>
              <w:t>28.2%</w:t>
            </w:r>
          </w:p>
        </w:tc>
        <w:tc>
          <w:tcPr>
            <w:tcW w:w="377" w:type="pct"/>
            <w:vAlign w:val="bottom"/>
          </w:tcPr>
          <w:p w14:paraId="3FBBE75A" w14:textId="77777777" w:rsidR="00AC60E7" w:rsidRPr="001047F2" w:rsidRDefault="00AC60E7" w:rsidP="00EE647E">
            <w:pPr>
              <w:pStyle w:val="tabletextcenter"/>
            </w:pPr>
            <w:r>
              <w:t>16</w:t>
            </w:r>
          </w:p>
        </w:tc>
        <w:tc>
          <w:tcPr>
            <w:tcW w:w="409" w:type="pct"/>
            <w:vAlign w:val="bottom"/>
          </w:tcPr>
          <w:p w14:paraId="26A738D8" w14:textId="77777777" w:rsidR="00AC60E7" w:rsidRPr="001047F2" w:rsidRDefault="00AC60E7" w:rsidP="00EE647E">
            <w:pPr>
              <w:pStyle w:val="tabletextcenter"/>
            </w:pPr>
            <w:r>
              <w:t>21.9%</w:t>
            </w:r>
          </w:p>
        </w:tc>
        <w:tc>
          <w:tcPr>
            <w:tcW w:w="343" w:type="pct"/>
            <w:vAlign w:val="bottom"/>
          </w:tcPr>
          <w:p w14:paraId="783C8571" w14:textId="77777777" w:rsidR="00AC60E7" w:rsidRPr="001047F2" w:rsidRDefault="00AC60E7" w:rsidP="00EE647E">
            <w:pPr>
              <w:pStyle w:val="tabletextcenter"/>
            </w:pPr>
            <w:r>
              <w:t>11</w:t>
            </w:r>
          </w:p>
        </w:tc>
        <w:tc>
          <w:tcPr>
            <w:tcW w:w="502" w:type="pct"/>
            <w:vAlign w:val="bottom"/>
          </w:tcPr>
          <w:p w14:paraId="44D82B20" w14:textId="77777777" w:rsidR="00AC60E7" w:rsidRPr="001047F2" w:rsidRDefault="00AC60E7" w:rsidP="00EE647E">
            <w:pPr>
              <w:pStyle w:val="tabletextcenter"/>
            </w:pPr>
            <w:r>
              <w:t>31.4%</w:t>
            </w:r>
          </w:p>
        </w:tc>
        <w:tc>
          <w:tcPr>
            <w:tcW w:w="401" w:type="pct"/>
            <w:vAlign w:val="bottom"/>
          </w:tcPr>
          <w:p w14:paraId="33FB33D5" w14:textId="77777777" w:rsidR="00AC60E7" w:rsidRPr="00FF02D1" w:rsidRDefault="00AC60E7" w:rsidP="00EE647E">
            <w:pPr>
              <w:pStyle w:val="tabletextcenter"/>
            </w:pPr>
            <w:r>
              <w:t>7</w:t>
            </w:r>
          </w:p>
        </w:tc>
        <w:tc>
          <w:tcPr>
            <w:tcW w:w="561" w:type="pct"/>
            <w:vAlign w:val="bottom"/>
          </w:tcPr>
          <w:p w14:paraId="4700379D" w14:textId="77777777" w:rsidR="00AC60E7" w:rsidRPr="00FF02D1" w:rsidRDefault="00AC60E7" w:rsidP="00EE647E">
            <w:pPr>
              <w:pStyle w:val="tabletextcenter"/>
            </w:pPr>
            <w:r>
              <w:t>18.4%</w:t>
            </w:r>
          </w:p>
        </w:tc>
      </w:tr>
      <w:tr w:rsidR="00AC60E7" w:rsidRPr="00CD1826" w14:paraId="03FD8708" w14:textId="77777777" w:rsidTr="00671624">
        <w:tc>
          <w:tcPr>
            <w:tcW w:w="707" w:type="pct"/>
          </w:tcPr>
          <w:p w14:paraId="4D79FCE9" w14:textId="77777777" w:rsidR="00AC60E7" w:rsidRDefault="00AC60E7" w:rsidP="00EE647E">
            <w:pPr>
              <w:pStyle w:val="TableText"/>
              <w:ind w:left="135"/>
            </w:pPr>
            <w:r>
              <w:t>50 – 59</w:t>
            </w:r>
          </w:p>
        </w:tc>
        <w:tc>
          <w:tcPr>
            <w:tcW w:w="410" w:type="pct"/>
            <w:vAlign w:val="bottom"/>
          </w:tcPr>
          <w:p w14:paraId="5BE85115" w14:textId="77777777" w:rsidR="00AC60E7" w:rsidRPr="001047F2" w:rsidRDefault="00AC60E7" w:rsidP="00EE647E">
            <w:pPr>
              <w:pStyle w:val="tabletextcenter"/>
            </w:pPr>
            <w:r>
              <w:t>31</w:t>
            </w:r>
          </w:p>
        </w:tc>
        <w:tc>
          <w:tcPr>
            <w:tcW w:w="383" w:type="pct"/>
            <w:vAlign w:val="bottom"/>
          </w:tcPr>
          <w:p w14:paraId="7A7B75AE" w14:textId="77777777" w:rsidR="00AC60E7" w:rsidRDefault="00AC60E7" w:rsidP="00EE647E">
            <w:pPr>
              <w:pStyle w:val="tabletextcenter"/>
            </w:pPr>
            <w:r>
              <w:t>17.0%</w:t>
            </w:r>
          </w:p>
        </w:tc>
        <w:tc>
          <w:tcPr>
            <w:tcW w:w="378" w:type="pct"/>
            <w:vAlign w:val="bottom"/>
          </w:tcPr>
          <w:p w14:paraId="6D5E995B" w14:textId="77777777" w:rsidR="00AC60E7" w:rsidRPr="001047F2" w:rsidRDefault="00AC60E7" w:rsidP="00EE647E">
            <w:pPr>
              <w:pStyle w:val="tabletextcenter"/>
            </w:pPr>
            <w:r>
              <w:t>7</w:t>
            </w:r>
          </w:p>
        </w:tc>
        <w:tc>
          <w:tcPr>
            <w:tcW w:w="529" w:type="pct"/>
            <w:vAlign w:val="bottom"/>
          </w:tcPr>
          <w:p w14:paraId="612E2FB8" w14:textId="77777777" w:rsidR="00AC60E7" w:rsidRPr="001047F2" w:rsidRDefault="00AC60E7" w:rsidP="00EE647E">
            <w:pPr>
              <w:pStyle w:val="tabletextcenter"/>
            </w:pPr>
            <w:r>
              <w:t>17.9%</w:t>
            </w:r>
          </w:p>
        </w:tc>
        <w:tc>
          <w:tcPr>
            <w:tcW w:w="377" w:type="pct"/>
            <w:vAlign w:val="bottom"/>
          </w:tcPr>
          <w:p w14:paraId="43E982D4" w14:textId="77777777" w:rsidR="00AC60E7" w:rsidRPr="001047F2" w:rsidRDefault="00AC60E7" w:rsidP="00EE647E">
            <w:pPr>
              <w:pStyle w:val="tabletextcenter"/>
            </w:pPr>
            <w:r>
              <w:t>11</w:t>
            </w:r>
          </w:p>
        </w:tc>
        <w:tc>
          <w:tcPr>
            <w:tcW w:w="409" w:type="pct"/>
            <w:vAlign w:val="bottom"/>
          </w:tcPr>
          <w:p w14:paraId="704CE8D0" w14:textId="77777777" w:rsidR="00AC60E7" w:rsidRPr="001047F2" w:rsidRDefault="00AC60E7" w:rsidP="00EE647E">
            <w:pPr>
              <w:pStyle w:val="tabletextcenter"/>
            </w:pPr>
            <w:r>
              <w:t>15.1%</w:t>
            </w:r>
          </w:p>
        </w:tc>
        <w:tc>
          <w:tcPr>
            <w:tcW w:w="343" w:type="pct"/>
            <w:vAlign w:val="bottom"/>
          </w:tcPr>
          <w:p w14:paraId="518C5FAF" w14:textId="77777777" w:rsidR="00AC60E7" w:rsidRPr="001047F2" w:rsidRDefault="00AC60E7" w:rsidP="00EE647E">
            <w:pPr>
              <w:pStyle w:val="tabletextcenter"/>
            </w:pPr>
            <w:r>
              <w:t>7</w:t>
            </w:r>
          </w:p>
        </w:tc>
        <w:tc>
          <w:tcPr>
            <w:tcW w:w="502" w:type="pct"/>
            <w:vAlign w:val="bottom"/>
          </w:tcPr>
          <w:p w14:paraId="113F9A9D" w14:textId="77777777" w:rsidR="00AC60E7" w:rsidRPr="001047F2" w:rsidRDefault="00AC60E7" w:rsidP="00EE647E">
            <w:pPr>
              <w:pStyle w:val="tabletextcenter"/>
            </w:pPr>
            <w:r>
              <w:t>20.0%</w:t>
            </w:r>
          </w:p>
        </w:tc>
        <w:tc>
          <w:tcPr>
            <w:tcW w:w="401" w:type="pct"/>
            <w:vAlign w:val="bottom"/>
          </w:tcPr>
          <w:p w14:paraId="501B2AF0" w14:textId="77777777" w:rsidR="00AC60E7" w:rsidRPr="00FF02D1" w:rsidRDefault="00AC60E7" w:rsidP="00EE647E">
            <w:pPr>
              <w:pStyle w:val="tabletextcenter"/>
            </w:pPr>
            <w:r>
              <w:t>6</w:t>
            </w:r>
          </w:p>
        </w:tc>
        <w:tc>
          <w:tcPr>
            <w:tcW w:w="561" w:type="pct"/>
            <w:vAlign w:val="bottom"/>
          </w:tcPr>
          <w:p w14:paraId="3D4B11FA" w14:textId="77777777" w:rsidR="00AC60E7" w:rsidRPr="00FF02D1" w:rsidRDefault="00AC60E7" w:rsidP="00EE647E">
            <w:pPr>
              <w:pStyle w:val="tabletextcenter"/>
            </w:pPr>
            <w:r>
              <w:t>15.8%</w:t>
            </w:r>
          </w:p>
        </w:tc>
      </w:tr>
      <w:tr w:rsidR="00AC60E7" w:rsidRPr="00CD1826" w14:paraId="1C045662"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3031DDE7" w14:textId="77777777" w:rsidR="00AC60E7" w:rsidRDefault="00AC60E7" w:rsidP="00EE647E">
            <w:pPr>
              <w:pStyle w:val="TableText"/>
              <w:ind w:left="135"/>
            </w:pPr>
            <w:r>
              <w:t>60+</w:t>
            </w:r>
          </w:p>
        </w:tc>
        <w:tc>
          <w:tcPr>
            <w:tcW w:w="410" w:type="pct"/>
            <w:vAlign w:val="bottom"/>
          </w:tcPr>
          <w:p w14:paraId="041AAFE7" w14:textId="77777777" w:rsidR="00AC60E7" w:rsidRPr="001047F2" w:rsidRDefault="00AC60E7" w:rsidP="00EE647E">
            <w:pPr>
              <w:pStyle w:val="tabletextcenter"/>
            </w:pPr>
            <w:r>
              <w:t>14</w:t>
            </w:r>
          </w:p>
        </w:tc>
        <w:tc>
          <w:tcPr>
            <w:tcW w:w="383" w:type="pct"/>
            <w:vAlign w:val="bottom"/>
          </w:tcPr>
          <w:p w14:paraId="0EDAE140" w14:textId="77777777" w:rsidR="00AC60E7" w:rsidRDefault="00AC60E7" w:rsidP="00EE647E">
            <w:pPr>
              <w:pStyle w:val="tabletextcenter"/>
            </w:pPr>
            <w:r>
              <w:t>8.1%</w:t>
            </w:r>
          </w:p>
        </w:tc>
        <w:tc>
          <w:tcPr>
            <w:tcW w:w="378" w:type="pct"/>
            <w:vAlign w:val="bottom"/>
          </w:tcPr>
          <w:p w14:paraId="7E000DCB" w14:textId="77777777" w:rsidR="00AC60E7" w:rsidRPr="001047F2" w:rsidRDefault="00AC60E7" w:rsidP="00EE647E">
            <w:pPr>
              <w:pStyle w:val="tabletextcenter"/>
            </w:pPr>
            <w:r>
              <w:t>2</w:t>
            </w:r>
          </w:p>
        </w:tc>
        <w:tc>
          <w:tcPr>
            <w:tcW w:w="529" w:type="pct"/>
            <w:vAlign w:val="bottom"/>
          </w:tcPr>
          <w:p w14:paraId="631E11C4" w14:textId="77777777" w:rsidR="00AC60E7" w:rsidRPr="001047F2" w:rsidRDefault="00AC60E7" w:rsidP="00EE647E">
            <w:pPr>
              <w:pStyle w:val="tabletextcenter"/>
            </w:pPr>
            <w:r>
              <w:t>5.1%</w:t>
            </w:r>
          </w:p>
        </w:tc>
        <w:tc>
          <w:tcPr>
            <w:tcW w:w="377" w:type="pct"/>
            <w:vAlign w:val="bottom"/>
          </w:tcPr>
          <w:p w14:paraId="139C7122" w14:textId="77777777" w:rsidR="00AC60E7" w:rsidRPr="001047F2" w:rsidRDefault="00AC60E7" w:rsidP="00EE647E">
            <w:pPr>
              <w:pStyle w:val="tabletextcenter"/>
            </w:pPr>
            <w:r>
              <w:t>6</w:t>
            </w:r>
          </w:p>
        </w:tc>
        <w:tc>
          <w:tcPr>
            <w:tcW w:w="409" w:type="pct"/>
            <w:vAlign w:val="bottom"/>
          </w:tcPr>
          <w:p w14:paraId="73ACF286" w14:textId="77777777" w:rsidR="00AC60E7" w:rsidRPr="001047F2" w:rsidRDefault="00AC60E7" w:rsidP="00EE647E">
            <w:pPr>
              <w:pStyle w:val="tabletextcenter"/>
            </w:pPr>
            <w:r>
              <w:t>8.2%</w:t>
            </w:r>
          </w:p>
        </w:tc>
        <w:tc>
          <w:tcPr>
            <w:tcW w:w="343" w:type="pct"/>
            <w:vAlign w:val="bottom"/>
          </w:tcPr>
          <w:p w14:paraId="4CE10254" w14:textId="77777777" w:rsidR="00AC60E7" w:rsidRPr="001047F2" w:rsidRDefault="00AC60E7" w:rsidP="00EE647E">
            <w:pPr>
              <w:pStyle w:val="tabletextcenter"/>
            </w:pPr>
            <w:r>
              <w:t>1</w:t>
            </w:r>
          </w:p>
        </w:tc>
        <w:tc>
          <w:tcPr>
            <w:tcW w:w="502" w:type="pct"/>
            <w:vAlign w:val="bottom"/>
          </w:tcPr>
          <w:p w14:paraId="6F232FE6" w14:textId="77777777" w:rsidR="00AC60E7" w:rsidRPr="001047F2" w:rsidRDefault="00AC60E7" w:rsidP="00EE647E">
            <w:pPr>
              <w:pStyle w:val="tabletextcenter"/>
            </w:pPr>
            <w:r>
              <w:t>2.9%</w:t>
            </w:r>
          </w:p>
        </w:tc>
        <w:tc>
          <w:tcPr>
            <w:tcW w:w="401" w:type="pct"/>
            <w:vAlign w:val="bottom"/>
          </w:tcPr>
          <w:p w14:paraId="33F16D29" w14:textId="77777777" w:rsidR="00AC60E7" w:rsidRPr="00FF02D1" w:rsidRDefault="00AC60E7" w:rsidP="00EE647E">
            <w:pPr>
              <w:pStyle w:val="tabletextcenter"/>
            </w:pPr>
            <w:r>
              <w:t>5</w:t>
            </w:r>
          </w:p>
        </w:tc>
        <w:tc>
          <w:tcPr>
            <w:tcW w:w="561" w:type="pct"/>
            <w:vAlign w:val="bottom"/>
          </w:tcPr>
          <w:p w14:paraId="4FF5993B" w14:textId="77777777" w:rsidR="00AC60E7" w:rsidRPr="00FF02D1" w:rsidRDefault="00AC60E7" w:rsidP="00EE647E">
            <w:pPr>
              <w:pStyle w:val="tabletextcenter"/>
            </w:pPr>
            <w:r>
              <w:t>13.2%</w:t>
            </w:r>
          </w:p>
        </w:tc>
      </w:tr>
      <w:tr w:rsidR="00AC60E7" w:rsidRPr="00CD1826" w14:paraId="1D016DAB" w14:textId="77777777" w:rsidTr="00671624">
        <w:tc>
          <w:tcPr>
            <w:tcW w:w="707" w:type="pct"/>
            <w:shd w:val="clear" w:color="auto" w:fill="A6A6A6" w:themeFill="background1" w:themeFillShade="A6"/>
          </w:tcPr>
          <w:p w14:paraId="6D72C14B" w14:textId="77777777" w:rsidR="00AC60E7" w:rsidRDefault="00AC60E7" w:rsidP="00EE647E">
            <w:pPr>
              <w:pStyle w:val="TableText"/>
            </w:pPr>
            <w:r w:rsidRPr="00E33C4C">
              <w:rPr>
                <w:b/>
              </w:rPr>
              <w:t xml:space="preserve">Gender </w:t>
            </w:r>
            <w:r>
              <w:rPr>
                <w:b/>
              </w:rPr>
              <w:t xml:space="preserve"> </w:t>
            </w:r>
          </w:p>
        </w:tc>
        <w:tc>
          <w:tcPr>
            <w:tcW w:w="410" w:type="pct"/>
            <w:shd w:val="clear" w:color="auto" w:fill="A6A6A6" w:themeFill="background1" w:themeFillShade="A6"/>
          </w:tcPr>
          <w:p w14:paraId="666E5653" w14:textId="77777777" w:rsidR="00AC60E7" w:rsidRPr="00A82100" w:rsidRDefault="00AC60E7" w:rsidP="00EE647E">
            <w:pPr>
              <w:pStyle w:val="tabletextcenter"/>
              <w:rPr>
                <w:b/>
              </w:rPr>
            </w:pPr>
            <w:r w:rsidRPr="00A82100">
              <w:rPr>
                <w:b/>
              </w:rPr>
              <w:t>193</w:t>
            </w:r>
          </w:p>
        </w:tc>
        <w:tc>
          <w:tcPr>
            <w:tcW w:w="383" w:type="pct"/>
            <w:shd w:val="clear" w:color="auto" w:fill="A6A6A6" w:themeFill="background1" w:themeFillShade="A6"/>
          </w:tcPr>
          <w:p w14:paraId="31F2A690" w14:textId="77777777" w:rsidR="00AC60E7" w:rsidRPr="00A82100" w:rsidRDefault="00AC60E7" w:rsidP="00EE647E">
            <w:pPr>
              <w:pStyle w:val="tabletextcenter"/>
              <w:rPr>
                <w:b/>
              </w:rPr>
            </w:pPr>
            <w:r w:rsidRPr="00A82100">
              <w:rPr>
                <w:b/>
              </w:rPr>
              <w:t>100%</w:t>
            </w:r>
          </w:p>
        </w:tc>
        <w:tc>
          <w:tcPr>
            <w:tcW w:w="378" w:type="pct"/>
            <w:shd w:val="clear" w:color="auto" w:fill="A6A6A6" w:themeFill="background1" w:themeFillShade="A6"/>
          </w:tcPr>
          <w:p w14:paraId="44ECB82E" w14:textId="77777777" w:rsidR="00AC60E7" w:rsidRPr="00A82100" w:rsidRDefault="00AC60E7" w:rsidP="00EE647E">
            <w:pPr>
              <w:pStyle w:val="tabletextcenter"/>
              <w:rPr>
                <w:b/>
              </w:rPr>
            </w:pPr>
            <w:r w:rsidRPr="00A82100">
              <w:rPr>
                <w:b/>
              </w:rPr>
              <w:t>41</w:t>
            </w:r>
          </w:p>
        </w:tc>
        <w:tc>
          <w:tcPr>
            <w:tcW w:w="529" w:type="pct"/>
            <w:shd w:val="clear" w:color="auto" w:fill="A6A6A6" w:themeFill="background1" w:themeFillShade="A6"/>
          </w:tcPr>
          <w:p w14:paraId="48629CB2" w14:textId="77777777" w:rsidR="00AC60E7" w:rsidRPr="00A82100" w:rsidRDefault="00AC60E7" w:rsidP="00EE647E">
            <w:pPr>
              <w:pStyle w:val="tabletextcenter"/>
              <w:rPr>
                <w:b/>
              </w:rPr>
            </w:pPr>
            <w:r w:rsidRPr="00A82100">
              <w:rPr>
                <w:b/>
              </w:rPr>
              <w:t>100%</w:t>
            </w:r>
          </w:p>
        </w:tc>
        <w:tc>
          <w:tcPr>
            <w:tcW w:w="377" w:type="pct"/>
            <w:shd w:val="clear" w:color="auto" w:fill="A6A6A6" w:themeFill="background1" w:themeFillShade="A6"/>
          </w:tcPr>
          <w:p w14:paraId="0A22264B" w14:textId="77777777" w:rsidR="00AC60E7" w:rsidRPr="00A82100" w:rsidRDefault="00AC60E7" w:rsidP="00EE647E">
            <w:pPr>
              <w:pStyle w:val="tabletextcenter"/>
              <w:rPr>
                <w:b/>
              </w:rPr>
            </w:pPr>
            <w:r w:rsidRPr="00A82100">
              <w:rPr>
                <w:b/>
              </w:rPr>
              <w:t>75</w:t>
            </w:r>
          </w:p>
        </w:tc>
        <w:tc>
          <w:tcPr>
            <w:tcW w:w="409" w:type="pct"/>
            <w:shd w:val="clear" w:color="auto" w:fill="A6A6A6" w:themeFill="background1" w:themeFillShade="A6"/>
          </w:tcPr>
          <w:p w14:paraId="5B23C59D" w14:textId="77777777" w:rsidR="00AC60E7" w:rsidRPr="00A82100" w:rsidRDefault="00AC60E7" w:rsidP="00EE647E">
            <w:pPr>
              <w:pStyle w:val="tabletextcenter"/>
              <w:rPr>
                <w:b/>
              </w:rPr>
            </w:pPr>
            <w:r w:rsidRPr="00A82100">
              <w:rPr>
                <w:b/>
              </w:rPr>
              <w:t>100%</w:t>
            </w:r>
          </w:p>
        </w:tc>
        <w:tc>
          <w:tcPr>
            <w:tcW w:w="343" w:type="pct"/>
            <w:shd w:val="clear" w:color="auto" w:fill="A6A6A6" w:themeFill="background1" w:themeFillShade="A6"/>
          </w:tcPr>
          <w:p w14:paraId="066104FC" w14:textId="77777777" w:rsidR="00AC60E7" w:rsidRPr="00A82100" w:rsidRDefault="00AC60E7" w:rsidP="00EE647E">
            <w:pPr>
              <w:pStyle w:val="tabletextcenter"/>
              <w:rPr>
                <w:b/>
              </w:rPr>
            </w:pPr>
            <w:r w:rsidRPr="00A82100">
              <w:rPr>
                <w:b/>
              </w:rPr>
              <w:t>36</w:t>
            </w:r>
          </w:p>
        </w:tc>
        <w:tc>
          <w:tcPr>
            <w:tcW w:w="502" w:type="pct"/>
            <w:shd w:val="clear" w:color="auto" w:fill="A6A6A6" w:themeFill="background1" w:themeFillShade="A6"/>
          </w:tcPr>
          <w:p w14:paraId="5308EF11" w14:textId="77777777" w:rsidR="00AC60E7" w:rsidRPr="00A82100" w:rsidRDefault="00AC60E7" w:rsidP="00EE647E">
            <w:pPr>
              <w:pStyle w:val="tabletextcenter"/>
              <w:rPr>
                <w:b/>
              </w:rPr>
            </w:pPr>
            <w:r w:rsidRPr="00A82100">
              <w:rPr>
                <w:b/>
              </w:rPr>
              <w:t>100%</w:t>
            </w:r>
          </w:p>
        </w:tc>
        <w:tc>
          <w:tcPr>
            <w:tcW w:w="401" w:type="pct"/>
            <w:shd w:val="clear" w:color="auto" w:fill="A6A6A6" w:themeFill="background1" w:themeFillShade="A6"/>
          </w:tcPr>
          <w:p w14:paraId="18C84FDF" w14:textId="77777777" w:rsidR="00AC60E7" w:rsidRPr="00A82100" w:rsidRDefault="00AC60E7" w:rsidP="00EE647E">
            <w:pPr>
              <w:pStyle w:val="tabletextcenter"/>
              <w:rPr>
                <w:b/>
              </w:rPr>
            </w:pPr>
            <w:r w:rsidRPr="00A82100">
              <w:rPr>
                <w:b/>
              </w:rPr>
              <w:t>41</w:t>
            </w:r>
          </w:p>
        </w:tc>
        <w:tc>
          <w:tcPr>
            <w:tcW w:w="561" w:type="pct"/>
            <w:shd w:val="clear" w:color="auto" w:fill="A6A6A6" w:themeFill="background1" w:themeFillShade="A6"/>
          </w:tcPr>
          <w:p w14:paraId="57ACD8AE" w14:textId="77777777" w:rsidR="00AC60E7" w:rsidRPr="00A82100" w:rsidRDefault="00AC60E7" w:rsidP="00EE647E">
            <w:pPr>
              <w:pStyle w:val="tabletextcenter"/>
              <w:rPr>
                <w:b/>
              </w:rPr>
            </w:pPr>
            <w:r w:rsidRPr="00A82100">
              <w:rPr>
                <w:b/>
              </w:rPr>
              <w:t>100%</w:t>
            </w:r>
          </w:p>
        </w:tc>
      </w:tr>
      <w:tr w:rsidR="00AC60E7" w:rsidRPr="00CD1826" w14:paraId="1C5242B0"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5AD90685" w14:textId="77777777" w:rsidR="00AC60E7" w:rsidRDefault="00AC60E7" w:rsidP="00EE647E">
            <w:pPr>
              <w:pStyle w:val="TableText"/>
              <w:ind w:left="135"/>
            </w:pPr>
            <w:r>
              <w:t>Female</w:t>
            </w:r>
          </w:p>
        </w:tc>
        <w:tc>
          <w:tcPr>
            <w:tcW w:w="410" w:type="pct"/>
            <w:vAlign w:val="bottom"/>
          </w:tcPr>
          <w:p w14:paraId="52DC0E82" w14:textId="77777777" w:rsidR="00AC60E7" w:rsidRPr="001047F2" w:rsidRDefault="00AC60E7" w:rsidP="00EE647E">
            <w:pPr>
              <w:pStyle w:val="tabletextcenter"/>
            </w:pPr>
            <w:r>
              <w:t>83</w:t>
            </w:r>
          </w:p>
        </w:tc>
        <w:tc>
          <w:tcPr>
            <w:tcW w:w="383" w:type="pct"/>
            <w:vAlign w:val="bottom"/>
          </w:tcPr>
          <w:p w14:paraId="5F25642C" w14:textId="77777777" w:rsidR="00AC60E7" w:rsidRDefault="00AC60E7" w:rsidP="00EE647E">
            <w:pPr>
              <w:pStyle w:val="tabletextcenter"/>
            </w:pPr>
            <w:r>
              <w:t>39.9%</w:t>
            </w:r>
          </w:p>
        </w:tc>
        <w:tc>
          <w:tcPr>
            <w:tcW w:w="378" w:type="pct"/>
            <w:vAlign w:val="bottom"/>
          </w:tcPr>
          <w:p w14:paraId="3880C8BF" w14:textId="77777777" w:rsidR="00AC60E7" w:rsidRPr="001047F2" w:rsidRDefault="00AC60E7" w:rsidP="00EE647E">
            <w:pPr>
              <w:pStyle w:val="tabletextcenter"/>
            </w:pPr>
            <w:r>
              <w:t>18</w:t>
            </w:r>
          </w:p>
        </w:tc>
        <w:tc>
          <w:tcPr>
            <w:tcW w:w="529" w:type="pct"/>
            <w:vAlign w:val="bottom"/>
          </w:tcPr>
          <w:p w14:paraId="3FA21C48" w14:textId="77777777" w:rsidR="00AC60E7" w:rsidRPr="001047F2" w:rsidRDefault="00AC60E7" w:rsidP="00EE647E">
            <w:pPr>
              <w:pStyle w:val="tabletextcenter"/>
            </w:pPr>
            <w:r>
              <w:t>43.9%</w:t>
            </w:r>
          </w:p>
        </w:tc>
        <w:tc>
          <w:tcPr>
            <w:tcW w:w="377" w:type="pct"/>
            <w:vAlign w:val="bottom"/>
          </w:tcPr>
          <w:p w14:paraId="4923C847" w14:textId="77777777" w:rsidR="00AC60E7" w:rsidRPr="001047F2" w:rsidRDefault="00AC60E7" w:rsidP="00EE647E">
            <w:pPr>
              <w:pStyle w:val="tabletextcenter"/>
            </w:pPr>
            <w:r>
              <w:t>27</w:t>
            </w:r>
          </w:p>
        </w:tc>
        <w:tc>
          <w:tcPr>
            <w:tcW w:w="409" w:type="pct"/>
            <w:vAlign w:val="bottom"/>
          </w:tcPr>
          <w:p w14:paraId="7CC728A0" w14:textId="77777777" w:rsidR="00AC60E7" w:rsidRPr="001047F2" w:rsidRDefault="00AC60E7" w:rsidP="00EE647E">
            <w:pPr>
              <w:pStyle w:val="tabletextcenter"/>
            </w:pPr>
            <w:r>
              <w:t>36.0%</w:t>
            </w:r>
          </w:p>
        </w:tc>
        <w:tc>
          <w:tcPr>
            <w:tcW w:w="343" w:type="pct"/>
            <w:vAlign w:val="bottom"/>
          </w:tcPr>
          <w:p w14:paraId="7F6E8459" w14:textId="77777777" w:rsidR="00AC60E7" w:rsidRPr="001047F2" w:rsidRDefault="00AC60E7" w:rsidP="00EE647E">
            <w:pPr>
              <w:pStyle w:val="tabletextcenter"/>
            </w:pPr>
            <w:r>
              <w:t>18</w:t>
            </w:r>
          </w:p>
        </w:tc>
        <w:tc>
          <w:tcPr>
            <w:tcW w:w="502" w:type="pct"/>
            <w:vAlign w:val="bottom"/>
          </w:tcPr>
          <w:p w14:paraId="4DD83ED8" w14:textId="77777777" w:rsidR="00AC60E7" w:rsidRPr="001047F2" w:rsidRDefault="00AC60E7" w:rsidP="00EE647E">
            <w:pPr>
              <w:pStyle w:val="tabletextcenter"/>
            </w:pPr>
            <w:r>
              <w:t>50.0%</w:t>
            </w:r>
          </w:p>
        </w:tc>
        <w:tc>
          <w:tcPr>
            <w:tcW w:w="401" w:type="pct"/>
            <w:vAlign w:val="bottom"/>
          </w:tcPr>
          <w:p w14:paraId="7BEFCFB0" w14:textId="77777777" w:rsidR="00AC60E7" w:rsidRPr="00FF02D1" w:rsidRDefault="00AC60E7" w:rsidP="00EE647E">
            <w:pPr>
              <w:pStyle w:val="tabletextcenter"/>
            </w:pPr>
            <w:r>
              <w:t>20</w:t>
            </w:r>
          </w:p>
        </w:tc>
        <w:tc>
          <w:tcPr>
            <w:tcW w:w="561" w:type="pct"/>
            <w:vAlign w:val="bottom"/>
          </w:tcPr>
          <w:p w14:paraId="39FF905E" w14:textId="77777777" w:rsidR="00AC60E7" w:rsidRPr="00FF02D1" w:rsidRDefault="00AC60E7" w:rsidP="00EE647E">
            <w:pPr>
              <w:pStyle w:val="tabletextcenter"/>
            </w:pPr>
            <w:r>
              <w:t>48.</w:t>
            </w:r>
            <w:r w:rsidR="00671624">
              <w:t>8</w:t>
            </w:r>
            <w:r>
              <w:t>%</w:t>
            </w:r>
          </w:p>
        </w:tc>
      </w:tr>
      <w:tr w:rsidR="00AC60E7" w:rsidRPr="00CD1826" w14:paraId="0719DC94" w14:textId="77777777" w:rsidTr="00671624">
        <w:tc>
          <w:tcPr>
            <w:tcW w:w="707" w:type="pct"/>
          </w:tcPr>
          <w:p w14:paraId="1AD519EE" w14:textId="77777777" w:rsidR="00AC60E7" w:rsidRDefault="00AC60E7" w:rsidP="00EE647E">
            <w:pPr>
              <w:pStyle w:val="TableText"/>
              <w:ind w:left="135"/>
            </w:pPr>
            <w:r>
              <w:t>Male</w:t>
            </w:r>
          </w:p>
        </w:tc>
        <w:tc>
          <w:tcPr>
            <w:tcW w:w="410" w:type="pct"/>
            <w:vAlign w:val="bottom"/>
          </w:tcPr>
          <w:p w14:paraId="7C507794" w14:textId="77777777" w:rsidR="00AC60E7" w:rsidRPr="001047F2" w:rsidRDefault="00AC60E7" w:rsidP="00EE647E">
            <w:pPr>
              <w:pStyle w:val="tabletextcenter"/>
            </w:pPr>
            <w:r>
              <w:t>107</w:t>
            </w:r>
          </w:p>
        </w:tc>
        <w:tc>
          <w:tcPr>
            <w:tcW w:w="383" w:type="pct"/>
            <w:vAlign w:val="bottom"/>
          </w:tcPr>
          <w:p w14:paraId="36086AD8" w14:textId="77777777" w:rsidR="00AC60E7" w:rsidRDefault="00AC60E7" w:rsidP="00EE647E">
            <w:pPr>
              <w:pStyle w:val="tabletextcenter"/>
            </w:pPr>
            <w:r>
              <w:t>59</w:t>
            </w:r>
            <w:r w:rsidR="00671624">
              <w:t>.9</w:t>
            </w:r>
            <w:r>
              <w:t>%</w:t>
            </w:r>
          </w:p>
        </w:tc>
        <w:tc>
          <w:tcPr>
            <w:tcW w:w="378" w:type="pct"/>
            <w:vAlign w:val="bottom"/>
          </w:tcPr>
          <w:p w14:paraId="7BF7A087" w14:textId="77777777" w:rsidR="00AC60E7" w:rsidRPr="001047F2" w:rsidRDefault="00AC60E7" w:rsidP="00EE647E">
            <w:pPr>
              <w:pStyle w:val="tabletextcenter"/>
            </w:pPr>
            <w:r>
              <w:t>23</w:t>
            </w:r>
          </w:p>
        </w:tc>
        <w:tc>
          <w:tcPr>
            <w:tcW w:w="529" w:type="pct"/>
            <w:vAlign w:val="bottom"/>
          </w:tcPr>
          <w:p w14:paraId="65D666DB" w14:textId="77777777" w:rsidR="00AC60E7" w:rsidRPr="001047F2" w:rsidRDefault="00AC60E7" w:rsidP="00EE647E">
            <w:pPr>
              <w:pStyle w:val="tabletextcenter"/>
            </w:pPr>
            <w:r>
              <w:t>56</w:t>
            </w:r>
            <w:r w:rsidR="00671624">
              <w:t>.</w:t>
            </w:r>
            <w:r>
              <w:t>1%</w:t>
            </w:r>
          </w:p>
        </w:tc>
        <w:tc>
          <w:tcPr>
            <w:tcW w:w="377" w:type="pct"/>
            <w:vAlign w:val="bottom"/>
          </w:tcPr>
          <w:p w14:paraId="6D34DDA9" w14:textId="77777777" w:rsidR="00AC60E7" w:rsidRPr="001047F2" w:rsidRDefault="00AC60E7" w:rsidP="00EE647E">
            <w:pPr>
              <w:pStyle w:val="tabletextcenter"/>
            </w:pPr>
            <w:r>
              <w:t>47</w:t>
            </w:r>
          </w:p>
        </w:tc>
        <w:tc>
          <w:tcPr>
            <w:tcW w:w="409" w:type="pct"/>
            <w:vAlign w:val="bottom"/>
          </w:tcPr>
          <w:p w14:paraId="20289123" w14:textId="77777777" w:rsidR="00AC60E7" w:rsidRPr="001047F2" w:rsidRDefault="00AC60E7" w:rsidP="00EE647E">
            <w:pPr>
              <w:pStyle w:val="tabletextcenter"/>
            </w:pPr>
            <w:r>
              <w:t>62.7%</w:t>
            </w:r>
          </w:p>
        </w:tc>
        <w:tc>
          <w:tcPr>
            <w:tcW w:w="343" w:type="pct"/>
            <w:vAlign w:val="bottom"/>
          </w:tcPr>
          <w:p w14:paraId="4F549F31" w14:textId="77777777" w:rsidR="00AC60E7" w:rsidRPr="001047F2" w:rsidRDefault="00AC60E7" w:rsidP="00EE647E">
            <w:pPr>
              <w:pStyle w:val="tabletextcenter"/>
            </w:pPr>
            <w:r>
              <w:t>18</w:t>
            </w:r>
          </w:p>
        </w:tc>
        <w:tc>
          <w:tcPr>
            <w:tcW w:w="502" w:type="pct"/>
            <w:vAlign w:val="bottom"/>
          </w:tcPr>
          <w:p w14:paraId="7C6BEC78" w14:textId="77777777" w:rsidR="00AC60E7" w:rsidRPr="001047F2" w:rsidRDefault="00AC60E7" w:rsidP="00EE647E">
            <w:pPr>
              <w:pStyle w:val="tabletextcenter"/>
            </w:pPr>
            <w:r>
              <w:t>50</w:t>
            </w:r>
            <w:r w:rsidR="00671624">
              <w:t>.0</w:t>
            </w:r>
            <w:r>
              <w:t>%</w:t>
            </w:r>
          </w:p>
        </w:tc>
        <w:tc>
          <w:tcPr>
            <w:tcW w:w="401" w:type="pct"/>
            <w:vAlign w:val="bottom"/>
          </w:tcPr>
          <w:p w14:paraId="535BB758" w14:textId="77777777" w:rsidR="00AC60E7" w:rsidRPr="00FF02D1" w:rsidRDefault="00AC60E7" w:rsidP="00EE647E">
            <w:pPr>
              <w:pStyle w:val="tabletextcenter"/>
            </w:pPr>
            <w:r>
              <w:t>19</w:t>
            </w:r>
          </w:p>
        </w:tc>
        <w:tc>
          <w:tcPr>
            <w:tcW w:w="561" w:type="pct"/>
            <w:vAlign w:val="bottom"/>
          </w:tcPr>
          <w:p w14:paraId="00959FA3" w14:textId="77777777" w:rsidR="00AC60E7" w:rsidRPr="00FF02D1" w:rsidRDefault="00AC60E7" w:rsidP="00EE647E">
            <w:pPr>
              <w:pStyle w:val="tabletextcenter"/>
            </w:pPr>
            <w:r>
              <w:t>46.3%</w:t>
            </w:r>
          </w:p>
        </w:tc>
      </w:tr>
      <w:tr w:rsidR="00AC60E7" w:rsidRPr="00CD1826" w14:paraId="30F62583"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062FBB43" w14:textId="77777777" w:rsidR="00AC60E7" w:rsidRDefault="00AC60E7" w:rsidP="00EE647E">
            <w:pPr>
              <w:pStyle w:val="TableText"/>
              <w:ind w:left="135"/>
            </w:pPr>
            <w:r>
              <w:t>Non-binary/Other</w:t>
            </w:r>
          </w:p>
        </w:tc>
        <w:tc>
          <w:tcPr>
            <w:tcW w:w="410" w:type="pct"/>
            <w:vAlign w:val="bottom"/>
          </w:tcPr>
          <w:p w14:paraId="702FBFBB" w14:textId="77777777" w:rsidR="00AC60E7" w:rsidRPr="001047F2" w:rsidRDefault="00AC60E7" w:rsidP="00EE647E">
            <w:pPr>
              <w:pStyle w:val="tabletextcenter"/>
            </w:pPr>
            <w:r>
              <w:t>3</w:t>
            </w:r>
          </w:p>
        </w:tc>
        <w:tc>
          <w:tcPr>
            <w:tcW w:w="383" w:type="pct"/>
            <w:vAlign w:val="bottom"/>
          </w:tcPr>
          <w:p w14:paraId="72DB6EF1" w14:textId="77777777" w:rsidR="00AC60E7" w:rsidRDefault="00AC60E7" w:rsidP="00EE647E">
            <w:pPr>
              <w:pStyle w:val="tabletextcenter"/>
            </w:pPr>
            <w:r>
              <w:t>1</w:t>
            </w:r>
            <w:r w:rsidR="00671624">
              <w:t>.0</w:t>
            </w:r>
            <w:r>
              <w:t>%</w:t>
            </w:r>
          </w:p>
        </w:tc>
        <w:tc>
          <w:tcPr>
            <w:tcW w:w="378" w:type="pct"/>
            <w:vAlign w:val="bottom"/>
          </w:tcPr>
          <w:p w14:paraId="673BFB79" w14:textId="77777777" w:rsidR="00AC60E7" w:rsidRPr="001047F2" w:rsidRDefault="00AC60E7" w:rsidP="00EE647E">
            <w:pPr>
              <w:pStyle w:val="tabletextcenter"/>
            </w:pPr>
            <w:r>
              <w:t>0</w:t>
            </w:r>
          </w:p>
        </w:tc>
        <w:tc>
          <w:tcPr>
            <w:tcW w:w="529" w:type="pct"/>
            <w:vAlign w:val="bottom"/>
          </w:tcPr>
          <w:p w14:paraId="032B4EC4" w14:textId="77777777" w:rsidR="00AC60E7" w:rsidRPr="001047F2" w:rsidRDefault="00AC60E7" w:rsidP="00EE647E">
            <w:pPr>
              <w:pStyle w:val="tabletextcenter"/>
            </w:pPr>
            <w:r>
              <w:t>0</w:t>
            </w:r>
            <w:r w:rsidR="00671624">
              <w:t>.0</w:t>
            </w:r>
            <w:r>
              <w:t>%</w:t>
            </w:r>
          </w:p>
        </w:tc>
        <w:tc>
          <w:tcPr>
            <w:tcW w:w="377" w:type="pct"/>
            <w:vAlign w:val="bottom"/>
          </w:tcPr>
          <w:p w14:paraId="2F7967B5" w14:textId="77777777" w:rsidR="00AC60E7" w:rsidRPr="001047F2" w:rsidRDefault="00AC60E7" w:rsidP="00EE647E">
            <w:pPr>
              <w:pStyle w:val="tabletextcenter"/>
            </w:pPr>
            <w:r>
              <w:t>1</w:t>
            </w:r>
          </w:p>
        </w:tc>
        <w:tc>
          <w:tcPr>
            <w:tcW w:w="409" w:type="pct"/>
            <w:vAlign w:val="bottom"/>
          </w:tcPr>
          <w:p w14:paraId="5F8C4E91" w14:textId="77777777" w:rsidR="00AC60E7" w:rsidRPr="001047F2" w:rsidRDefault="00AC60E7" w:rsidP="00EE647E">
            <w:pPr>
              <w:pStyle w:val="tabletextcenter"/>
            </w:pPr>
            <w:r>
              <w:t>1.3%</w:t>
            </w:r>
          </w:p>
        </w:tc>
        <w:tc>
          <w:tcPr>
            <w:tcW w:w="343" w:type="pct"/>
            <w:vAlign w:val="bottom"/>
          </w:tcPr>
          <w:p w14:paraId="24AEE9EB" w14:textId="77777777" w:rsidR="00AC60E7" w:rsidRPr="001047F2" w:rsidRDefault="00AC60E7" w:rsidP="00EE647E">
            <w:pPr>
              <w:pStyle w:val="tabletextcenter"/>
            </w:pPr>
            <w:r>
              <w:t>0</w:t>
            </w:r>
            <w:r w:rsidR="00671624">
              <w:t>.0</w:t>
            </w:r>
          </w:p>
        </w:tc>
        <w:tc>
          <w:tcPr>
            <w:tcW w:w="502" w:type="pct"/>
            <w:vAlign w:val="bottom"/>
          </w:tcPr>
          <w:p w14:paraId="65509CA8" w14:textId="77777777" w:rsidR="00AC60E7" w:rsidRPr="001047F2" w:rsidRDefault="00AC60E7" w:rsidP="00EE647E">
            <w:pPr>
              <w:pStyle w:val="tabletextcenter"/>
            </w:pPr>
            <w:r>
              <w:t>0%</w:t>
            </w:r>
          </w:p>
        </w:tc>
        <w:tc>
          <w:tcPr>
            <w:tcW w:w="401" w:type="pct"/>
            <w:vAlign w:val="bottom"/>
          </w:tcPr>
          <w:p w14:paraId="6096D363" w14:textId="77777777" w:rsidR="00AC60E7" w:rsidRPr="00FF02D1" w:rsidRDefault="00AC60E7" w:rsidP="00EE647E">
            <w:pPr>
              <w:pStyle w:val="tabletextcenter"/>
            </w:pPr>
            <w:r>
              <w:t>2</w:t>
            </w:r>
          </w:p>
        </w:tc>
        <w:tc>
          <w:tcPr>
            <w:tcW w:w="561" w:type="pct"/>
            <w:vAlign w:val="bottom"/>
          </w:tcPr>
          <w:p w14:paraId="15386E8F" w14:textId="77777777" w:rsidR="00AC60E7" w:rsidRPr="00FF02D1" w:rsidRDefault="00AC60E7" w:rsidP="00EE647E">
            <w:pPr>
              <w:pStyle w:val="tabletextcenter"/>
            </w:pPr>
            <w:r>
              <w:t>4.9%</w:t>
            </w:r>
          </w:p>
        </w:tc>
      </w:tr>
      <w:tr w:rsidR="00AC60E7" w:rsidRPr="00CD1826" w14:paraId="68775A54" w14:textId="77777777" w:rsidTr="00671624">
        <w:tc>
          <w:tcPr>
            <w:tcW w:w="707" w:type="pct"/>
            <w:shd w:val="clear" w:color="auto" w:fill="A6A6A6" w:themeFill="background1" w:themeFillShade="A6"/>
          </w:tcPr>
          <w:p w14:paraId="6E09E9F4" w14:textId="77777777" w:rsidR="00AC60E7" w:rsidRDefault="00AC60E7" w:rsidP="00EE647E">
            <w:pPr>
              <w:pStyle w:val="TableText"/>
            </w:pPr>
            <w:r w:rsidRPr="00E33C4C">
              <w:rPr>
                <w:b/>
              </w:rPr>
              <w:t xml:space="preserve">Race </w:t>
            </w:r>
          </w:p>
        </w:tc>
        <w:tc>
          <w:tcPr>
            <w:tcW w:w="410" w:type="pct"/>
            <w:shd w:val="clear" w:color="auto" w:fill="A6A6A6" w:themeFill="background1" w:themeFillShade="A6"/>
          </w:tcPr>
          <w:p w14:paraId="0D612DE7" w14:textId="77777777" w:rsidR="00AC60E7" w:rsidRPr="00A82100" w:rsidRDefault="00AC60E7" w:rsidP="00EE647E">
            <w:pPr>
              <w:pStyle w:val="tabletextcenter"/>
              <w:rPr>
                <w:b/>
              </w:rPr>
            </w:pPr>
            <w:r w:rsidRPr="00A82100">
              <w:rPr>
                <w:b/>
              </w:rPr>
              <w:t>180</w:t>
            </w:r>
          </w:p>
        </w:tc>
        <w:tc>
          <w:tcPr>
            <w:tcW w:w="383" w:type="pct"/>
            <w:shd w:val="clear" w:color="auto" w:fill="A6A6A6" w:themeFill="background1" w:themeFillShade="A6"/>
          </w:tcPr>
          <w:p w14:paraId="642ABEEC" w14:textId="77777777" w:rsidR="00AC60E7" w:rsidRPr="00A82100" w:rsidRDefault="00AC60E7" w:rsidP="00EE647E">
            <w:pPr>
              <w:pStyle w:val="tabletextcenter"/>
              <w:rPr>
                <w:rFonts w:ascii="Calibri" w:hAnsi="Calibri"/>
                <w:b/>
                <w:color w:val="000000"/>
              </w:rPr>
            </w:pPr>
            <w:r w:rsidRPr="00A82100">
              <w:rPr>
                <w:b/>
              </w:rPr>
              <w:t>100%</w:t>
            </w:r>
          </w:p>
        </w:tc>
        <w:tc>
          <w:tcPr>
            <w:tcW w:w="378" w:type="pct"/>
            <w:shd w:val="clear" w:color="auto" w:fill="A6A6A6" w:themeFill="background1" w:themeFillShade="A6"/>
          </w:tcPr>
          <w:p w14:paraId="56EB52ED" w14:textId="77777777" w:rsidR="00AC60E7" w:rsidRPr="00A82100" w:rsidRDefault="00AC60E7" w:rsidP="00EE647E">
            <w:pPr>
              <w:pStyle w:val="tabletextcenter"/>
              <w:rPr>
                <w:b/>
              </w:rPr>
            </w:pPr>
            <w:r w:rsidRPr="00A82100">
              <w:rPr>
                <w:b/>
              </w:rPr>
              <w:t>41</w:t>
            </w:r>
          </w:p>
        </w:tc>
        <w:tc>
          <w:tcPr>
            <w:tcW w:w="529" w:type="pct"/>
            <w:shd w:val="clear" w:color="auto" w:fill="A6A6A6" w:themeFill="background1" w:themeFillShade="A6"/>
          </w:tcPr>
          <w:p w14:paraId="1CD93D38" w14:textId="77777777" w:rsidR="00AC60E7" w:rsidRPr="00A82100" w:rsidRDefault="00AC60E7" w:rsidP="00EE647E">
            <w:pPr>
              <w:pStyle w:val="tabletextcenter"/>
              <w:rPr>
                <w:b/>
              </w:rPr>
            </w:pPr>
            <w:r w:rsidRPr="00A82100">
              <w:rPr>
                <w:b/>
              </w:rPr>
              <w:t>100%</w:t>
            </w:r>
          </w:p>
        </w:tc>
        <w:tc>
          <w:tcPr>
            <w:tcW w:w="377" w:type="pct"/>
            <w:shd w:val="clear" w:color="auto" w:fill="A6A6A6" w:themeFill="background1" w:themeFillShade="A6"/>
          </w:tcPr>
          <w:p w14:paraId="550E4F21" w14:textId="77777777" w:rsidR="00AC60E7" w:rsidRPr="00A82100" w:rsidRDefault="00AC60E7" w:rsidP="00EE647E">
            <w:pPr>
              <w:pStyle w:val="tabletextcenter"/>
              <w:rPr>
                <w:b/>
              </w:rPr>
            </w:pPr>
            <w:r w:rsidRPr="00A82100">
              <w:rPr>
                <w:b/>
              </w:rPr>
              <w:t>72</w:t>
            </w:r>
          </w:p>
        </w:tc>
        <w:tc>
          <w:tcPr>
            <w:tcW w:w="409" w:type="pct"/>
            <w:shd w:val="clear" w:color="auto" w:fill="A6A6A6" w:themeFill="background1" w:themeFillShade="A6"/>
          </w:tcPr>
          <w:p w14:paraId="20FE9143" w14:textId="77777777" w:rsidR="00AC60E7" w:rsidRPr="00A82100" w:rsidRDefault="00AC60E7" w:rsidP="00EE647E">
            <w:pPr>
              <w:pStyle w:val="tabletextcenter"/>
              <w:rPr>
                <w:b/>
              </w:rPr>
            </w:pPr>
            <w:r w:rsidRPr="00A82100">
              <w:rPr>
                <w:b/>
              </w:rPr>
              <w:t>100%</w:t>
            </w:r>
          </w:p>
        </w:tc>
        <w:tc>
          <w:tcPr>
            <w:tcW w:w="343" w:type="pct"/>
            <w:shd w:val="clear" w:color="auto" w:fill="A6A6A6" w:themeFill="background1" w:themeFillShade="A6"/>
          </w:tcPr>
          <w:p w14:paraId="61177CDF" w14:textId="77777777" w:rsidR="00AC60E7" w:rsidRPr="00A82100" w:rsidRDefault="00AC60E7" w:rsidP="00EE647E">
            <w:pPr>
              <w:pStyle w:val="tabletextcenter"/>
              <w:rPr>
                <w:b/>
              </w:rPr>
            </w:pPr>
            <w:r w:rsidRPr="00A82100">
              <w:rPr>
                <w:b/>
              </w:rPr>
              <w:t>35</w:t>
            </w:r>
          </w:p>
        </w:tc>
        <w:tc>
          <w:tcPr>
            <w:tcW w:w="502" w:type="pct"/>
            <w:shd w:val="clear" w:color="auto" w:fill="A6A6A6" w:themeFill="background1" w:themeFillShade="A6"/>
          </w:tcPr>
          <w:p w14:paraId="5D1E666E" w14:textId="77777777" w:rsidR="00AC60E7" w:rsidRPr="00A82100" w:rsidRDefault="00AC60E7" w:rsidP="00EE647E">
            <w:pPr>
              <w:pStyle w:val="tabletextcenter"/>
              <w:rPr>
                <w:b/>
              </w:rPr>
            </w:pPr>
            <w:r w:rsidRPr="00A82100">
              <w:rPr>
                <w:b/>
              </w:rPr>
              <w:t>100%</w:t>
            </w:r>
          </w:p>
        </w:tc>
        <w:tc>
          <w:tcPr>
            <w:tcW w:w="401" w:type="pct"/>
            <w:shd w:val="clear" w:color="auto" w:fill="A6A6A6" w:themeFill="background1" w:themeFillShade="A6"/>
          </w:tcPr>
          <w:p w14:paraId="724C679E" w14:textId="77777777" w:rsidR="00AC60E7" w:rsidRPr="00A82100" w:rsidRDefault="00AC60E7" w:rsidP="00EE647E">
            <w:pPr>
              <w:pStyle w:val="tabletextcenter"/>
              <w:rPr>
                <w:b/>
              </w:rPr>
            </w:pPr>
            <w:r w:rsidRPr="00A82100">
              <w:rPr>
                <w:b/>
              </w:rPr>
              <w:t>33</w:t>
            </w:r>
          </w:p>
        </w:tc>
        <w:tc>
          <w:tcPr>
            <w:tcW w:w="561" w:type="pct"/>
            <w:shd w:val="clear" w:color="auto" w:fill="A6A6A6" w:themeFill="background1" w:themeFillShade="A6"/>
          </w:tcPr>
          <w:p w14:paraId="78301A8C" w14:textId="77777777" w:rsidR="00AC60E7" w:rsidRPr="00A82100" w:rsidRDefault="00AC60E7" w:rsidP="00EE647E">
            <w:pPr>
              <w:pStyle w:val="tabletextcenter"/>
              <w:rPr>
                <w:b/>
              </w:rPr>
            </w:pPr>
            <w:r w:rsidRPr="00A82100">
              <w:rPr>
                <w:b/>
              </w:rPr>
              <w:t>100%</w:t>
            </w:r>
          </w:p>
        </w:tc>
      </w:tr>
      <w:tr w:rsidR="00AC60E7" w:rsidRPr="00CD1826" w14:paraId="0F49FB0E"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45D130E4" w14:textId="77777777" w:rsidR="00AC60E7" w:rsidRDefault="00AC60E7" w:rsidP="00EE647E">
            <w:pPr>
              <w:pStyle w:val="TableText"/>
              <w:ind w:left="135"/>
            </w:pPr>
            <w:r>
              <w:t>Asian</w:t>
            </w:r>
          </w:p>
        </w:tc>
        <w:tc>
          <w:tcPr>
            <w:tcW w:w="410" w:type="pct"/>
            <w:vAlign w:val="bottom"/>
          </w:tcPr>
          <w:p w14:paraId="054D75A5" w14:textId="77777777" w:rsidR="00AC60E7" w:rsidRPr="001047F2" w:rsidRDefault="00AC60E7" w:rsidP="00EE647E">
            <w:pPr>
              <w:pStyle w:val="tabletextcenter"/>
            </w:pPr>
            <w:r>
              <w:t>1</w:t>
            </w:r>
          </w:p>
        </w:tc>
        <w:tc>
          <w:tcPr>
            <w:tcW w:w="383" w:type="pct"/>
            <w:vAlign w:val="bottom"/>
          </w:tcPr>
          <w:p w14:paraId="07A6F41E" w14:textId="77777777" w:rsidR="00AC60E7" w:rsidRDefault="00AC60E7" w:rsidP="00EE647E">
            <w:pPr>
              <w:pStyle w:val="tabletextcenter"/>
            </w:pPr>
            <w:r>
              <w:t>0.4%</w:t>
            </w:r>
          </w:p>
        </w:tc>
        <w:tc>
          <w:tcPr>
            <w:tcW w:w="378" w:type="pct"/>
            <w:vAlign w:val="bottom"/>
          </w:tcPr>
          <w:p w14:paraId="2AEFC6B7" w14:textId="77777777" w:rsidR="00AC60E7" w:rsidRPr="001047F2" w:rsidRDefault="00AC60E7" w:rsidP="00EE647E">
            <w:pPr>
              <w:pStyle w:val="tabletextcenter"/>
            </w:pPr>
            <w:r>
              <w:t>0</w:t>
            </w:r>
          </w:p>
        </w:tc>
        <w:tc>
          <w:tcPr>
            <w:tcW w:w="529" w:type="pct"/>
            <w:vAlign w:val="bottom"/>
          </w:tcPr>
          <w:p w14:paraId="4BA72D93" w14:textId="77777777" w:rsidR="00AC60E7" w:rsidRPr="001047F2" w:rsidRDefault="00AC60E7" w:rsidP="00EE647E">
            <w:pPr>
              <w:pStyle w:val="tabletextcenter"/>
            </w:pPr>
            <w:r>
              <w:t>0.0%</w:t>
            </w:r>
          </w:p>
        </w:tc>
        <w:tc>
          <w:tcPr>
            <w:tcW w:w="377" w:type="pct"/>
            <w:vAlign w:val="bottom"/>
          </w:tcPr>
          <w:p w14:paraId="678C4B19" w14:textId="77777777" w:rsidR="00AC60E7" w:rsidRPr="001047F2" w:rsidRDefault="00AC60E7" w:rsidP="00EE647E">
            <w:pPr>
              <w:pStyle w:val="tabletextcenter"/>
            </w:pPr>
            <w:r>
              <w:t>1</w:t>
            </w:r>
          </w:p>
        </w:tc>
        <w:tc>
          <w:tcPr>
            <w:tcW w:w="409" w:type="pct"/>
            <w:vAlign w:val="bottom"/>
          </w:tcPr>
          <w:p w14:paraId="0C29F11A" w14:textId="77777777" w:rsidR="00AC60E7" w:rsidRPr="001047F2" w:rsidRDefault="00AC60E7" w:rsidP="00EE647E">
            <w:pPr>
              <w:pStyle w:val="tabletextcenter"/>
            </w:pPr>
            <w:r>
              <w:t>1.4%</w:t>
            </w:r>
          </w:p>
        </w:tc>
        <w:tc>
          <w:tcPr>
            <w:tcW w:w="343" w:type="pct"/>
            <w:vAlign w:val="bottom"/>
          </w:tcPr>
          <w:p w14:paraId="40131EF4" w14:textId="77777777" w:rsidR="00AC60E7" w:rsidRPr="001047F2" w:rsidRDefault="00AC60E7" w:rsidP="00EE647E">
            <w:pPr>
              <w:pStyle w:val="tabletextcenter"/>
            </w:pPr>
            <w:r>
              <w:t>0</w:t>
            </w:r>
          </w:p>
        </w:tc>
        <w:tc>
          <w:tcPr>
            <w:tcW w:w="502" w:type="pct"/>
            <w:vAlign w:val="bottom"/>
          </w:tcPr>
          <w:p w14:paraId="38974C6F" w14:textId="77777777" w:rsidR="00AC60E7" w:rsidRPr="001047F2" w:rsidRDefault="00AC60E7" w:rsidP="00EE647E">
            <w:pPr>
              <w:pStyle w:val="tabletextcenter"/>
            </w:pPr>
            <w:r>
              <w:t>0.0%</w:t>
            </w:r>
          </w:p>
        </w:tc>
        <w:tc>
          <w:tcPr>
            <w:tcW w:w="401" w:type="pct"/>
            <w:vAlign w:val="bottom"/>
          </w:tcPr>
          <w:p w14:paraId="1F5C1757" w14:textId="77777777" w:rsidR="00AC60E7" w:rsidRPr="00FF02D1" w:rsidRDefault="00AC60E7" w:rsidP="00EE647E">
            <w:pPr>
              <w:pStyle w:val="tabletextcenter"/>
            </w:pPr>
            <w:r>
              <w:t>0</w:t>
            </w:r>
          </w:p>
        </w:tc>
        <w:tc>
          <w:tcPr>
            <w:tcW w:w="561" w:type="pct"/>
            <w:vAlign w:val="bottom"/>
          </w:tcPr>
          <w:p w14:paraId="2AF8365B" w14:textId="77777777" w:rsidR="00AC60E7" w:rsidRPr="00FF02D1" w:rsidRDefault="00AC60E7" w:rsidP="00EE647E">
            <w:pPr>
              <w:pStyle w:val="tabletextcenter"/>
            </w:pPr>
            <w:r>
              <w:t>0.0%</w:t>
            </w:r>
          </w:p>
        </w:tc>
      </w:tr>
      <w:tr w:rsidR="00AC60E7" w:rsidRPr="00CD1826" w14:paraId="7CD06783" w14:textId="77777777" w:rsidTr="00671624">
        <w:tc>
          <w:tcPr>
            <w:tcW w:w="707" w:type="pct"/>
          </w:tcPr>
          <w:p w14:paraId="24311231" w14:textId="77777777" w:rsidR="00AC60E7" w:rsidRDefault="00AC60E7" w:rsidP="00EE647E">
            <w:pPr>
              <w:pStyle w:val="TableText"/>
              <w:ind w:left="135"/>
            </w:pPr>
            <w:r>
              <w:t>Black or African Am.</w:t>
            </w:r>
          </w:p>
        </w:tc>
        <w:tc>
          <w:tcPr>
            <w:tcW w:w="410" w:type="pct"/>
            <w:vAlign w:val="bottom"/>
          </w:tcPr>
          <w:p w14:paraId="0993ADEE" w14:textId="77777777" w:rsidR="00AC60E7" w:rsidRPr="001047F2" w:rsidRDefault="00AC60E7" w:rsidP="00EE647E">
            <w:pPr>
              <w:pStyle w:val="tabletextcenter"/>
            </w:pPr>
            <w:r>
              <w:t>15</w:t>
            </w:r>
          </w:p>
        </w:tc>
        <w:tc>
          <w:tcPr>
            <w:tcW w:w="383" w:type="pct"/>
            <w:vAlign w:val="bottom"/>
          </w:tcPr>
          <w:p w14:paraId="01844BEC" w14:textId="77777777" w:rsidR="00AC60E7" w:rsidRDefault="00AC60E7" w:rsidP="00EE647E">
            <w:pPr>
              <w:pStyle w:val="tabletextcenter"/>
            </w:pPr>
            <w:r>
              <w:t>12.3%</w:t>
            </w:r>
          </w:p>
        </w:tc>
        <w:tc>
          <w:tcPr>
            <w:tcW w:w="378" w:type="pct"/>
            <w:vAlign w:val="bottom"/>
          </w:tcPr>
          <w:p w14:paraId="4B6142A6" w14:textId="77777777" w:rsidR="00AC60E7" w:rsidRPr="001047F2" w:rsidRDefault="00AC60E7" w:rsidP="00EE647E">
            <w:pPr>
              <w:pStyle w:val="tabletextcenter"/>
            </w:pPr>
            <w:r>
              <w:t>6</w:t>
            </w:r>
          </w:p>
        </w:tc>
        <w:tc>
          <w:tcPr>
            <w:tcW w:w="529" w:type="pct"/>
            <w:vAlign w:val="bottom"/>
          </w:tcPr>
          <w:p w14:paraId="6D46B0B2" w14:textId="77777777" w:rsidR="00AC60E7" w:rsidRPr="001047F2" w:rsidRDefault="00AC60E7" w:rsidP="00EE647E">
            <w:pPr>
              <w:pStyle w:val="tabletextcenter"/>
            </w:pPr>
            <w:r>
              <w:t>15.0%</w:t>
            </w:r>
          </w:p>
        </w:tc>
        <w:tc>
          <w:tcPr>
            <w:tcW w:w="377" w:type="pct"/>
            <w:vAlign w:val="bottom"/>
          </w:tcPr>
          <w:p w14:paraId="4BF59287" w14:textId="77777777" w:rsidR="00AC60E7" w:rsidRPr="001047F2" w:rsidRDefault="00AC60E7" w:rsidP="00EE647E">
            <w:pPr>
              <w:pStyle w:val="tabletextcenter"/>
            </w:pPr>
            <w:r>
              <w:t>3</w:t>
            </w:r>
          </w:p>
        </w:tc>
        <w:tc>
          <w:tcPr>
            <w:tcW w:w="409" w:type="pct"/>
            <w:vAlign w:val="bottom"/>
          </w:tcPr>
          <w:p w14:paraId="2703143E" w14:textId="77777777" w:rsidR="00AC60E7" w:rsidRPr="001047F2" w:rsidRDefault="00AC60E7" w:rsidP="00EE647E">
            <w:pPr>
              <w:pStyle w:val="tabletextcenter"/>
            </w:pPr>
            <w:r>
              <w:t>4.2%</w:t>
            </w:r>
          </w:p>
        </w:tc>
        <w:tc>
          <w:tcPr>
            <w:tcW w:w="343" w:type="pct"/>
            <w:vAlign w:val="bottom"/>
          </w:tcPr>
          <w:p w14:paraId="3C2C6823" w14:textId="77777777" w:rsidR="00AC60E7" w:rsidRPr="001047F2" w:rsidRDefault="00AC60E7" w:rsidP="00EE647E">
            <w:pPr>
              <w:pStyle w:val="tabletextcenter"/>
            </w:pPr>
            <w:r>
              <w:t>2</w:t>
            </w:r>
          </w:p>
        </w:tc>
        <w:tc>
          <w:tcPr>
            <w:tcW w:w="502" w:type="pct"/>
            <w:vAlign w:val="bottom"/>
          </w:tcPr>
          <w:p w14:paraId="0EA3E9D9" w14:textId="77777777" w:rsidR="00AC60E7" w:rsidRPr="001047F2" w:rsidRDefault="00AC60E7" w:rsidP="00EE647E">
            <w:pPr>
              <w:pStyle w:val="tabletextcenter"/>
            </w:pPr>
            <w:r>
              <w:t>5.7%</w:t>
            </w:r>
          </w:p>
        </w:tc>
        <w:tc>
          <w:tcPr>
            <w:tcW w:w="401" w:type="pct"/>
            <w:vAlign w:val="bottom"/>
          </w:tcPr>
          <w:p w14:paraId="414EE939" w14:textId="77777777" w:rsidR="00AC60E7" w:rsidRPr="00FF02D1" w:rsidRDefault="00AC60E7" w:rsidP="00EE647E">
            <w:pPr>
              <w:pStyle w:val="tabletextcenter"/>
            </w:pPr>
            <w:r>
              <w:t>4</w:t>
            </w:r>
          </w:p>
        </w:tc>
        <w:tc>
          <w:tcPr>
            <w:tcW w:w="561" w:type="pct"/>
            <w:vAlign w:val="bottom"/>
          </w:tcPr>
          <w:p w14:paraId="0B55FCD0" w14:textId="77777777" w:rsidR="00AC60E7" w:rsidRPr="00FF02D1" w:rsidRDefault="00AC60E7" w:rsidP="00EE647E">
            <w:pPr>
              <w:pStyle w:val="tabletextcenter"/>
            </w:pPr>
            <w:r>
              <w:t>12.1%</w:t>
            </w:r>
          </w:p>
        </w:tc>
      </w:tr>
      <w:tr w:rsidR="00AC60E7" w:rsidRPr="00CD1826" w14:paraId="33CB5237"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62201662" w14:textId="77777777" w:rsidR="00AC60E7" w:rsidRDefault="00AC60E7" w:rsidP="00EE647E">
            <w:pPr>
              <w:pStyle w:val="TableText"/>
              <w:ind w:left="135"/>
            </w:pPr>
            <w:r>
              <w:t>Native Hawaiian or other Pacific Islander</w:t>
            </w:r>
          </w:p>
        </w:tc>
        <w:tc>
          <w:tcPr>
            <w:tcW w:w="410" w:type="pct"/>
            <w:vAlign w:val="bottom"/>
          </w:tcPr>
          <w:p w14:paraId="040788F1" w14:textId="77777777" w:rsidR="00AC60E7" w:rsidRPr="001047F2" w:rsidRDefault="00AC60E7" w:rsidP="00EE647E">
            <w:pPr>
              <w:pStyle w:val="tabletextcenter"/>
            </w:pPr>
            <w:r>
              <w:t>1</w:t>
            </w:r>
          </w:p>
        </w:tc>
        <w:tc>
          <w:tcPr>
            <w:tcW w:w="383" w:type="pct"/>
            <w:vAlign w:val="bottom"/>
          </w:tcPr>
          <w:p w14:paraId="301D4923" w14:textId="77777777" w:rsidR="00AC60E7" w:rsidRDefault="00AC60E7" w:rsidP="00EE647E">
            <w:pPr>
              <w:pStyle w:val="tabletextcenter"/>
            </w:pPr>
            <w:r>
              <w:t>1.8%</w:t>
            </w:r>
          </w:p>
        </w:tc>
        <w:tc>
          <w:tcPr>
            <w:tcW w:w="378" w:type="pct"/>
            <w:vAlign w:val="bottom"/>
          </w:tcPr>
          <w:p w14:paraId="6E8B9768" w14:textId="77777777" w:rsidR="00AC60E7" w:rsidRPr="001047F2" w:rsidRDefault="00AC60E7" w:rsidP="00EE647E">
            <w:pPr>
              <w:pStyle w:val="tabletextcenter"/>
            </w:pPr>
            <w:r>
              <w:t>0</w:t>
            </w:r>
          </w:p>
        </w:tc>
        <w:tc>
          <w:tcPr>
            <w:tcW w:w="529" w:type="pct"/>
            <w:vAlign w:val="bottom"/>
          </w:tcPr>
          <w:p w14:paraId="7C3C6CDC" w14:textId="77777777" w:rsidR="00AC60E7" w:rsidRPr="001047F2" w:rsidRDefault="00AC60E7" w:rsidP="00EE647E">
            <w:pPr>
              <w:pStyle w:val="tabletextcenter"/>
            </w:pPr>
            <w:r>
              <w:t>0.0%</w:t>
            </w:r>
          </w:p>
        </w:tc>
        <w:tc>
          <w:tcPr>
            <w:tcW w:w="377" w:type="pct"/>
            <w:vAlign w:val="bottom"/>
          </w:tcPr>
          <w:p w14:paraId="35292C55" w14:textId="77777777" w:rsidR="00AC60E7" w:rsidRPr="001047F2" w:rsidRDefault="00AC60E7" w:rsidP="00EE647E">
            <w:pPr>
              <w:pStyle w:val="tabletextcenter"/>
            </w:pPr>
            <w:r>
              <w:t>0</w:t>
            </w:r>
          </w:p>
        </w:tc>
        <w:tc>
          <w:tcPr>
            <w:tcW w:w="409" w:type="pct"/>
            <w:vAlign w:val="bottom"/>
          </w:tcPr>
          <w:p w14:paraId="07968ED3" w14:textId="77777777" w:rsidR="00AC60E7" w:rsidRPr="001047F2" w:rsidRDefault="00AC60E7" w:rsidP="00EE647E">
            <w:pPr>
              <w:pStyle w:val="tabletextcenter"/>
            </w:pPr>
            <w:r>
              <w:t>0.0%</w:t>
            </w:r>
          </w:p>
        </w:tc>
        <w:tc>
          <w:tcPr>
            <w:tcW w:w="343" w:type="pct"/>
            <w:vAlign w:val="bottom"/>
          </w:tcPr>
          <w:p w14:paraId="35F1F53E" w14:textId="77777777" w:rsidR="00AC60E7" w:rsidRPr="001047F2" w:rsidRDefault="00AC60E7" w:rsidP="00EE647E">
            <w:pPr>
              <w:pStyle w:val="tabletextcenter"/>
            </w:pPr>
            <w:r>
              <w:t>0</w:t>
            </w:r>
          </w:p>
        </w:tc>
        <w:tc>
          <w:tcPr>
            <w:tcW w:w="502" w:type="pct"/>
            <w:vAlign w:val="bottom"/>
          </w:tcPr>
          <w:p w14:paraId="1E5A1508" w14:textId="77777777" w:rsidR="00AC60E7" w:rsidRPr="001047F2" w:rsidRDefault="00AC60E7" w:rsidP="00EE647E">
            <w:pPr>
              <w:pStyle w:val="tabletextcenter"/>
            </w:pPr>
            <w:r>
              <w:t>0.0%</w:t>
            </w:r>
          </w:p>
        </w:tc>
        <w:tc>
          <w:tcPr>
            <w:tcW w:w="401" w:type="pct"/>
            <w:vAlign w:val="bottom"/>
          </w:tcPr>
          <w:p w14:paraId="00E58EA7" w14:textId="77777777" w:rsidR="00AC60E7" w:rsidRPr="00FF02D1" w:rsidRDefault="00AC60E7" w:rsidP="00EE647E">
            <w:pPr>
              <w:pStyle w:val="tabletextcenter"/>
            </w:pPr>
            <w:r>
              <w:t>1</w:t>
            </w:r>
          </w:p>
        </w:tc>
        <w:tc>
          <w:tcPr>
            <w:tcW w:w="561" w:type="pct"/>
            <w:vAlign w:val="bottom"/>
          </w:tcPr>
          <w:p w14:paraId="019E5FBC" w14:textId="77777777" w:rsidR="00AC60E7" w:rsidRPr="00FF02D1" w:rsidRDefault="00AC60E7" w:rsidP="00EE647E">
            <w:pPr>
              <w:pStyle w:val="tabletextcenter"/>
            </w:pPr>
            <w:r>
              <w:t>3.0%</w:t>
            </w:r>
          </w:p>
        </w:tc>
      </w:tr>
      <w:tr w:rsidR="00AC60E7" w:rsidRPr="00CD1826" w14:paraId="78AD2232" w14:textId="77777777" w:rsidTr="00671624">
        <w:tc>
          <w:tcPr>
            <w:tcW w:w="707" w:type="pct"/>
          </w:tcPr>
          <w:p w14:paraId="1A1DDFAF" w14:textId="77777777" w:rsidR="00AC60E7" w:rsidRDefault="00AC60E7" w:rsidP="00EE647E">
            <w:pPr>
              <w:pStyle w:val="TableText"/>
              <w:ind w:left="135"/>
            </w:pPr>
            <w:r>
              <w:t>White or Caucasian</w:t>
            </w:r>
          </w:p>
        </w:tc>
        <w:tc>
          <w:tcPr>
            <w:tcW w:w="410" w:type="pct"/>
            <w:vAlign w:val="bottom"/>
          </w:tcPr>
          <w:p w14:paraId="071B03A6" w14:textId="77777777" w:rsidR="00AC60E7" w:rsidRPr="001047F2" w:rsidRDefault="00AC60E7" w:rsidP="00EE647E">
            <w:pPr>
              <w:pStyle w:val="tabletextcenter"/>
            </w:pPr>
            <w:r>
              <w:t>133</w:t>
            </w:r>
          </w:p>
        </w:tc>
        <w:tc>
          <w:tcPr>
            <w:tcW w:w="383" w:type="pct"/>
            <w:vAlign w:val="bottom"/>
          </w:tcPr>
          <w:p w14:paraId="3267A294" w14:textId="77777777" w:rsidR="00AC60E7" w:rsidRDefault="00AC60E7" w:rsidP="00EE647E">
            <w:pPr>
              <w:pStyle w:val="tabletextcenter"/>
            </w:pPr>
            <w:r>
              <w:t>70.6%</w:t>
            </w:r>
          </w:p>
        </w:tc>
        <w:tc>
          <w:tcPr>
            <w:tcW w:w="378" w:type="pct"/>
            <w:vAlign w:val="bottom"/>
          </w:tcPr>
          <w:p w14:paraId="4CD4CA7D" w14:textId="77777777" w:rsidR="00AC60E7" w:rsidRPr="001047F2" w:rsidRDefault="00AC60E7" w:rsidP="00EE647E">
            <w:pPr>
              <w:pStyle w:val="tabletextcenter"/>
            </w:pPr>
            <w:r>
              <w:t>24</w:t>
            </w:r>
          </w:p>
        </w:tc>
        <w:tc>
          <w:tcPr>
            <w:tcW w:w="529" w:type="pct"/>
            <w:vAlign w:val="bottom"/>
          </w:tcPr>
          <w:p w14:paraId="1A6900E1" w14:textId="77777777" w:rsidR="00AC60E7" w:rsidRPr="001047F2" w:rsidRDefault="00AC60E7" w:rsidP="00EE647E">
            <w:pPr>
              <w:pStyle w:val="tabletextcenter"/>
            </w:pPr>
            <w:r>
              <w:t>60.0%</w:t>
            </w:r>
          </w:p>
        </w:tc>
        <w:tc>
          <w:tcPr>
            <w:tcW w:w="377" w:type="pct"/>
            <w:vAlign w:val="bottom"/>
          </w:tcPr>
          <w:p w14:paraId="49538344" w14:textId="77777777" w:rsidR="00AC60E7" w:rsidRPr="001047F2" w:rsidRDefault="00AC60E7" w:rsidP="00EE647E">
            <w:pPr>
              <w:pStyle w:val="tabletextcenter"/>
            </w:pPr>
            <w:r>
              <w:t>62</w:t>
            </w:r>
          </w:p>
        </w:tc>
        <w:tc>
          <w:tcPr>
            <w:tcW w:w="409" w:type="pct"/>
            <w:vAlign w:val="bottom"/>
          </w:tcPr>
          <w:p w14:paraId="23DFA524" w14:textId="77777777" w:rsidR="00AC60E7" w:rsidRPr="001047F2" w:rsidRDefault="00AC60E7" w:rsidP="00EE647E">
            <w:pPr>
              <w:pStyle w:val="tabletextcenter"/>
            </w:pPr>
            <w:r>
              <w:t>86.1%</w:t>
            </w:r>
          </w:p>
        </w:tc>
        <w:tc>
          <w:tcPr>
            <w:tcW w:w="343" w:type="pct"/>
            <w:vAlign w:val="bottom"/>
          </w:tcPr>
          <w:p w14:paraId="55CF1CF6" w14:textId="77777777" w:rsidR="00AC60E7" w:rsidRPr="001047F2" w:rsidRDefault="00AC60E7" w:rsidP="00EE647E">
            <w:pPr>
              <w:pStyle w:val="tabletextcenter"/>
            </w:pPr>
            <w:r>
              <w:t>29</w:t>
            </w:r>
          </w:p>
        </w:tc>
        <w:tc>
          <w:tcPr>
            <w:tcW w:w="502" w:type="pct"/>
            <w:vAlign w:val="bottom"/>
          </w:tcPr>
          <w:p w14:paraId="0596DCC4" w14:textId="77777777" w:rsidR="00AC60E7" w:rsidRPr="001047F2" w:rsidRDefault="00AC60E7" w:rsidP="00EE647E">
            <w:pPr>
              <w:pStyle w:val="tabletextcenter"/>
            </w:pPr>
            <w:r>
              <w:t>82.9%</w:t>
            </w:r>
          </w:p>
        </w:tc>
        <w:tc>
          <w:tcPr>
            <w:tcW w:w="401" w:type="pct"/>
            <w:vAlign w:val="bottom"/>
          </w:tcPr>
          <w:p w14:paraId="07A0050D" w14:textId="77777777" w:rsidR="00AC60E7" w:rsidRPr="00FF02D1" w:rsidRDefault="00AC60E7" w:rsidP="00EE647E">
            <w:pPr>
              <w:pStyle w:val="tabletextcenter"/>
            </w:pPr>
            <w:r>
              <w:t>18</w:t>
            </w:r>
          </w:p>
        </w:tc>
        <w:tc>
          <w:tcPr>
            <w:tcW w:w="561" w:type="pct"/>
            <w:vAlign w:val="bottom"/>
          </w:tcPr>
          <w:p w14:paraId="20EE7FE4" w14:textId="77777777" w:rsidR="00AC60E7" w:rsidRPr="00FF02D1" w:rsidRDefault="00AC60E7" w:rsidP="00EE647E">
            <w:pPr>
              <w:pStyle w:val="tabletextcenter"/>
            </w:pPr>
            <w:r>
              <w:t>54.5%</w:t>
            </w:r>
          </w:p>
        </w:tc>
      </w:tr>
      <w:tr w:rsidR="00AC60E7" w:rsidRPr="00CD1826" w14:paraId="7D02274E"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tcPr>
          <w:p w14:paraId="2505C63C" w14:textId="77777777" w:rsidR="00AC60E7" w:rsidRDefault="00AC60E7" w:rsidP="00EE647E">
            <w:pPr>
              <w:pStyle w:val="TableText"/>
              <w:ind w:left="135"/>
            </w:pPr>
            <w:r>
              <w:t>Mixed Race</w:t>
            </w:r>
          </w:p>
        </w:tc>
        <w:tc>
          <w:tcPr>
            <w:tcW w:w="410" w:type="pct"/>
            <w:vAlign w:val="bottom"/>
          </w:tcPr>
          <w:p w14:paraId="6992BF31" w14:textId="77777777" w:rsidR="00AC60E7" w:rsidRPr="001047F2" w:rsidRDefault="00AC60E7" w:rsidP="00EE647E">
            <w:pPr>
              <w:pStyle w:val="tabletextcenter"/>
            </w:pPr>
            <w:r>
              <w:t>10</w:t>
            </w:r>
          </w:p>
        </w:tc>
        <w:tc>
          <w:tcPr>
            <w:tcW w:w="383" w:type="pct"/>
            <w:vAlign w:val="bottom"/>
          </w:tcPr>
          <w:p w14:paraId="3DBD9B02" w14:textId="77777777" w:rsidR="00AC60E7" w:rsidRDefault="00AC60E7" w:rsidP="00EE647E">
            <w:pPr>
              <w:pStyle w:val="tabletextcenter"/>
            </w:pPr>
            <w:r>
              <w:t>5.3%</w:t>
            </w:r>
          </w:p>
        </w:tc>
        <w:tc>
          <w:tcPr>
            <w:tcW w:w="378" w:type="pct"/>
            <w:vAlign w:val="bottom"/>
          </w:tcPr>
          <w:p w14:paraId="2DF07E42" w14:textId="77777777" w:rsidR="00AC60E7" w:rsidRPr="001047F2" w:rsidRDefault="00AC60E7" w:rsidP="00EE647E">
            <w:pPr>
              <w:pStyle w:val="tabletextcenter"/>
            </w:pPr>
            <w:r>
              <w:t>3</w:t>
            </w:r>
          </w:p>
        </w:tc>
        <w:tc>
          <w:tcPr>
            <w:tcW w:w="529" w:type="pct"/>
            <w:vAlign w:val="bottom"/>
          </w:tcPr>
          <w:p w14:paraId="7E287E58" w14:textId="77777777" w:rsidR="00AC60E7" w:rsidRPr="001047F2" w:rsidRDefault="00AC60E7" w:rsidP="00EE647E">
            <w:pPr>
              <w:pStyle w:val="tabletextcenter"/>
            </w:pPr>
            <w:r>
              <w:t>7.5%</w:t>
            </w:r>
          </w:p>
        </w:tc>
        <w:tc>
          <w:tcPr>
            <w:tcW w:w="377" w:type="pct"/>
            <w:vAlign w:val="bottom"/>
          </w:tcPr>
          <w:p w14:paraId="7283E409" w14:textId="77777777" w:rsidR="00AC60E7" w:rsidRPr="001047F2" w:rsidRDefault="00AC60E7" w:rsidP="00EE647E">
            <w:pPr>
              <w:pStyle w:val="tabletextcenter"/>
            </w:pPr>
            <w:r>
              <w:t>3</w:t>
            </w:r>
          </w:p>
        </w:tc>
        <w:tc>
          <w:tcPr>
            <w:tcW w:w="409" w:type="pct"/>
            <w:vAlign w:val="bottom"/>
          </w:tcPr>
          <w:p w14:paraId="48D02707" w14:textId="77777777" w:rsidR="00AC60E7" w:rsidRPr="001047F2" w:rsidRDefault="00AC60E7" w:rsidP="00EE647E">
            <w:pPr>
              <w:pStyle w:val="tabletextcenter"/>
            </w:pPr>
            <w:r>
              <w:t>4.2%</w:t>
            </w:r>
          </w:p>
        </w:tc>
        <w:tc>
          <w:tcPr>
            <w:tcW w:w="343" w:type="pct"/>
            <w:vAlign w:val="bottom"/>
          </w:tcPr>
          <w:p w14:paraId="747617D3" w14:textId="77777777" w:rsidR="00AC60E7" w:rsidRPr="001047F2" w:rsidRDefault="00AC60E7" w:rsidP="00EE647E">
            <w:pPr>
              <w:pStyle w:val="tabletextcenter"/>
            </w:pPr>
            <w:r>
              <w:t>2</w:t>
            </w:r>
          </w:p>
        </w:tc>
        <w:tc>
          <w:tcPr>
            <w:tcW w:w="502" w:type="pct"/>
            <w:vAlign w:val="bottom"/>
          </w:tcPr>
          <w:p w14:paraId="717CE326" w14:textId="77777777" w:rsidR="00AC60E7" w:rsidRPr="001047F2" w:rsidRDefault="00AC60E7" w:rsidP="00EE647E">
            <w:pPr>
              <w:pStyle w:val="tabletextcenter"/>
            </w:pPr>
            <w:r>
              <w:t>5.7%</w:t>
            </w:r>
          </w:p>
        </w:tc>
        <w:tc>
          <w:tcPr>
            <w:tcW w:w="401" w:type="pct"/>
            <w:vAlign w:val="bottom"/>
          </w:tcPr>
          <w:p w14:paraId="5F231F6A" w14:textId="77777777" w:rsidR="00AC60E7" w:rsidRPr="00FF02D1" w:rsidRDefault="00AC60E7" w:rsidP="00EE647E">
            <w:pPr>
              <w:pStyle w:val="tabletextcenter"/>
            </w:pPr>
            <w:r>
              <w:t>2</w:t>
            </w:r>
          </w:p>
        </w:tc>
        <w:tc>
          <w:tcPr>
            <w:tcW w:w="561" w:type="pct"/>
            <w:vAlign w:val="bottom"/>
          </w:tcPr>
          <w:p w14:paraId="61791406" w14:textId="77777777" w:rsidR="00AC60E7" w:rsidRPr="00FF02D1" w:rsidRDefault="00AC60E7" w:rsidP="00EE647E">
            <w:pPr>
              <w:pStyle w:val="tabletextcenter"/>
            </w:pPr>
            <w:r>
              <w:t>6.1%</w:t>
            </w:r>
          </w:p>
        </w:tc>
      </w:tr>
      <w:tr w:rsidR="00AC60E7" w:rsidRPr="00CD1826" w14:paraId="398F0E6E" w14:textId="77777777" w:rsidTr="00671624">
        <w:tc>
          <w:tcPr>
            <w:tcW w:w="707" w:type="pct"/>
          </w:tcPr>
          <w:p w14:paraId="56AAE893" w14:textId="77777777" w:rsidR="00AC60E7" w:rsidRDefault="00AC60E7" w:rsidP="00EE647E">
            <w:pPr>
              <w:pStyle w:val="TableText"/>
              <w:ind w:left="135"/>
            </w:pPr>
            <w:r>
              <w:t xml:space="preserve">Other </w:t>
            </w:r>
          </w:p>
        </w:tc>
        <w:tc>
          <w:tcPr>
            <w:tcW w:w="410" w:type="pct"/>
            <w:vAlign w:val="bottom"/>
          </w:tcPr>
          <w:p w14:paraId="75A93860" w14:textId="77777777" w:rsidR="00AC60E7" w:rsidRPr="001047F2" w:rsidRDefault="00AC60E7" w:rsidP="00EE647E">
            <w:pPr>
              <w:pStyle w:val="tabletextcenter"/>
            </w:pPr>
            <w:r>
              <w:t>20</w:t>
            </w:r>
          </w:p>
        </w:tc>
        <w:tc>
          <w:tcPr>
            <w:tcW w:w="383" w:type="pct"/>
            <w:vAlign w:val="bottom"/>
          </w:tcPr>
          <w:p w14:paraId="77E4A712" w14:textId="77777777" w:rsidR="00AC60E7" w:rsidRDefault="00AC60E7" w:rsidP="00EE647E">
            <w:pPr>
              <w:pStyle w:val="tabletextcenter"/>
            </w:pPr>
            <w:r>
              <w:t>9.6%</w:t>
            </w:r>
          </w:p>
        </w:tc>
        <w:tc>
          <w:tcPr>
            <w:tcW w:w="378" w:type="pct"/>
            <w:vAlign w:val="bottom"/>
          </w:tcPr>
          <w:p w14:paraId="19EA4278" w14:textId="77777777" w:rsidR="00AC60E7" w:rsidRPr="001047F2" w:rsidRDefault="00AC60E7" w:rsidP="00EE647E">
            <w:pPr>
              <w:pStyle w:val="tabletextcenter"/>
            </w:pPr>
            <w:r>
              <w:t>7</w:t>
            </w:r>
          </w:p>
        </w:tc>
        <w:tc>
          <w:tcPr>
            <w:tcW w:w="529" w:type="pct"/>
            <w:vAlign w:val="bottom"/>
          </w:tcPr>
          <w:p w14:paraId="4B04C2D8" w14:textId="77777777" w:rsidR="00AC60E7" w:rsidRPr="001047F2" w:rsidRDefault="00AC60E7" w:rsidP="00EE647E">
            <w:pPr>
              <w:pStyle w:val="tabletextcenter"/>
            </w:pPr>
            <w:r>
              <w:t>17.5%</w:t>
            </w:r>
          </w:p>
        </w:tc>
        <w:tc>
          <w:tcPr>
            <w:tcW w:w="377" w:type="pct"/>
            <w:vAlign w:val="bottom"/>
          </w:tcPr>
          <w:p w14:paraId="10B3BCBA" w14:textId="77777777" w:rsidR="00AC60E7" w:rsidRPr="001047F2" w:rsidRDefault="00AC60E7" w:rsidP="00EE647E">
            <w:pPr>
              <w:pStyle w:val="tabletextcenter"/>
            </w:pPr>
            <w:r>
              <w:t>3</w:t>
            </w:r>
          </w:p>
        </w:tc>
        <w:tc>
          <w:tcPr>
            <w:tcW w:w="409" w:type="pct"/>
            <w:vAlign w:val="bottom"/>
          </w:tcPr>
          <w:p w14:paraId="5A5BE065" w14:textId="77777777" w:rsidR="00AC60E7" w:rsidRPr="001047F2" w:rsidRDefault="00AC60E7" w:rsidP="00EE647E">
            <w:pPr>
              <w:pStyle w:val="tabletextcenter"/>
            </w:pPr>
            <w:r>
              <w:t>4.2%</w:t>
            </w:r>
          </w:p>
        </w:tc>
        <w:tc>
          <w:tcPr>
            <w:tcW w:w="343" w:type="pct"/>
            <w:vAlign w:val="bottom"/>
          </w:tcPr>
          <w:p w14:paraId="11BC5EB5" w14:textId="77777777" w:rsidR="00AC60E7" w:rsidRPr="001047F2" w:rsidRDefault="00AC60E7" w:rsidP="00EE647E">
            <w:pPr>
              <w:pStyle w:val="tabletextcenter"/>
            </w:pPr>
            <w:r>
              <w:t>2</w:t>
            </w:r>
          </w:p>
        </w:tc>
        <w:tc>
          <w:tcPr>
            <w:tcW w:w="502" w:type="pct"/>
            <w:vAlign w:val="bottom"/>
          </w:tcPr>
          <w:p w14:paraId="0289FB55" w14:textId="77777777" w:rsidR="00AC60E7" w:rsidRPr="001047F2" w:rsidRDefault="00AC60E7" w:rsidP="00EE647E">
            <w:pPr>
              <w:pStyle w:val="tabletextcenter"/>
            </w:pPr>
            <w:r>
              <w:t>5.7%</w:t>
            </w:r>
          </w:p>
        </w:tc>
        <w:tc>
          <w:tcPr>
            <w:tcW w:w="401" w:type="pct"/>
            <w:vAlign w:val="bottom"/>
          </w:tcPr>
          <w:p w14:paraId="027B9A7D" w14:textId="77777777" w:rsidR="00AC60E7" w:rsidRPr="00FF02D1" w:rsidRDefault="00AC60E7" w:rsidP="00EE647E">
            <w:pPr>
              <w:pStyle w:val="tabletextcenter"/>
            </w:pPr>
            <w:r>
              <w:t>8</w:t>
            </w:r>
          </w:p>
        </w:tc>
        <w:tc>
          <w:tcPr>
            <w:tcW w:w="561" w:type="pct"/>
            <w:vAlign w:val="bottom"/>
          </w:tcPr>
          <w:p w14:paraId="5AE26023" w14:textId="77777777" w:rsidR="00AC60E7" w:rsidRPr="00FF02D1" w:rsidRDefault="00AC60E7" w:rsidP="00EE647E">
            <w:pPr>
              <w:pStyle w:val="tabletextcenter"/>
            </w:pPr>
            <w:r>
              <w:t>24.2%</w:t>
            </w:r>
          </w:p>
        </w:tc>
      </w:tr>
      <w:tr w:rsidR="00AC60E7" w:rsidRPr="00CD1826" w14:paraId="6119D075" w14:textId="77777777" w:rsidTr="00671624">
        <w:trPr>
          <w:cnfStyle w:val="000000100000" w:firstRow="0" w:lastRow="0" w:firstColumn="0" w:lastColumn="0" w:oddVBand="0" w:evenVBand="0" w:oddHBand="1" w:evenHBand="0" w:firstRowFirstColumn="0" w:firstRowLastColumn="0" w:lastRowFirstColumn="0" w:lastRowLastColumn="0"/>
        </w:trPr>
        <w:tc>
          <w:tcPr>
            <w:tcW w:w="707" w:type="pct"/>
            <w:shd w:val="clear" w:color="auto" w:fill="A6A6A6" w:themeFill="background1" w:themeFillShade="A6"/>
          </w:tcPr>
          <w:p w14:paraId="40295D7D" w14:textId="77777777" w:rsidR="00AC60E7" w:rsidRDefault="00AC60E7" w:rsidP="00EE647E">
            <w:pPr>
              <w:pStyle w:val="TableText"/>
            </w:pPr>
            <w:r w:rsidRPr="00E33C4C">
              <w:rPr>
                <w:b/>
              </w:rPr>
              <w:t>Ethnicity</w:t>
            </w:r>
          </w:p>
        </w:tc>
        <w:tc>
          <w:tcPr>
            <w:tcW w:w="410" w:type="pct"/>
            <w:shd w:val="clear" w:color="auto" w:fill="A6A6A6" w:themeFill="background1" w:themeFillShade="A6"/>
          </w:tcPr>
          <w:p w14:paraId="0DF461D9" w14:textId="77777777" w:rsidR="00AC60E7" w:rsidRPr="00A82100" w:rsidRDefault="00AC60E7" w:rsidP="00EE647E">
            <w:pPr>
              <w:pStyle w:val="TableText"/>
              <w:jc w:val="center"/>
              <w:rPr>
                <w:b/>
              </w:rPr>
            </w:pPr>
            <w:r w:rsidRPr="00A82100">
              <w:rPr>
                <w:b/>
              </w:rPr>
              <w:t>175</w:t>
            </w:r>
          </w:p>
        </w:tc>
        <w:tc>
          <w:tcPr>
            <w:tcW w:w="383" w:type="pct"/>
            <w:shd w:val="clear" w:color="auto" w:fill="A6A6A6" w:themeFill="background1" w:themeFillShade="A6"/>
          </w:tcPr>
          <w:p w14:paraId="735A88B6" w14:textId="77777777" w:rsidR="00AC60E7" w:rsidRPr="00A82100" w:rsidRDefault="00AC60E7" w:rsidP="00EE647E">
            <w:pPr>
              <w:pStyle w:val="TableText"/>
              <w:jc w:val="center"/>
              <w:rPr>
                <w:b/>
              </w:rPr>
            </w:pPr>
            <w:r>
              <w:rPr>
                <w:b/>
              </w:rPr>
              <w:t>100%</w:t>
            </w:r>
          </w:p>
        </w:tc>
        <w:tc>
          <w:tcPr>
            <w:tcW w:w="378" w:type="pct"/>
            <w:shd w:val="clear" w:color="auto" w:fill="A6A6A6" w:themeFill="background1" w:themeFillShade="A6"/>
          </w:tcPr>
          <w:p w14:paraId="733BA7DF" w14:textId="77777777" w:rsidR="00AC60E7" w:rsidRPr="00A82100" w:rsidRDefault="00AC60E7" w:rsidP="00EE647E">
            <w:pPr>
              <w:pStyle w:val="TableText"/>
              <w:jc w:val="center"/>
              <w:rPr>
                <w:b/>
              </w:rPr>
            </w:pPr>
            <w:r w:rsidRPr="00A82100">
              <w:rPr>
                <w:b/>
              </w:rPr>
              <w:t>3</w:t>
            </w:r>
            <w:r>
              <w:rPr>
                <w:b/>
              </w:rPr>
              <w:t>7</w:t>
            </w:r>
          </w:p>
        </w:tc>
        <w:tc>
          <w:tcPr>
            <w:tcW w:w="529" w:type="pct"/>
            <w:shd w:val="clear" w:color="auto" w:fill="A6A6A6" w:themeFill="background1" w:themeFillShade="A6"/>
          </w:tcPr>
          <w:p w14:paraId="52A41CA8" w14:textId="77777777" w:rsidR="00AC60E7" w:rsidRPr="00A82100" w:rsidRDefault="00AC60E7" w:rsidP="00EE647E">
            <w:pPr>
              <w:pStyle w:val="TableText"/>
              <w:jc w:val="center"/>
              <w:rPr>
                <w:b/>
              </w:rPr>
            </w:pPr>
            <w:r>
              <w:rPr>
                <w:b/>
              </w:rPr>
              <w:t>100%</w:t>
            </w:r>
          </w:p>
        </w:tc>
        <w:tc>
          <w:tcPr>
            <w:tcW w:w="377" w:type="pct"/>
            <w:shd w:val="clear" w:color="auto" w:fill="A6A6A6" w:themeFill="background1" w:themeFillShade="A6"/>
          </w:tcPr>
          <w:p w14:paraId="7CEC429A" w14:textId="77777777" w:rsidR="00AC60E7" w:rsidRPr="00A82100" w:rsidRDefault="00AC60E7" w:rsidP="00EE647E">
            <w:pPr>
              <w:pStyle w:val="TableText"/>
              <w:jc w:val="center"/>
              <w:rPr>
                <w:b/>
              </w:rPr>
            </w:pPr>
            <w:r>
              <w:rPr>
                <w:b/>
              </w:rPr>
              <w:t>70</w:t>
            </w:r>
          </w:p>
        </w:tc>
        <w:tc>
          <w:tcPr>
            <w:tcW w:w="409" w:type="pct"/>
            <w:shd w:val="clear" w:color="auto" w:fill="A6A6A6" w:themeFill="background1" w:themeFillShade="A6"/>
          </w:tcPr>
          <w:p w14:paraId="0EC40B87" w14:textId="77777777" w:rsidR="00AC60E7" w:rsidRPr="00A82100" w:rsidRDefault="00AC60E7" w:rsidP="00EE647E">
            <w:pPr>
              <w:pStyle w:val="TableText"/>
              <w:jc w:val="center"/>
              <w:rPr>
                <w:b/>
              </w:rPr>
            </w:pPr>
            <w:r>
              <w:rPr>
                <w:b/>
              </w:rPr>
              <w:t>100%</w:t>
            </w:r>
          </w:p>
        </w:tc>
        <w:tc>
          <w:tcPr>
            <w:tcW w:w="343" w:type="pct"/>
            <w:shd w:val="clear" w:color="auto" w:fill="A6A6A6" w:themeFill="background1" w:themeFillShade="A6"/>
          </w:tcPr>
          <w:p w14:paraId="11FAFE02" w14:textId="77777777" w:rsidR="00AC60E7" w:rsidRPr="00A82100" w:rsidRDefault="00AC60E7" w:rsidP="00EE647E">
            <w:pPr>
              <w:pStyle w:val="TableText"/>
              <w:jc w:val="center"/>
              <w:rPr>
                <w:b/>
              </w:rPr>
            </w:pPr>
            <w:r>
              <w:rPr>
                <w:b/>
              </w:rPr>
              <w:t>30</w:t>
            </w:r>
          </w:p>
        </w:tc>
        <w:tc>
          <w:tcPr>
            <w:tcW w:w="502" w:type="pct"/>
            <w:shd w:val="clear" w:color="auto" w:fill="A6A6A6" w:themeFill="background1" w:themeFillShade="A6"/>
          </w:tcPr>
          <w:p w14:paraId="64EF3C89" w14:textId="77777777" w:rsidR="00AC60E7" w:rsidRPr="00A82100" w:rsidRDefault="00AC60E7" w:rsidP="00EE647E">
            <w:pPr>
              <w:pStyle w:val="TableText"/>
              <w:jc w:val="center"/>
              <w:rPr>
                <w:b/>
              </w:rPr>
            </w:pPr>
            <w:r>
              <w:rPr>
                <w:b/>
              </w:rPr>
              <w:t>100%</w:t>
            </w:r>
          </w:p>
        </w:tc>
        <w:tc>
          <w:tcPr>
            <w:tcW w:w="401" w:type="pct"/>
            <w:shd w:val="clear" w:color="auto" w:fill="A6A6A6" w:themeFill="background1" w:themeFillShade="A6"/>
          </w:tcPr>
          <w:p w14:paraId="48F23B3F" w14:textId="77777777" w:rsidR="00AC60E7" w:rsidRPr="00A82100" w:rsidRDefault="00AC60E7" w:rsidP="00EE647E">
            <w:pPr>
              <w:pStyle w:val="TableText"/>
              <w:jc w:val="center"/>
              <w:rPr>
                <w:b/>
              </w:rPr>
            </w:pPr>
            <w:r>
              <w:rPr>
                <w:b/>
              </w:rPr>
              <w:t>38</w:t>
            </w:r>
          </w:p>
        </w:tc>
        <w:tc>
          <w:tcPr>
            <w:tcW w:w="561" w:type="pct"/>
            <w:shd w:val="clear" w:color="auto" w:fill="A6A6A6" w:themeFill="background1" w:themeFillShade="A6"/>
          </w:tcPr>
          <w:p w14:paraId="0FD7B3CF" w14:textId="77777777" w:rsidR="00AC60E7" w:rsidRPr="00A82100" w:rsidRDefault="00AC60E7" w:rsidP="00EE647E">
            <w:pPr>
              <w:pStyle w:val="TableText"/>
              <w:jc w:val="center"/>
              <w:rPr>
                <w:b/>
              </w:rPr>
            </w:pPr>
            <w:r>
              <w:rPr>
                <w:b/>
              </w:rPr>
              <w:t>100%</w:t>
            </w:r>
          </w:p>
        </w:tc>
      </w:tr>
      <w:tr w:rsidR="00AC60E7" w:rsidRPr="00CD1826" w14:paraId="32D8225F" w14:textId="77777777" w:rsidTr="00671624">
        <w:tc>
          <w:tcPr>
            <w:tcW w:w="707" w:type="pct"/>
          </w:tcPr>
          <w:p w14:paraId="365F048D" w14:textId="77777777" w:rsidR="00AC60E7" w:rsidRDefault="00AC60E7" w:rsidP="00EE647E">
            <w:pPr>
              <w:pStyle w:val="TableText"/>
              <w:ind w:left="135"/>
            </w:pPr>
            <w:r>
              <w:t>Hispanic or Latino</w:t>
            </w:r>
          </w:p>
        </w:tc>
        <w:tc>
          <w:tcPr>
            <w:tcW w:w="410" w:type="pct"/>
            <w:vAlign w:val="center"/>
          </w:tcPr>
          <w:p w14:paraId="763E6C36" w14:textId="77777777" w:rsidR="00AC60E7" w:rsidRPr="001047F2" w:rsidRDefault="00AC60E7" w:rsidP="00EE647E">
            <w:pPr>
              <w:pStyle w:val="TableText"/>
              <w:jc w:val="center"/>
            </w:pPr>
            <w:r w:rsidRPr="0024559F">
              <w:t>28</w:t>
            </w:r>
          </w:p>
        </w:tc>
        <w:tc>
          <w:tcPr>
            <w:tcW w:w="383" w:type="pct"/>
            <w:vAlign w:val="center"/>
          </w:tcPr>
          <w:p w14:paraId="53CA4F66" w14:textId="77777777" w:rsidR="00AC60E7" w:rsidRDefault="00AC60E7" w:rsidP="00EE647E">
            <w:pPr>
              <w:pStyle w:val="TableText"/>
              <w:jc w:val="center"/>
              <w:rPr>
                <w:rFonts w:ascii="Calibri" w:hAnsi="Calibri"/>
                <w:color w:val="000000"/>
              </w:rPr>
            </w:pPr>
            <w:r w:rsidRPr="0024559F">
              <w:t>15.8%</w:t>
            </w:r>
          </w:p>
        </w:tc>
        <w:tc>
          <w:tcPr>
            <w:tcW w:w="378" w:type="pct"/>
            <w:vAlign w:val="center"/>
          </w:tcPr>
          <w:p w14:paraId="1354D898" w14:textId="77777777" w:rsidR="00AC60E7" w:rsidRPr="001047F2" w:rsidRDefault="00AC60E7" w:rsidP="00EE647E">
            <w:pPr>
              <w:pStyle w:val="TableText"/>
              <w:jc w:val="center"/>
            </w:pPr>
            <w:r w:rsidRPr="0024559F">
              <w:t>5</w:t>
            </w:r>
          </w:p>
        </w:tc>
        <w:tc>
          <w:tcPr>
            <w:tcW w:w="529" w:type="pct"/>
            <w:vAlign w:val="center"/>
          </w:tcPr>
          <w:p w14:paraId="3905FF35" w14:textId="77777777" w:rsidR="00AC60E7" w:rsidRPr="001047F2" w:rsidRDefault="00AC60E7" w:rsidP="00EE647E">
            <w:pPr>
              <w:pStyle w:val="TableText"/>
              <w:jc w:val="center"/>
            </w:pPr>
            <w:r w:rsidRPr="0024559F">
              <w:t>13.</w:t>
            </w:r>
            <w:r>
              <w:t>5</w:t>
            </w:r>
            <w:r w:rsidRPr="0024559F">
              <w:t>%</w:t>
            </w:r>
          </w:p>
        </w:tc>
        <w:tc>
          <w:tcPr>
            <w:tcW w:w="377" w:type="pct"/>
            <w:vAlign w:val="center"/>
          </w:tcPr>
          <w:p w14:paraId="361C72BD" w14:textId="77777777" w:rsidR="00AC60E7" w:rsidRPr="001047F2" w:rsidRDefault="00AC60E7" w:rsidP="00EE647E">
            <w:pPr>
              <w:pStyle w:val="TableText"/>
              <w:jc w:val="center"/>
            </w:pPr>
            <w:r w:rsidRPr="0024559F">
              <w:t>7</w:t>
            </w:r>
          </w:p>
        </w:tc>
        <w:tc>
          <w:tcPr>
            <w:tcW w:w="409" w:type="pct"/>
            <w:vAlign w:val="center"/>
          </w:tcPr>
          <w:p w14:paraId="7C6A985E" w14:textId="77777777" w:rsidR="00AC60E7" w:rsidRPr="001047F2" w:rsidRDefault="00AC60E7" w:rsidP="00EE647E">
            <w:pPr>
              <w:pStyle w:val="TableText"/>
              <w:jc w:val="center"/>
            </w:pPr>
            <w:r>
              <w:t>10.0</w:t>
            </w:r>
            <w:r w:rsidRPr="0024559F">
              <w:t>%</w:t>
            </w:r>
          </w:p>
        </w:tc>
        <w:tc>
          <w:tcPr>
            <w:tcW w:w="343" w:type="pct"/>
            <w:vAlign w:val="center"/>
          </w:tcPr>
          <w:p w14:paraId="20645AF1" w14:textId="77777777" w:rsidR="00AC60E7" w:rsidRPr="001047F2" w:rsidRDefault="00AC60E7" w:rsidP="00EE647E">
            <w:pPr>
              <w:pStyle w:val="TableText"/>
              <w:jc w:val="center"/>
            </w:pPr>
            <w:r w:rsidRPr="0024559F">
              <w:t>3</w:t>
            </w:r>
          </w:p>
        </w:tc>
        <w:tc>
          <w:tcPr>
            <w:tcW w:w="502" w:type="pct"/>
            <w:vAlign w:val="center"/>
          </w:tcPr>
          <w:p w14:paraId="45018EB7" w14:textId="77777777" w:rsidR="00AC60E7" w:rsidRPr="001047F2" w:rsidRDefault="00AC60E7" w:rsidP="00EE647E">
            <w:pPr>
              <w:pStyle w:val="TableText"/>
              <w:jc w:val="center"/>
            </w:pPr>
            <w:r>
              <w:t>10.0</w:t>
            </w:r>
            <w:r w:rsidRPr="0024559F">
              <w:t>%</w:t>
            </w:r>
          </w:p>
        </w:tc>
        <w:tc>
          <w:tcPr>
            <w:tcW w:w="401" w:type="pct"/>
            <w:vAlign w:val="center"/>
          </w:tcPr>
          <w:p w14:paraId="67CCE10A" w14:textId="77777777" w:rsidR="00AC60E7" w:rsidRPr="00FF02D1" w:rsidRDefault="00AC60E7" w:rsidP="00EE647E">
            <w:pPr>
              <w:pStyle w:val="TableText"/>
              <w:jc w:val="center"/>
            </w:pPr>
            <w:r w:rsidRPr="0024559F">
              <w:t>13</w:t>
            </w:r>
          </w:p>
        </w:tc>
        <w:tc>
          <w:tcPr>
            <w:tcW w:w="561" w:type="pct"/>
            <w:vAlign w:val="center"/>
          </w:tcPr>
          <w:p w14:paraId="39E21F50" w14:textId="77777777" w:rsidR="00AC60E7" w:rsidRPr="00FF02D1" w:rsidRDefault="00AC60E7" w:rsidP="00EE647E">
            <w:pPr>
              <w:pStyle w:val="TableText"/>
              <w:jc w:val="center"/>
            </w:pPr>
            <w:r>
              <w:t>34.2%</w:t>
            </w:r>
          </w:p>
        </w:tc>
      </w:tr>
      <w:tr w:rsidR="00AC60E7" w:rsidRPr="00CD1826" w14:paraId="1AC5B893" w14:textId="77777777" w:rsidTr="00B74C80">
        <w:trPr>
          <w:cnfStyle w:val="000000100000" w:firstRow="0" w:lastRow="0" w:firstColumn="0" w:lastColumn="0" w:oddVBand="0" w:evenVBand="0" w:oddHBand="1" w:evenHBand="0" w:firstRowFirstColumn="0" w:firstRowLastColumn="0" w:lastRowFirstColumn="0" w:lastRowLastColumn="0"/>
          <w:cantSplit/>
        </w:trPr>
        <w:tc>
          <w:tcPr>
            <w:tcW w:w="707" w:type="pct"/>
          </w:tcPr>
          <w:p w14:paraId="28AB55FA" w14:textId="77777777" w:rsidR="00AC60E7" w:rsidRDefault="00AC60E7" w:rsidP="00EE647E">
            <w:pPr>
              <w:pStyle w:val="TableText"/>
              <w:ind w:left="135"/>
            </w:pPr>
            <w:r>
              <w:lastRenderedPageBreak/>
              <w:t xml:space="preserve">Not Hispanic or Latino </w:t>
            </w:r>
          </w:p>
        </w:tc>
        <w:tc>
          <w:tcPr>
            <w:tcW w:w="410" w:type="pct"/>
            <w:vAlign w:val="center"/>
          </w:tcPr>
          <w:p w14:paraId="500E2BE4" w14:textId="77777777" w:rsidR="00AC60E7" w:rsidRPr="001047F2" w:rsidRDefault="00AC60E7" w:rsidP="00EE647E">
            <w:pPr>
              <w:pStyle w:val="TableText"/>
              <w:jc w:val="center"/>
            </w:pPr>
            <w:r w:rsidRPr="0024559F">
              <w:t>147</w:t>
            </w:r>
          </w:p>
        </w:tc>
        <w:tc>
          <w:tcPr>
            <w:tcW w:w="383" w:type="pct"/>
            <w:vAlign w:val="center"/>
          </w:tcPr>
          <w:p w14:paraId="4AB69C06" w14:textId="77777777" w:rsidR="00AC60E7" w:rsidRDefault="00AC60E7" w:rsidP="00EE647E">
            <w:pPr>
              <w:pStyle w:val="TableText"/>
              <w:jc w:val="center"/>
              <w:rPr>
                <w:rFonts w:ascii="Calibri" w:hAnsi="Calibri"/>
                <w:color w:val="000000"/>
              </w:rPr>
            </w:pPr>
            <w:r w:rsidRPr="0024559F">
              <w:t>84.2%</w:t>
            </w:r>
          </w:p>
        </w:tc>
        <w:tc>
          <w:tcPr>
            <w:tcW w:w="378" w:type="pct"/>
            <w:vAlign w:val="center"/>
          </w:tcPr>
          <w:p w14:paraId="5A8C75FC" w14:textId="77777777" w:rsidR="00AC60E7" w:rsidRPr="001047F2" w:rsidRDefault="00AC60E7" w:rsidP="00EE647E">
            <w:pPr>
              <w:pStyle w:val="TableText"/>
              <w:jc w:val="center"/>
            </w:pPr>
            <w:r w:rsidRPr="0024559F">
              <w:t>32</w:t>
            </w:r>
          </w:p>
        </w:tc>
        <w:tc>
          <w:tcPr>
            <w:tcW w:w="529" w:type="pct"/>
            <w:vAlign w:val="center"/>
          </w:tcPr>
          <w:p w14:paraId="59971C49" w14:textId="77777777" w:rsidR="00AC60E7" w:rsidRPr="001047F2" w:rsidRDefault="00AC60E7" w:rsidP="00EE647E">
            <w:pPr>
              <w:pStyle w:val="TableText"/>
              <w:jc w:val="center"/>
            </w:pPr>
            <w:r w:rsidRPr="0024559F">
              <w:t>86.</w:t>
            </w:r>
            <w:r>
              <w:t>5</w:t>
            </w:r>
            <w:r w:rsidRPr="0024559F">
              <w:t>%</w:t>
            </w:r>
          </w:p>
        </w:tc>
        <w:tc>
          <w:tcPr>
            <w:tcW w:w="377" w:type="pct"/>
            <w:vAlign w:val="center"/>
          </w:tcPr>
          <w:p w14:paraId="15251143" w14:textId="77777777" w:rsidR="00AC60E7" w:rsidRPr="001047F2" w:rsidRDefault="00AC60E7" w:rsidP="00EE647E">
            <w:pPr>
              <w:pStyle w:val="TableText"/>
              <w:jc w:val="center"/>
            </w:pPr>
            <w:r w:rsidRPr="0024559F">
              <w:t>63</w:t>
            </w:r>
          </w:p>
        </w:tc>
        <w:tc>
          <w:tcPr>
            <w:tcW w:w="409" w:type="pct"/>
            <w:vAlign w:val="center"/>
          </w:tcPr>
          <w:p w14:paraId="4A13EAAA" w14:textId="77777777" w:rsidR="00AC60E7" w:rsidRPr="001047F2" w:rsidRDefault="00AC60E7" w:rsidP="00EE647E">
            <w:pPr>
              <w:pStyle w:val="TableText"/>
              <w:jc w:val="center"/>
            </w:pPr>
            <w:r w:rsidRPr="0024559F">
              <w:t>90.</w:t>
            </w:r>
            <w:r>
              <w:t>0</w:t>
            </w:r>
            <w:r w:rsidRPr="0024559F">
              <w:t>%</w:t>
            </w:r>
          </w:p>
        </w:tc>
        <w:tc>
          <w:tcPr>
            <w:tcW w:w="343" w:type="pct"/>
            <w:vAlign w:val="center"/>
          </w:tcPr>
          <w:p w14:paraId="791E65DA" w14:textId="77777777" w:rsidR="00AC60E7" w:rsidRPr="001047F2" w:rsidRDefault="00AC60E7" w:rsidP="00EE647E">
            <w:pPr>
              <w:pStyle w:val="TableText"/>
              <w:jc w:val="center"/>
            </w:pPr>
            <w:r w:rsidRPr="0024559F">
              <w:t>27</w:t>
            </w:r>
          </w:p>
        </w:tc>
        <w:tc>
          <w:tcPr>
            <w:tcW w:w="502" w:type="pct"/>
            <w:vAlign w:val="center"/>
          </w:tcPr>
          <w:p w14:paraId="1E366431" w14:textId="77777777" w:rsidR="00AC60E7" w:rsidRPr="001047F2" w:rsidRDefault="00AC60E7" w:rsidP="00EE647E">
            <w:pPr>
              <w:pStyle w:val="TableText"/>
              <w:jc w:val="center"/>
            </w:pPr>
            <w:r w:rsidRPr="0024559F">
              <w:t>90.</w:t>
            </w:r>
            <w:r>
              <w:t>0</w:t>
            </w:r>
            <w:r w:rsidRPr="0024559F">
              <w:t>%</w:t>
            </w:r>
          </w:p>
        </w:tc>
        <w:tc>
          <w:tcPr>
            <w:tcW w:w="401" w:type="pct"/>
            <w:vAlign w:val="center"/>
          </w:tcPr>
          <w:p w14:paraId="27AE795A" w14:textId="77777777" w:rsidR="00AC60E7" w:rsidRPr="00FF02D1" w:rsidRDefault="00AC60E7" w:rsidP="00EE647E">
            <w:pPr>
              <w:pStyle w:val="TableText"/>
              <w:jc w:val="center"/>
            </w:pPr>
            <w:r w:rsidRPr="0024559F">
              <w:t>25</w:t>
            </w:r>
          </w:p>
        </w:tc>
        <w:tc>
          <w:tcPr>
            <w:tcW w:w="561" w:type="pct"/>
            <w:vAlign w:val="center"/>
          </w:tcPr>
          <w:p w14:paraId="6B724B75" w14:textId="77777777" w:rsidR="00AC60E7" w:rsidRPr="00FF02D1" w:rsidRDefault="00AC60E7" w:rsidP="00EE647E">
            <w:pPr>
              <w:pStyle w:val="TableText"/>
              <w:jc w:val="center"/>
            </w:pPr>
            <w:r>
              <w:t>65.8%</w:t>
            </w:r>
          </w:p>
        </w:tc>
      </w:tr>
    </w:tbl>
    <w:p w14:paraId="2E4696A0" w14:textId="77777777" w:rsidR="00671624" w:rsidRPr="00256CC5" w:rsidRDefault="00671624" w:rsidP="00671624">
      <w:pPr>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650D4CF1" w14:textId="77777777" w:rsidR="00C32C1A" w:rsidRDefault="00946562" w:rsidP="00407046">
      <w:pPr>
        <w:pStyle w:val="Heading3"/>
        <w:numPr>
          <w:ilvl w:val="2"/>
          <w:numId w:val="36"/>
        </w:numPr>
        <w:ind w:left="720"/>
      </w:pPr>
      <w:bookmarkStart w:id="62" w:name="_Toc531597506"/>
      <w:r w:rsidRPr="00C32C1A">
        <w:t>Age Distribution</w:t>
      </w:r>
      <w:bookmarkEnd w:id="62"/>
    </w:p>
    <w:p w14:paraId="4A4DAB11" w14:textId="77777777" w:rsidR="00946562" w:rsidRPr="00391964" w:rsidRDefault="00946562" w:rsidP="0091168C">
      <w:r w:rsidRPr="00F36AE8">
        <w:t>JR facilities have staff working together that span four generations</w:t>
      </w:r>
      <w:r w:rsidR="00391964">
        <w:t xml:space="preserve">. </w:t>
      </w:r>
      <w:r w:rsidRPr="00A037DF">
        <w:t xml:space="preserve">New hires are working side-by-side with colleagues who are </w:t>
      </w:r>
      <w:r w:rsidR="00671624">
        <w:t>20</w:t>
      </w:r>
      <w:r w:rsidR="00376734">
        <w:t xml:space="preserve"> or more</w:t>
      </w:r>
      <w:r w:rsidR="00671624">
        <w:t xml:space="preserve"> years older </w:t>
      </w:r>
      <w:r w:rsidRPr="00A037DF">
        <w:t>tha</w:t>
      </w:r>
      <w:r w:rsidR="00810AA5">
        <w:t>n they</w:t>
      </w:r>
      <w:r w:rsidR="00CA0900">
        <w:t xml:space="preserve"> are</w:t>
      </w:r>
      <w:r w:rsidR="00810AA5">
        <w:t xml:space="preserve">. </w:t>
      </w:r>
      <w:r w:rsidRPr="00A037DF">
        <w:t xml:space="preserve">The benefit of a multigenerational workforce is each generation brings unique </w:t>
      </w:r>
      <w:r w:rsidR="00810AA5">
        <w:t>perspectives</w:t>
      </w:r>
      <w:r w:rsidRPr="00A037DF">
        <w:t xml:space="preserve"> and diverse skills and knowledge to the workplace</w:t>
      </w:r>
      <w:r w:rsidR="009C044E">
        <w:t>.</w:t>
      </w:r>
      <w:r w:rsidR="00C9789F">
        <w:rPr>
          <w:rStyle w:val="FootnoteReference"/>
        </w:rPr>
        <w:footnoteReference w:id="87"/>
      </w:r>
      <w:r w:rsidRPr="00A037DF">
        <w:t xml:space="preserve"> What </w:t>
      </w:r>
      <w:r w:rsidR="00810AA5">
        <w:t xml:space="preserve">people of </w:t>
      </w:r>
      <w:r w:rsidRPr="00A037DF">
        <w:t>all generations have in common is they want to work for organizations where they are respected and valued</w:t>
      </w:r>
      <w:r w:rsidR="00B2031C">
        <w:t>,</w:t>
      </w:r>
      <w:r w:rsidRPr="00A037DF">
        <w:t xml:space="preserve"> and where they have opportunitie</w:t>
      </w:r>
      <w:r w:rsidR="00B2031C">
        <w:t>s to contribute their skills,</w:t>
      </w:r>
      <w:r w:rsidRPr="00A037DF">
        <w:t xml:space="preserve"> abilities and experience</w:t>
      </w:r>
      <w:r w:rsidR="00C9789F">
        <w:t>.</w:t>
      </w:r>
      <w:r w:rsidR="00C9789F">
        <w:rPr>
          <w:rStyle w:val="FootnoteReference"/>
        </w:rPr>
        <w:footnoteReference w:id="88"/>
      </w:r>
      <w:r w:rsidRPr="00A037DF">
        <w:t xml:space="preserve"> </w:t>
      </w:r>
    </w:p>
    <w:p w14:paraId="20A88C23" w14:textId="77777777" w:rsidR="00946562" w:rsidRDefault="00946562" w:rsidP="0091168C">
      <w:r w:rsidRPr="00F36AE8">
        <w:t>O</w:t>
      </w:r>
      <w:r w:rsidR="00B2031C">
        <w:t>verall, 25</w:t>
      </w:r>
      <w:r w:rsidR="004962BA">
        <w:t xml:space="preserve">% </w:t>
      </w:r>
      <w:r>
        <w:t>of the direct service</w:t>
      </w:r>
      <w:r w:rsidR="00AE4F72">
        <w:t>s</w:t>
      </w:r>
      <w:r>
        <w:t xml:space="preserve"> staff are in their fifties and </w:t>
      </w:r>
      <w:r w:rsidR="00B2031C">
        <w:t xml:space="preserve">sixties, with </w:t>
      </w:r>
      <w:r w:rsidR="004962BA">
        <w:t xml:space="preserve">8% </w:t>
      </w:r>
      <w:r>
        <w:t>being over the age of 60. In conversations with older staff, many p</w:t>
      </w:r>
      <w:bookmarkStart w:id="63" w:name="_GoBack"/>
      <w:bookmarkEnd w:id="63"/>
      <w:r>
        <w:t>ointed out the physical demands of the position have become more difficult</w:t>
      </w:r>
      <w:r w:rsidR="00151E71">
        <w:t xml:space="preserve"> for them,</w:t>
      </w:r>
      <w:r>
        <w:t xml:space="preserve"> and many are looking towards retirement. </w:t>
      </w:r>
      <w:r w:rsidR="00671624">
        <w:t>As staff in the</w:t>
      </w:r>
      <w:r w:rsidR="0042241E">
        <w:t>ir</w:t>
      </w:r>
      <w:r w:rsidR="00671624">
        <w:t xml:space="preserve"> fifties and sixties also have longer tenure, JR faces a significant loss of expertise and institutional knowledge that will be difficult to </w:t>
      </w:r>
      <w:r w:rsidR="00D017CA">
        <w:t>re</w:t>
      </w:r>
      <w:r w:rsidR="00671624">
        <w:t xml:space="preserve">place, particularly in light of ongoing turnover challenges. </w:t>
      </w:r>
    </w:p>
    <w:p w14:paraId="7D14CFD6" w14:textId="77777777" w:rsidR="00C32C1A" w:rsidRPr="00407046" w:rsidRDefault="00946562" w:rsidP="00407046">
      <w:pPr>
        <w:pStyle w:val="Heading3"/>
      </w:pPr>
      <w:bookmarkStart w:id="64" w:name="_Toc531597507"/>
      <w:r w:rsidRPr="00407046">
        <w:t>Gender, Race and Ethnicity</w:t>
      </w:r>
      <w:bookmarkEnd w:id="64"/>
    </w:p>
    <w:p w14:paraId="22763CA1" w14:textId="77777777" w:rsidR="00946562" w:rsidRDefault="0000197C" w:rsidP="00946562">
      <w:r>
        <w:t xml:space="preserve">Historically, the field of corrections – </w:t>
      </w:r>
      <w:r w:rsidR="00946562">
        <w:t>w</w:t>
      </w:r>
      <w:r>
        <w:t xml:space="preserve">hich includes juvenile justice – </w:t>
      </w:r>
      <w:r w:rsidR="00946562">
        <w:t>was typically a male-dominated environment. Today, women are a growing part of the corrections workforce</w:t>
      </w:r>
      <w:r w:rsidR="006B5B99">
        <w:t>.</w:t>
      </w:r>
      <w:r w:rsidR="00C9789F">
        <w:rPr>
          <w:rStyle w:val="FootnoteReference"/>
        </w:rPr>
        <w:footnoteReference w:id="89"/>
      </w:r>
      <w:r w:rsidR="00946562">
        <w:t xml:space="preserve"> </w:t>
      </w:r>
    </w:p>
    <w:p w14:paraId="2D00B7F1" w14:textId="77777777" w:rsidR="00946562" w:rsidRDefault="00946562" w:rsidP="00946562">
      <w:r w:rsidRPr="00671624">
        <w:t xml:space="preserve">Overall, female staff </w:t>
      </w:r>
      <w:r w:rsidR="003A2833" w:rsidRPr="00671624">
        <w:t xml:space="preserve">members </w:t>
      </w:r>
      <w:r w:rsidRPr="00671624">
        <w:t>comprise more than one-third (39.9%) of all the direct services staff (</w:t>
      </w:r>
      <w:r w:rsidR="00B1359B">
        <w:t>s</w:t>
      </w:r>
      <w:r w:rsidRPr="00671624">
        <w:t xml:space="preserve">ee Exhibit </w:t>
      </w:r>
      <w:r w:rsidR="00AE4F72">
        <w:t>5-17</w:t>
      </w:r>
      <w:r w:rsidRPr="00671624">
        <w:t>). In the community facilities and Na</w:t>
      </w:r>
      <w:r w:rsidR="003A2833" w:rsidRPr="00671624">
        <w:t>selle, female staff comprise 50</w:t>
      </w:r>
      <w:r w:rsidR="004962BA" w:rsidRPr="00671624">
        <w:t>%</w:t>
      </w:r>
      <w:r w:rsidRPr="00671624">
        <w:t xml:space="preserve"> or more of the direct services staff. At Echo Glen and Green Hill, female staff comprise more than a third of all direct services staff. The percentage of staff </w:t>
      </w:r>
      <w:r w:rsidR="003A2833" w:rsidRPr="00671624">
        <w:t xml:space="preserve">members indicating a gender identity of </w:t>
      </w:r>
      <w:r w:rsidRPr="00671624">
        <w:t xml:space="preserve">non-binary or other </w:t>
      </w:r>
      <w:r w:rsidR="003A2833" w:rsidRPr="00671624">
        <w:t>ranged from zero to three percent across all facilities</w:t>
      </w:r>
      <w:r w:rsidRPr="00671624">
        <w:t>.</w:t>
      </w:r>
    </w:p>
    <w:p w14:paraId="0F9D6F05" w14:textId="77777777" w:rsidR="00946562" w:rsidRPr="00543298" w:rsidRDefault="00946562" w:rsidP="00946562">
      <w:r w:rsidRPr="00B1359B">
        <w:t>Overall, almost three-quarters of the direct services staff (70.6</w:t>
      </w:r>
      <w:r w:rsidR="00803255" w:rsidRPr="00B1359B">
        <w:t>%) are white or Caucasian; 12.3</w:t>
      </w:r>
      <w:r w:rsidR="004962BA" w:rsidRPr="00B1359B">
        <w:t xml:space="preserve">% </w:t>
      </w:r>
      <w:r w:rsidRPr="00B1359B">
        <w:t>are</w:t>
      </w:r>
      <w:r w:rsidR="00803255" w:rsidRPr="00B1359B">
        <w:t xml:space="preserve"> African American or black; 9.6</w:t>
      </w:r>
      <w:r w:rsidR="004962BA" w:rsidRPr="00B1359B">
        <w:t xml:space="preserve">% </w:t>
      </w:r>
      <w:r w:rsidRPr="00B1359B">
        <w:t>identified a</w:t>
      </w:r>
      <w:r w:rsidR="00803255" w:rsidRPr="00B1359B">
        <w:t>s other; and 5.3</w:t>
      </w:r>
      <w:r w:rsidR="004962BA" w:rsidRPr="00B1359B">
        <w:t xml:space="preserve">% </w:t>
      </w:r>
      <w:r w:rsidRPr="00B1359B">
        <w:t>are of mixed race. At Green</w:t>
      </w:r>
      <w:r w:rsidR="00E739E0" w:rsidRPr="00B1359B">
        <w:t xml:space="preserve"> Hill and Naselle, more than 80</w:t>
      </w:r>
      <w:r w:rsidR="004962BA" w:rsidRPr="00B1359B">
        <w:t xml:space="preserve">% </w:t>
      </w:r>
      <w:r w:rsidRPr="00B1359B">
        <w:t>of the staff are white or Caucasian (</w:t>
      </w:r>
      <w:r w:rsidR="00B1359B">
        <w:t>s</w:t>
      </w:r>
      <w:r w:rsidRPr="00B1359B">
        <w:t xml:space="preserve">ee Exhibit </w:t>
      </w:r>
      <w:r w:rsidR="00AE4F72">
        <w:t>5-17</w:t>
      </w:r>
      <w:r w:rsidRPr="00B1359B">
        <w:t>)</w:t>
      </w:r>
      <w:r w:rsidR="004C75A6" w:rsidRPr="00B1359B">
        <w:t xml:space="preserve">. </w:t>
      </w:r>
      <w:r w:rsidR="00C93093" w:rsidRPr="00B1359B">
        <w:t>Across all facilities</w:t>
      </w:r>
      <w:r w:rsidR="00AE738B" w:rsidRPr="00B1359B">
        <w:t>, less than one-quarter (15.8%) of direct services staff identify as being of</w:t>
      </w:r>
      <w:r w:rsidRPr="00B1359B">
        <w:t xml:space="preserve"> Hispanic</w:t>
      </w:r>
      <w:r w:rsidR="00E739E0" w:rsidRPr="00B1359B">
        <w:t>/Latino(a)</w:t>
      </w:r>
      <w:r w:rsidR="00E20B4E" w:rsidRPr="00B1359B">
        <w:t xml:space="preserve"> origin, ranging</w:t>
      </w:r>
      <w:r w:rsidRPr="00B1359B">
        <w:t xml:space="preserve"> from a high of </w:t>
      </w:r>
      <w:r w:rsidR="004D7C2B" w:rsidRPr="00B1359B">
        <w:t>36.1</w:t>
      </w:r>
      <w:r w:rsidR="004962BA" w:rsidRPr="00B1359B">
        <w:t xml:space="preserve">% </w:t>
      </w:r>
      <w:r w:rsidRPr="00B1359B">
        <w:t>of the staff working at Naselle</w:t>
      </w:r>
      <w:r w:rsidR="004D7C2B" w:rsidRPr="00B1359B">
        <w:t>,</w:t>
      </w:r>
      <w:r w:rsidRPr="00B1359B">
        <w:t xml:space="preserve"> to a low of </w:t>
      </w:r>
      <w:r w:rsidR="004D7C2B" w:rsidRPr="00B1359B">
        <w:t>10</w:t>
      </w:r>
      <w:r w:rsidR="004962BA" w:rsidRPr="00B1359B">
        <w:t xml:space="preserve">% </w:t>
      </w:r>
      <w:r w:rsidRPr="00B1359B">
        <w:t>of staff working at the community facilities (</w:t>
      </w:r>
      <w:r w:rsidR="00B1359B">
        <w:t>s</w:t>
      </w:r>
      <w:r w:rsidRPr="00B1359B">
        <w:t xml:space="preserve">ee Exhibit </w:t>
      </w:r>
      <w:r w:rsidR="006F7241">
        <w:t>5</w:t>
      </w:r>
      <w:r w:rsidR="00391964" w:rsidRPr="00B1359B">
        <w:t>-</w:t>
      </w:r>
      <w:r w:rsidR="006F7241">
        <w:t>17</w:t>
      </w:r>
      <w:r w:rsidRPr="00B1359B">
        <w:t>).</w:t>
      </w:r>
    </w:p>
    <w:p w14:paraId="25B8DDD2" w14:textId="77777777" w:rsidR="00946562" w:rsidRDefault="00946562" w:rsidP="009B6DDA">
      <w:pPr>
        <w:pStyle w:val="PullQuote"/>
        <w:framePr w:w="3281" w:h="1041" w:hRule="exact" w:wrap="around" w:hAnchor="page" w:x="7272" w:y="147"/>
      </w:pPr>
      <w:r>
        <w:t xml:space="preserve">There is a lack of </w:t>
      </w:r>
      <w:r w:rsidR="001E2F72">
        <w:t xml:space="preserve">staff </w:t>
      </w:r>
      <w:r>
        <w:t>“that look like us.” The staff “just don’t understand our world.”</w:t>
      </w:r>
    </w:p>
    <w:p w14:paraId="4022944F" w14:textId="77777777" w:rsidR="00946562" w:rsidRPr="00B355ED" w:rsidRDefault="00946562" w:rsidP="009B6DDA">
      <w:pPr>
        <w:pStyle w:val="PullQuote"/>
        <w:framePr w:w="3281" w:h="1041" w:hRule="exact" w:wrap="around" w:hAnchor="page" w:x="7272" w:y="147"/>
        <w:jc w:val="right"/>
      </w:pPr>
      <w:r>
        <w:t>—Youth</w:t>
      </w:r>
    </w:p>
    <w:p w14:paraId="09A07E6F" w14:textId="77777777" w:rsidR="00946562" w:rsidRDefault="00946562" w:rsidP="00946562">
      <w:r>
        <w:t>I</w:t>
      </w:r>
      <w:r w:rsidR="00962236">
        <w:t>n contrast, the youth are 34.1</w:t>
      </w:r>
      <w:r w:rsidR="004962BA">
        <w:t xml:space="preserve">% </w:t>
      </w:r>
      <w:r w:rsidR="00962236">
        <w:t>white or Caucasian; 21.2</w:t>
      </w:r>
      <w:r w:rsidR="004962BA">
        <w:t>%</w:t>
      </w:r>
      <w:r>
        <w:t xml:space="preserve"> Hispanic</w:t>
      </w:r>
      <w:r w:rsidR="00962236">
        <w:t>/Latino; 20.5</w:t>
      </w:r>
      <w:r w:rsidR="004962BA">
        <w:t xml:space="preserve">% </w:t>
      </w:r>
      <w:r w:rsidR="00962236">
        <w:t>African American or black; 13.4</w:t>
      </w:r>
      <w:r w:rsidR="004962BA">
        <w:t xml:space="preserve">% </w:t>
      </w:r>
      <w:r w:rsidR="00962236">
        <w:t>multi-racial; and 2.6</w:t>
      </w:r>
      <w:r w:rsidR="004962BA">
        <w:t xml:space="preserve">% </w:t>
      </w:r>
      <w:r>
        <w:t>Native American.</w:t>
      </w:r>
      <w:r w:rsidR="00AE4F72">
        <w:rPr>
          <w:rStyle w:val="FootnoteReference"/>
        </w:rPr>
        <w:footnoteReference w:id="90"/>
      </w:r>
      <w:r>
        <w:t xml:space="preserve"> In two of the focus groups held with more than 20 youth, </w:t>
      </w:r>
      <w:r w:rsidR="00542D7E">
        <w:t xml:space="preserve">participants </w:t>
      </w:r>
      <w:r w:rsidR="008C281E">
        <w:t>mentioned</w:t>
      </w:r>
      <w:r w:rsidR="00917C00">
        <w:t xml:space="preserve"> </w:t>
      </w:r>
      <w:r>
        <w:t xml:space="preserve">there is a problem </w:t>
      </w:r>
      <w:r w:rsidR="00542D7E">
        <w:t xml:space="preserve">with a lack of </w:t>
      </w:r>
      <w:r w:rsidR="00542D7E">
        <w:lastRenderedPageBreak/>
        <w:t xml:space="preserve">staff </w:t>
      </w:r>
      <w:r>
        <w:t xml:space="preserve">that </w:t>
      </w:r>
      <w:r w:rsidR="00542D7E">
        <w:t>“</w:t>
      </w:r>
      <w:r>
        <w:t xml:space="preserve">look like us.” </w:t>
      </w:r>
      <w:r w:rsidR="00542D7E">
        <w:t xml:space="preserve">Youth indicated the staff </w:t>
      </w:r>
      <w:r w:rsidR="00376734">
        <w:t xml:space="preserve"> </w:t>
      </w:r>
      <w:r>
        <w:t xml:space="preserve">“just don’t understand our world.” Some youth also </w:t>
      </w:r>
      <w:r w:rsidR="004C6097">
        <w:t>noted</w:t>
      </w:r>
      <w:r>
        <w:t xml:space="preserve"> the DBT skills they are </w:t>
      </w:r>
      <w:r w:rsidR="004C6097">
        <w:t>learning</w:t>
      </w:r>
      <w:r>
        <w:t xml:space="preserve"> “can’t be used back home” or “in the hood.” Youth stated more staff with “good social skills” and who are not “closed-minded” should be hired.</w:t>
      </w:r>
    </w:p>
    <w:p w14:paraId="6D1F12BB" w14:textId="77777777" w:rsidR="00946562" w:rsidRDefault="00946562" w:rsidP="001144F3">
      <w:pPr>
        <w:pStyle w:val="Heading3"/>
      </w:pPr>
      <w:bookmarkStart w:id="65" w:name="_Toc531597508"/>
      <w:r>
        <w:t>Staff Tenure</w:t>
      </w:r>
      <w:bookmarkEnd w:id="65"/>
    </w:p>
    <w:p w14:paraId="5C1E88CB" w14:textId="77777777" w:rsidR="00391964" w:rsidRDefault="00946562" w:rsidP="00946562">
      <w:r w:rsidRPr="00293B66">
        <w:t>In the staff survey, we asked participants to identify the number of years they have been in their current position to examine if there were d</w:t>
      </w:r>
      <w:r w:rsidR="00C30818" w:rsidRPr="00293B66">
        <w:t>ifferences in tenure among the four</w:t>
      </w:r>
      <w:r w:rsidRPr="00293B66">
        <w:t xml:space="preserve"> diff</w:t>
      </w:r>
      <w:r w:rsidR="00F81CE7" w:rsidRPr="00293B66">
        <w:t>erent classifications of direct-</w:t>
      </w:r>
      <w:r w:rsidRPr="00293B66">
        <w:t xml:space="preserve">services staff. </w:t>
      </w:r>
      <w:r w:rsidR="00AE63DD" w:rsidRPr="00293B66">
        <w:t xml:space="preserve">Exhibit </w:t>
      </w:r>
      <w:r w:rsidR="006F7241">
        <w:t>5</w:t>
      </w:r>
      <w:r w:rsidR="00AE63DD" w:rsidRPr="00293B66">
        <w:t>-</w:t>
      </w:r>
      <w:r w:rsidR="00513631" w:rsidRPr="00293B66">
        <w:t>1</w:t>
      </w:r>
      <w:r w:rsidR="00513631">
        <w:t>8</w:t>
      </w:r>
      <w:r w:rsidR="00513631" w:rsidRPr="00293B66">
        <w:t xml:space="preserve"> </w:t>
      </w:r>
      <w:r w:rsidRPr="00293B66">
        <w:t>provides informatio</w:t>
      </w:r>
      <w:r w:rsidR="00142688" w:rsidRPr="00293B66">
        <w:t>n on tenure at each of the three</w:t>
      </w:r>
      <w:r w:rsidRPr="00293B66">
        <w:t xml:space="preserve"> institutions and the community facilities combined.</w:t>
      </w:r>
      <w:r w:rsidR="00A05906">
        <w:t xml:space="preserve"> </w:t>
      </w:r>
    </w:p>
    <w:tbl>
      <w:tblPr>
        <w:tblStyle w:val="HyzerTable"/>
        <w:tblpPr w:leftFromText="180" w:rightFromText="180" w:vertAnchor="text" w:horzAnchor="page" w:tblpXSpec="center" w:tblpY="454"/>
        <w:tblW w:w="5000" w:type="pct"/>
        <w:jc w:val="left"/>
        <w:tblLook w:val="0420" w:firstRow="1" w:lastRow="0" w:firstColumn="0" w:lastColumn="0" w:noHBand="0" w:noVBand="1"/>
      </w:tblPr>
      <w:tblGrid>
        <w:gridCol w:w="2242"/>
        <w:gridCol w:w="1458"/>
        <w:gridCol w:w="1415"/>
        <w:gridCol w:w="1415"/>
        <w:gridCol w:w="1415"/>
        <w:gridCol w:w="1415"/>
      </w:tblGrid>
      <w:tr w:rsidR="00452C5E" w:rsidRPr="00CD1826" w14:paraId="42843AD7" w14:textId="77777777" w:rsidTr="00452C5E">
        <w:trPr>
          <w:cnfStyle w:val="100000000000" w:firstRow="1" w:lastRow="0" w:firstColumn="0" w:lastColumn="0" w:oddVBand="0" w:evenVBand="0" w:oddHBand="0" w:evenHBand="0" w:firstRowFirstColumn="0" w:firstRowLastColumn="0" w:lastRowFirstColumn="0" w:lastRowLastColumn="0"/>
          <w:tblHeader/>
          <w:jc w:val="left"/>
        </w:trPr>
        <w:tc>
          <w:tcPr>
            <w:tcW w:w="1197" w:type="pct"/>
          </w:tcPr>
          <w:p w14:paraId="1A72AD23" w14:textId="77777777" w:rsidR="00452C5E" w:rsidRPr="00FA536F" w:rsidRDefault="00452C5E" w:rsidP="00452C5E">
            <w:pPr>
              <w:pStyle w:val="tableheaderwhite"/>
              <w:spacing w:before="20" w:after="20"/>
              <w:jc w:val="left"/>
              <w:rPr>
                <w:sz w:val="22"/>
              </w:rPr>
            </w:pPr>
            <w:r w:rsidRPr="775938C6">
              <w:rPr>
                <w:sz w:val="22"/>
                <w:szCs w:val="22"/>
              </w:rPr>
              <w:t>Facility/Position</w:t>
            </w:r>
          </w:p>
        </w:tc>
        <w:tc>
          <w:tcPr>
            <w:tcW w:w="779" w:type="pct"/>
          </w:tcPr>
          <w:p w14:paraId="3C68E5F1" w14:textId="77777777" w:rsidR="00452C5E" w:rsidRPr="00FA536F" w:rsidRDefault="00452C5E" w:rsidP="00452C5E">
            <w:pPr>
              <w:pStyle w:val="tableheaderwhite"/>
              <w:spacing w:before="20" w:after="20"/>
              <w:rPr>
                <w:sz w:val="22"/>
              </w:rPr>
            </w:pPr>
            <w:r>
              <w:rPr>
                <w:sz w:val="22"/>
                <w:szCs w:val="22"/>
              </w:rPr>
              <w:t>&lt;</w:t>
            </w:r>
            <w:r w:rsidRPr="775938C6">
              <w:rPr>
                <w:sz w:val="22"/>
                <w:szCs w:val="22"/>
              </w:rPr>
              <w:t>1 year</w:t>
            </w:r>
          </w:p>
        </w:tc>
        <w:tc>
          <w:tcPr>
            <w:tcW w:w="756" w:type="pct"/>
          </w:tcPr>
          <w:p w14:paraId="1F4A1A4E" w14:textId="77777777" w:rsidR="00452C5E" w:rsidRPr="00FA536F" w:rsidRDefault="00452C5E" w:rsidP="00452C5E">
            <w:pPr>
              <w:pStyle w:val="tableheaderwhite"/>
              <w:spacing w:before="20" w:after="20"/>
              <w:rPr>
                <w:sz w:val="22"/>
              </w:rPr>
            </w:pPr>
            <w:r w:rsidRPr="775938C6">
              <w:rPr>
                <w:sz w:val="22"/>
                <w:szCs w:val="22"/>
              </w:rPr>
              <w:t>1</w:t>
            </w:r>
            <w:r>
              <w:rPr>
                <w:sz w:val="22"/>
                <w:szCs w:val="22"/>
              </w:rPr>
              <w:t xml:space="preserve"> - &lt;</w:t>
            </w:r>
            <w:r w:rsidRPr="775938C6">
              <w:rPr>
                <w:sz w:val="22"/>
                <w:szCs w:val="22"/>
              </w:rPr>
              <w:t>3</w:t>
            </w:r>
          </w:p>
        </w:tc>
        <w:tc>
          <w:tcPr>
            <w:tcW w:w="756" w:type="pct"/>
          </w:tcPr>
          <w:p w14:paraId="78DFEE4F" w14:textId="77777777" w:rsidR="00452C5E" w:rsidRPr="00FA536F" w:rsidRDefault="00452C5E" w:rsidP="00452C5E">
            <w:pPr>
              <w:pStyle w:val="tableheaderwhite"/>
              <w:spacing w:before="20" w:after="20"/>
              <w:rPr>
                <w:sz w:val="22"/>
              </w:rPr>
            </w:pPr>
            <w:r w:rsidRPr="775938C6">
              <w:rPr>
                <w:sz w:val="22"/>
                <w:szCs w:val="22"/>
              </w:rPr>
              <w:t>3</w:t>
            </w:r>
            <w:r>
              <w:rPr>
                <w:sz w:val="22"/>
                <w:szCs w:val="22"/>
              </w:rPr>
              <w:t xml:space="preserve"> </w:t>
            </w:r>
            <w:r w:rsidRPr="775938C6">
              <w:rPr>
                <w:sz w:val="22"/>
                <w:szCs w:val="22"/>
              </w:rPr>
              <w:t>-</w:t>
            </w:r>
            <w:r>
              <w:rPr>
                <w:sz w:val="22"/>
                <w:szCs w:val="22"/>
              </w:rPr>
              <w:t xml:space="preserve"> &lt;</w:t>
            </w:r>
            <w:r w:rsidRPr="775938C6">
              <w:rPr>
                <w:sz w:val="22"/>
                <w:szCs w:val="22"/>
              </w:rPr>
              <w:t>5</w:t>
            </w:r>
          </w:p>
        </w:tc>
        <w:tc>
          <w:tcPr>
            <w:tcW w:w="756" w:type="pct"/>
          </w:tcPr>
          <w:p w14:paraId="41C653F2" w14:textId="77777777" w:rsidR="00452C5E" w:rsidRPr="00FA536F" w:rsidRDefault="00452C5E" w:rsidP="00452C5E">
            <w:pPr>
              <w:pStyle w:val="tableheaderwhite"/>
              <w:spacing w:before="20" w:after="20"/>
              <w:rPr>
                <w:sz w:val="22"/>
              </w:rPr>
            </w:pPr>
            <w:r w:rsidRPr="775938C6">
              <w:rPr>
                <w:sz w:val="22"/>
                <w:szCs w:val="22"/>
              </w:rPr>
              <w:t>5</w:t>
            </w:r>
            <w:r>
              <w:rPr>
                <w:sz w:val="22"/>
                <w:szCs w:val="22"/>
              </w:rPr>
              <w:t xml:space="preserve"> </w:t>
            </w:r>
            <w:r w:rsidRPr="775938C6">
              <w:rPr>
                <w:sz w:val="22"/>
                <w:szCs w:val="22"/>
              </w:rPr>
              <w:t>-</w:t>
            </w:r>
            <w:r>
              <w:rPr>
                <w:sz w:val="22"/>
                <w:szCs w:val="22"/>
              </w:rPr>
              <w:t xml:space="preserve"> &lt;</w:t>
            </w:r>
            <w:r w:rsidRPr="775938C6">
              <w:rPr>
                <w:sz w:val="22"/>
                <w:szCs w:val="22"/>
              </w:rPr>
              <w:t>10</w:t>
            </w:r>
          </w:p>
        </w:tc>
        <w:tc>
          <w:tcPr>
            <w:tcW w:w="756" w:type="pct"/>
          </w:tcPr>
          <w:p w14:paraId="708F3F81" w14:textId="77777777" w:rsidR="00452C5E" w:rsidRPr="00FA536F" w:rsidRDefault="00452C5E" w:rsidP="00452C5E">
            <w:pPr>
              <w:pStyle w:val="tableheaderwhite"/>
              <w:spacing w:before="20" w:after="20"/>
              <w:rPr>
                <w:sz w:val="22"/>
              </w:rPr>
            </w:pPr>
            <w:r w:rsidRPr="775938C6">
              <w:rPr>
                <w:sz w:val="22"/>
                <w:szCs w:val="22"/>
              </w:rPr>
              <w:t>10+</w:t>
            </w:r>
          </w:p>
        </w:tc>
      </w:tr>
      <w:tr w:rsidR="00452C5E" w:rsidRPr="00CD1826" w14:paraId="36DA041B"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shd w:val="clear" w:color="auto" w:fill="000000" w:themeFill="text1"/>
            <w:vAlign w:val="bottom"/>
          </w:tcPr>
          <w:p w14:paraId="65D21110" w14:textId="77777777" w:rsidR="00452C5E" w:rsidRPr="0018752B" w:rsidRDefault="00452C5E" w:rsidP="00452C5E">
            <w:pPr>
              <w:pStyle w:val="TableBullet"/>
              <w:keepNext w:val="0"/>
              <w:numPr>
                <w:ilvl w:val="0"/>
                <w:numId w:val="0"/>
              </w:numPr>
              <w:ind w:left="360"/>
            </w:pPr>
            <w:r>
              <w:t>JR Total (n=170)</w:t>
            </w:r>
          </w:p>
        </w:tc>
        <w:tc>
          <w:tcPr>
            <w:tcW w:w="779" w:type="pct"/>
            <w:shd w:val="clear" w:color="auto" w:fill="000000" w:themeFill="text1"/>
            <w:vAlign w:val="bottom"/>
          </w:tcPr>
          <w:p w14:paraId="46E56D2D" w14:textId="77777777" w:rsidR="00452C5E" w:rsidRPr="008C2563" w:rsidRDefault="00452C5E" w:rsidP="00452C5E">
            <w:pPr>
              <w:pStyle w:val="tabletextcenter"/>
              <w:rPr>
                <w:rStyle w:val="TableTextBold"/>
              </w:rPr>
            </w:pPr>
            <w:r>
              <w:rPr>
                <w:rStyle w:val="TableTextBold"/>
              </w:rPr>
              <w:t>26.5%</w:t>
            </w:r>
          </w:p>
        </w:tc>
        <w:tc>
          <w:tcPr>
            <w:tcW w:w="756" w:type="pct"/>
            <w:shd w:val="clear" w:color="auto" w:fill="000000" w:themeFill="text1"/>
            <w:vAlign w:val="bottom"/>
          </w:tcPr>
          <w:p w14:paraId="6A9A336F" w14:textId="77777777" w:rsidR="00452C5E" w:rsidRPr="008C2563" w:rsidRDefault="00452C5E" w:rsidP="00452C5E">
            <w:pPr>
              <w:pStyle w:val="tabletextcenter"/>
              <w:rPr>
                <w:rStyle w:val="TableTextBold"/>
              </w:rPr>
            </w:pPr>
            <w:r>
              <w:rPr>
                <w:rStyle w:val="TableTextBold"/>
              </w:rPr>
              <w:t>40.0%</w:t>
            </w:r>
          </w:p>
        </w:tc>
        <w:tc>
          <w:tcPr>
            <w:tcW w:w="756" w:type="pct"/>
            <w:shd w:val="clear" w:color="auto" w:fill="000000" w:themeFill="text1"/>
            <w:vAlign w:val="bottom"/>
          </w:tcPr>
          <w:p w14:paraId="38B40C3B" w14:textId="77777777" w:rsidR="00452C5E" w:rsidRPr="008C2563" w:rsidRDefault="00452C5E" w:rsidP="00452C5E">
            <w:pPr>
              <w:pStyle w:val="tabletextcenter"/>
              <w:rPr>
                <w:rStyle w:val="TableTextBold"/>
              </w:rPr>
            </w:pPr>
            <w:r>
              <w:rPr>
                <w:rStyle w:val="TableTextBold"/>
              </w:rPr>
              <w:t>5.9%</w:t>
            </w:r>
          </w:p>
        </w:tc>
        <w:tc>
          <w:tcPr>
            <w:tcW w:w="756" w:type="pct"/>
            <w:shd w:val="clear" w:color="auto" w:fill="000000" w:themeFill="text1"/>
            <w:vAlign w:val="bottom"/>
          </w:tcPr>
          <w:p w14:paraId="6E460447" w14:textId="77777777" w:rsidR="00452C5E" w:rsidRPr="008C2563" w:rsidRDefault="00452C5E" w:rsidP="00452C5E">
            <w:pPr>
              <w:pStyle w:val="tabletextcenter"/>
              <w:rPr>
                <w:rStyle w:val="TableTextBold"/>
              </w:rPr>
            </w:pPr>
            <w:r>
              <w:rPr>
                <w:rStyle w:val="TableTextBold"/>
              </w:rPr>
              <w:t>8.8%</w:t>
            </w:r>
          </w:p>
        </w:tc>
        <w:tc>
          <w:tcPr>
            <w:tcW w:w="756" w:type="pct"/>
            <w:shd w:val="clear" w:color="auto" w:fill="000000" w:themeFill="text1"/>
            <w:vAlign w:val="bottom"/>
          </w:tcPr>
          <w:p w14:paraId="0F1F17A0" w14:textId="77777777" w:rsidR="00452C5E" w:rsidRPr="008C2563" w:rsidRDefault="00452C5E" w:rsidP="00452C5E">
            <w:pPr>
              <w:pStyle w:val="tabletextcenter"/>
              <w:rPr>
                <w:rStyle w:val="TableTextBold"/>
              </w:rPr>
            </w:pPr>
            <w:r>
              <w:rPr>
                <w:rStyle w:val="TableTextBold"/>
              </w:rPr>
              <w:t>18.8%</w:t>
            </w:r>
          </w:p>
        </w:tc>
      </w:tr>
      <w:tr w:rsidR="00452C5E" w:rsidRPr="00CD1826" w14:paraId="01CDE0A8" w14:textId="77777777" w:rsidTr="00452C5E">
        <w:trPr>
          <w:jc w:val="left"/>
        </w:trPr>
        <w:tc>
          <w:tcPr>
            <w:tcW w:w="1197" w:type="pct"/>
            <w:shd w:val="clear" w:color="auto" w:fill="A6A6A6" w:themeFill="background1" w:themeFillShade="A6"/>
            <w:vAlign w:val="bottom"/>
          </w:tcPr>
          <w:p w14:paraId="64DC5560" w14:textId="77777777" w:rsidR="00452C5E" w:rsidRDefault="00452C5E" w:rsidP="00452C5E">
            <w:pPr>
              <w:pStyle w:val="TableBullet"/>
              <w:keepNext w:val="0"/>
              <w:numPr>
                <w:ilvl w:val="0"/>
                <w:numId w:val="0"/>
              </w:numPr>
              <w:ind w:left="360"/>
              <w:rPr>
                <w:rFonts w:ascii="Calibri" w:hAnsi="Calibri"/>
                <w:color w:val="000000"/>
              </w:rPr>
            </w:pPr>
            <w:r w:rsidRPr="0018752B">
              <w:t>Echo Glen</w:t>
            </w:r>
          </w:p>
        </w:tc>
        <w:tc>
          <w:tcPr>
            <w:tcW w:w="779" w:type="pct"/>
            <w:shd w:val="clear" w:color="auto" w:fill="A6A6A6" w:themeFill="background1" w:themeFillShade="A6"/>
          </w:tcPr>
          <w:p w14:paraId="73C42E58" w14:textId="77777777" w:rsidR="00452C5E" w:rsidRPr="00613DF1" w:rsidRDefault="00452C5E" w:rsidP="00452C5E">
            <w:pPr>
              <w:pStyle w:val="tabletextcenter"/>
              <w:rPr>
                <w:rStyle w:val="TableTextBold"/>
                <w:b w:val="0"/>
              </w:rPr>
            </w:pPr>
            <w:r w:rsidRPr="00613DF1">
              <w:rPr>
                <w:b/>
              </w:rPr>
              <w:t>18.2%</w:t>
            </w:r>
          </w:p>
        </w:tc>
        <w:tc>
          <w:tcPr>
            <w:tcW w:w="756" w:type="pct"/>
            <w:shd w:val="clear" w:color="auto" w:fill="A6A6A6" w:themeFill="background1" w:themeFillShade="A6"/>
          </w:tcPr>
          <w:p w14:paraId="4832EA71" w14:textId="77777777" w:rsidR="00452C5E" w:rsidRPr="00613DF1" w:rsidRDefault="00452C5E" w:rsidP="00452C5E">
            <w:pPr>
              <w:pStyle w:val="tabletextcenter"/>
              <w:rPr>
                <w:rStyle w:val="TableTextBold"/>
                <w:b w:val="0"/>
              </w:rPr>
            </w:pPr>
            <w:r w:rsidRPr="00613DF1">
              <w:rPr>
                <w:b/>
              </w:rPr>
              <w:t>21.2%</w:t>
            </w:r>
          </w:p>
        </w:tc>
        <w:tc>
          <w:tcPr>
            <w:tcW w:w="756" w:type="pct"/>
            <w:shd w:val="clear" w:color="auto" w:fill="A6A6A6" w:themeFill="background1" w:themeFillShade="A6"/>
          </w:tcPr>
          <w:p w14:paraId="6458D048" w14:textId="77777777" w:rsidR="00452C5E" w:rsidRPr="00613DF1" w:rsidRDefault="00452C5E" w:rsidP="00452C5E">
            <w:pPr>
              <w:pStyle w:val="tabletextcenter"/>
              <w:rPr>
                <w:rStyle w:val="TableTextBold"/>
                <w:b w:val="0"/>
              </w:rPr>
            </w:pPr>
            <w:r w:rsidRPr="00613DF1">
              <w:rPr>
                <w:b/>
              </w:rPr>
              <w:t>3.0%</w:t>
            </w:r>
          </w:p>
        </w:tc>
        <w:tc>
          <w:tcPr>
            <w:tcW w:w="756" w:type="pct"/>
            <w:shd w:val="clear" w:color="auto" w:fill="A6A6A6" w:themeFill="background1" w:themeFillShade="A6"/>
          </w:tcPr>
          <w:p w14:paraId="3E3B5530" w14:textId="77777777" w:rsidR="00452C5E" w:rsidRPr="00613DF1" w:rsidRDefault="00452C5E" w:rsidP="00452C5E">
            <w:pPr>
              <w:pStyle w:val="tabletextcenter"/>
              <w:rPr>
                <w:rStyle w:val="TableTextBold"/>
                <w:b w:val="0"/>
              </w:rPr>
            </w:pPr>
            <w:r w:rsidRPr="00613DF1">
              <w:rPr>
                <w:b/>
              </w:rPr>
              <w:t>9.1%</w:t>
            </w:r>
          </w:p>
        </w:tc>
        <w:tc>
          <w:tcPr>
            <w:tcW w:w="756" w:type="pct"/>
            <w:shd w:val="clear" w:color="auto" w:fill="A6A6A6" w:themeFill="background1" w:themeFillShade="A6"/>
          </w:tcPr>
          <w:p w14:paraId="053FF605" w14:textId="77777777" w:rsidR="00452C5E" w:rsidRPr="00613DF1" w:rsidRDefault="00452C5E" w:rsidP="00452C5E">
            <w:pPr>
              <w:pStyle w:val="tabletextcenter"/>
              <w:rPr>
                <w:rStyle w:val="TableTextBold"/>
                <w:b w:val="0"/>
              </w:rPr>
            </w:pPr>
            <w:r w:rsidRPr="00613DF1">
              <w:rPr>
                <w:b/>
              </w:rPr>
              <w:t>48.5%</w:t>
            </w:r>
          </w:p>
        </w:tc>
      </w:tr>
      <w:tr w:rsidR="00452C5E" w:rsidRPr="00CD1826" w14:paraId="3A583D14"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vAlign w:val="bottom"/>
          </w:tcPr>
          <w:p w14:paraId="52304168" w14:textId="77777777" w:rsidR="00452C5E" w:rsidRPr="00CD1826" w:rsidRDefault="00452C5E" w:rsidP="00452C5E">
            <w:pPr>
              <w:pStyle w:val="TableBullet"/>
              <w:keepNext w:val="0"/>
              <w:numPr>
                <w:ilvl w:val="0"/>
                <w:numId w:val="0"/>
              </w:numPr>
              <w:ind w:left="360"/>
            </w:pPr>
            <w:r>
              <w:t>JRRC (n=24)</w:t>
            </w:r>
          </w:p>
        </w:tc>
        <w:tc>
          <w:tcPr>
            <w:tcW w:w="779" w:type="pct"/>
          </w:tcPr>
          <w:p w14:paraId="204A0B5A" w14:textId="77777777" w:rsidR="00452C5E" w:rsidRPr="00F51F78" w:rsidRDefault="00452C5E" w:rsidP="00452C5E">
            <w:pPr>
              <w:pStyle w:val="tabletextcenter"/>
              <w:rPr>
                <w:rStyle w:val="TableTextBold"/>
                <w:b w:val="0"/>
              </w:rPr>
            </w:pPr>
            <w:r w:rsidRPr="003A1F3E">
              <w:t>8.3%</w:t>
            </w:r>
          </w:p>
        </w:tc>
        <w:tc>
          <w:tcPr>
            <w:tcW w:w="756" w:type="pct"/>
          </w:tcPr>
          <w:p w14:paraId="53A23AA2" w14:textId="77777777" w:rsidR="00452C5E" w:rsidRPr="00F51F78" w:rsidRDefault="00452C5E" w:rsidP="00452C5E">
            <w:pPr>
              <w:pStyle w:val="tabletextcenter"/>
              <w:rPr>
                <w:rStyle w:val="TableTextBold"/>
                <w:b w:val="0"/>
              </w:rPr>
            </w:pPr>
            <w:r w:rsidRPr="00610981">
              <w:t>16.7%</w:t>
            </w:r>
          </w:p>
        </w:tc>
        <w:tc>
          <w:tcPr>
            <w:tcW w:w="756" w:type="pct"/>
          </w:tcPr>
          <w:p w14:paraId="11B048DF" w14:textId="77777777" w:rsidR="00452C5E" w:rsidRPr="00F51F78" w:rsidRDefault="00452C5E" w:rsidP="00452C5E">
            <w:pPr>
              <w:pStyle w:val="tabletextcenter"/>
              <w:rPr>
                <w:rStyle w:val="TableTextBold"/>
                <w:b w:val="0"/>
              </w:rPr>
            </w:pPr>
            <w:r w:rsidRPr="005619EB">
              <w:t>4.2%</w:t>
            </w:r>
          </w:p>
        </w:tc>
        <w:tc>
          <w:tcPr>
            <w:tcW w:w="756" w:type="pct"/>
          </w:tcPr>
          <w:p w14:paraId="32E85BB1" w14:textId="77777777" w:rsidR="00452C5E" w:rsidRPr="00F51F78" w:rsidRDefault="00452C5E" w:rsidP="00452C5E">
            <w:pPr>
              <w:pStyle w:val="tabletextcenter"/>
              <w:rPr>
                <w:rStyle w:val="TableTextBold"/>
                <w:b w:val="0"/>
              </w:rPr>
            </w:pPr>
            <w:r w:rsidRPr="008C62A8">
              <w:t>12.5%</w:t>
            </w:r>
          </w:p>
        </w:tc>
        <w:tc>
          <w:tcPr>
            <w:tcW w:w="756" w:type="pct"/>
          </w:tcPr>
          <w:p w14:paraId="1712767C" w14:textId="77777777" w:rsidR="00452C5E" w:rsidRPr="00F51F78" w:rsidRDefault="00452C5E" w:rsidP="00452C5E">
            <w:pPr>
              <w:pStyle w:val="tabletextcenter"/>
              <w:rPr>
                <w:rStyle w:val="TableTextBold"/>
                <w:b w:val="0"/>
              </w:rPr>
            </w:pPr>
            <w:r w:rsidRPr="00D97990">
              <w:t>58.3%</w:t>
            </w:r>
          </w:p>
        </w:tc>
      </w:tr>
      <w:tr w:rsidR="00452C5E" w:rsidRPr="00CD1826" w14:paraId="517D0267" w14:textId="77777777" w:rsidTr="00452C5E">
        <w:trPr>
          <w:jc w:val="left"/>
        </w:trPr>
        <w:tc>
          <w:tcPr>
            <w:tcW w:w="1197" w:type="pct"/>
            <w:vAlign w:val="bottom"/>
          </w:tcPr>
          <w:p w14:paraId="662BED6C" w14:textId="77777777" w:rsidR="00452C5E" w:rsidRPr="00CD1826" w:rsidRDefault="00452C5E" w:rsidP="00452C5E">
            <w:pPr>
              <w:pStyle w:val="TableBullet"/>
              <w:keepNext w:val="0"/>
              <w:numPr>
                <w:ilvl w:val="0"/>
                <w:numId w:val="0"/>
              </w:numPr>
              <w:ind w:left="360"/>
            </w:pPr>
            <w:r>
              <w:t>JRCA (n=6)</w:t>
            </w:r>
          </w:p>
        </w:tc>
        <w:tc>
          <w:tcPr>
            <w:tcW w:w="779" w:type="pct"/>
          </w:tcPr>
          <w:p w14:paraId="3E403B2D" w14:textId="77777777" w:rsidR="00452C5E" w:rsidRPr="00F51F78" w:rsidRDefault="00452C5E" w:rsidP="00452C5E">
            <w:pPr>
              <w:pStyle w:val="tabletextcenter"/>
              <w:rPr>
                <w:rStyle w:val="TableTextBold"/>
                <w:b w:val="0"/>
              </w:rPr>
            </w:pPr>
            <w:r w:rsidRPr="003A1F3E">
              <w:t>66.7%</w:t>
            </w:r>
          </w:p>
        </w:tc>
        <w:tc>
          <w:tcPr>
            <w:tcW w:w="756" w:type="pct"/>
          </w:tcPr>
          <w:p w14:paraId="412AF940" w14:textId="77777777" w:rsidR="00452C5E" w:rsidRPr="00F51F78" w:rsidRDefault="00452C5E" w:rsidP="00452C5E">
            <w:pPr>
              <w:pStyle w:val="tabletextcenter"/>
              <w:rPr>
                <w:rStyle w:val="TableTextBold"/>
                <w:b w:val="0"/>
              </w:rPr>
            </w:pPr>
            <w:r w:rsidRPr="00610981">
              <w:t>33.3%</w:t>
            </w:r>
          </w:p>
        </w:tc>
        <w:tc>
          <w:tcPr>
            <w:tcW w:w="756" w:type="pct"/>
          </w:tcPr>
          <w:p w14:paraId="28A8E62A" w14:textId="77777777" w:rsidR="00452C5E" w:rsidRPr="00F51F78" w:rsidRDefault="00452C5E" w:rsidP="00452C5E">
            <w:pPr>
              <w:pStyle w:val="tabletextcenter"/>
              <w:rPr>
                <w:rStyle w:val="TableTextBold"/>
                <w:b w:val="0"/>
              </w:rPr>
            </w:pPr>
            <w:r w:rsidRPr="005619EB">
              <w:t>0.0%</w:t>
            </w:r>
          </w:p>
        </w:tc>
        <w:tc>
          <w:tcPr>
            <w:tcW w:w="756" w:type="pct"/>
          </w:tcPr>
          <w:p w14:paraId="7292B1E5" w14:textId="77777777" w:rsidR="00452C5E" w:rsidRPr="00F51F78" w:rsidRDefault="00452C5E" w:rsidP="00452C5E">
            <w:pPr>
              <w:pStyle w:val="tabletextcenter"/>
              <w:rPr>
                <w:rStyle w:val="TableTextBold"/>
                <w:b w:val="0"/>
              </w:rPr>
            </w:pPr>
            <w:r w:rsidRPr="008C62A8">
              <w:t>0.0%</w:t>
            </w:r>
          </w:p>
        </w:tc>
        <w:tc>
          <w:tcPr>
            <w:tcW w:w="756" w:type="pct"/>
          </w:tcPr>
          <w:p w14:paraId="00BF99D4" w14:textId="77777777" w:rsidR="00452C5E" w:rsidRPr="00F51F78" w:rsidRDefault="00452C5E" w:rsidP="00452C5E">
            <w:pPr>
              <w:pStyle w:val="tabletextcenter"/>
              <w:rPr>
                <w:rStyle w:val="TableTextBold"/>
                <w:b w:val="0"/>
              </w:rPr>
            </w:pPr>
            <w:r w:rsidRPr="00D97990">
              <w:t>0.0%</w:t>
            </w:r>
          </w:p>
        </w:tc>
      </w:tr>
      <w:tr w:rsidR="00452C5E" w:rsidRPr="00CD1826" w14:paraId="6D6A2EF5"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vAlign w:val="bottom"/>
          </w:tcPr>
          <w:p w14:paraId="43D1FF96" w14:textId="77777777" w:rsidR="00452C5E" w:rsidRPr="005F5C6E" w:rsidRDefault="00452C5E" w:rsidP="00452C5E">
            <w:pPr>
              <w:pStyle w:val="TableBullet"/>
              <w:keepNext w:val="0"/>
              <w:numPr>
                <w:ilvl w:val="0"/>
                <w:numId w:val="0"/>
              </w:numPr>
              <w:ind w:left="360"/>
            </w:pPr>
            <w:r>
              <w:t>JRSO 1 (n=2)</w:t>
            </w:r>
          </w:p>
        </w:tc>
        <w:tc>
          <w:tcPr>
            <w:tcW w:w="779" w:type="pct"/>
          </w:tcPr>
          <w:p w14:paraId="6A46FE72" w14:textId="77777777" w:rsidR="00452C5E" w:rsidRPr="00F51F78" w:rsidRDefault="00452C5E" w:rsidP="00452C5E">
            <w:pPr>
              <w:pStyle w:val="tabletextcenter"/>
              <w:rPr>
                <w:rStyle w:val="TableTextBold"/>
                <w:b w:val="0"/>
              </w:rPr>
            </w:pPr>
            <w:r w:rsidRPr="003A1F3E">
              <w:t>0.0%</w:t>
            </w:r>
          </w:p>
        </w:tc>
        <w:tc>
          <w:tcPr>
            <w:tcW w:w="756" w:type="pct"/>
          </w:tcPr>
          <w:p w14:paraId="409C5D44" w14:textId="77777777" w:rsidR="00452C5E" w:rsidRPr="00F51F78" w:rsidRDefault="00452C5E" w:rsidP="00452C5E">
            <w:pPr>
              <w:pStyle w:val="tabletextcenter"/>
              <w:rPr>
                <w:rStyle w:val="TableTextBold"/>
                <w:b w:val="0"/>
              </w:rPr>
            </w:pPr>
            <w:r w:rsidRPr="00610981">
              <w:t>50.0%</w:t>
            </w:r>
          </w:p>
        </w:tc>
        <w:tc>
          <w:tcPr>
            <w:tcW w:w="756" w:type="pct"/>
          </w:tcPr>
          <w:p w14:paraId="49B2CB3A" w14:textId="77777777" w:rsidR="00452C5E" w:rsidRPr="00F51F78" w:rsidRDefault="00452C5E" w:rsidP="00452C5E">
            <w:pPr>
              <w:pStyle w:val="tabletextcenter"/>
              <w:rPr>
                <w:rStyle w:val="TableTextBold"/>
                <w:b w:val="0"/>
              </w:rPr>
            </w:pPr>
            <w:r w:rsidRPr="005619EB">
              <w:t>0.0%</w:t>
            </w:r>
          </w:p>
        </w:tc>
        <w:tc>
          <w:tcPr>
            <w:tcW w:w="756" w:type="pct"/>
          </w:tcPr>
          <w:p w14:paraId="6B2B3B85" w14:textId="77777777" w:rsidR="00452C5E" w:rsidRPr="00F51F78" w:rsidRDefault="00452C5E" w:rsidP="00452C5E">
            <w:pPr>
              <w:pStyle w:val="tabletextcenter"/>
              <w:rPr>
                <w:rStyle w:val="TableTextBold"/>
                <w:b w:val="0"/>
              </w:rPr>
            </w:pPr>
            <w:r w:rsidRPr="008C62A8">
              <w:t>0.0%</w:t>
            </w:r>
          </w:p>
        </w:tc>
        <w:tc>
          <w:tcPr>
            <w:tcW w:w="756" w:type="pct"/>
          </w:tcPr>
          <w:p w14:paraId="74975A25" w14:textId="77777777" w:rsidR="00452C5E" w:rsidRPr="00F51F78" w:rsidRDefault="00452C5E" w:rsidP="00452C5E">
            <w:pPr>
              <w:pStyle w:val="tabletextcenter"/>
              <w:rPr>
                <w:rStyle w:val="TableTextBold"/>
                <w:b w:val="0"/>
              </w:rPr>
            </w:pPr>
            <w:r w:rsidRPr="00D97990">
              <w:t>50.0%</w:t>
            </w:r>
          </w:p>
        </w:tc>
      </w:tr>
      <w:tr w:rsidR="00452C5E" w:rsidRPr="00CD1826" w14:paraId="1C86CF5F" w14:textId="77777777" w:rsidTr="00452C5E">
        <w:trPr>
          <w:jc w:val="left"/>
        </w:trPr>
        <w:tc>
          <w:tcPr>
            <w:tcW w:w="1197" w:type="pct"/>
            <w:vAlign w:val="bottom"/>
          </w:tcPr>
          <w:p w14:paraId="1D984E0A" w14:textId="77777777" w:rsidR="00452C5E" w:rsidRDefault="00452C5E" w:rsidP="00452C5E">
            <w:pPr>
              <w:pStyle w:val="TableBullet"/>
              <w:keepNext w:val="0"/>
              <w:numPr>
                <w:ilvl w:val="0"/>
                <w:numId w:val="0"/>
              </w:numPr>
              <w:ind w:left="360"/>
            </w:pPr>
            <w:r>
              <w:t>On-call (n=1)</w:t>
            </w:r>
          </w:p>
        </w:tc>
        <w:tc>
          <w:tcPr>
            <w:tcW w:w="779" w:type="pct"/>
          </w:tcPr>
          <w:p w14:paraId="76F691CC" w14:textId="77777777" w:rsidR="00452C5E" w:rsidRPr="00F51F78" w:rsidRDefault="00452C5E" w:rsidP="00452C5E">
            <w:pPr>
              <w:pStyle w:val="tabletextcenter"/>
              <w:rPr>
                <w:rStyle w:val="TableTextBold"/>
                <w:b w:val="0"/>
              </w:rPr>
            </w:pPr>
            <w:r w:rsidRPr="003A1F3E">
              <w:t>0.0%</w:t>
            </w:r>
          </w:p>
        </w:tc>
        <w:tc>
          <w:tcPr>
            <w:tcW w:w="756" w:type="pct"/>
          </w:tcPr>
          <w:p w14:paraId="6C4439D7" w14:textId="77777777" w:rsidR="00452C5E" w:rsidRPr="00F51F78" w:rsidRDefault="00452C5E" w:rsidP="00452C5E">
            <w:pPr>
              <w:pStyle w:val="tabletextcenter"/>
              <w:rPr>
                <w:rStyle w:val="TableTextBold"/>
                <w:b w:val="0"/>
              </w:rPr>
            </w:pPr>
            <w:r w:rsidRPr="00610981">
              <w:t>0.0%</w:t>
            </w:r>
          </w:p>
        </w:tc>
        <w:tc>
          <w:tcPr>
            <w:tcW w:w="756" w:type="pct"/>
          </w:tcPr>
          <w:p w14:paraId="106BDB54" w14:textId="77777777" w:rsidR="00452C5E" w:rsidRPr="00F51F78" w:rsidRDefault="00452C5E" w:rsidP="00452C5E">
            <w:pPr>
              <w:pStyle w:val="tabletextcenter"/>
              <w:rPr>
                <w:rStyle w:val="TableTextBold"/>
                <w:b w:val="0"/>
              </w:rPr>
            </w:pPr>
            <w:r w:rsidRPr="005619EB">
              <w:t>0.0%</w:t>
            </w:r>
          </w:p>
        </w:tc>
        <w:tc>
          <w:tcPr>
            <w:tcW w:w="756" w:type="pct"/>
          </w:tcPr>
          <w:p w14:paraId="14C9E07D" w14:textId="77777777" w:rsidR="00452C5E" w:rsidRPr="00F51F78" w:rsidRDefault="00452C5E" w:rsidP="00452C5E">
            <w:pPr>
              <w:pStyle w:val="tabletextcenter"/>
              <w:rPr>
                <w:rStyle w:val="TableTextBold"/>
                <w:b w:val="0"/>
              </w:rPr>
            </w:pPr>
            <w:r w:rsidRPr="008C62A8">
              <w:t>0.0%</w:t>
            </w:r>
          </w:p>
        </w:tc>
        <w:tc>
          <w:tcPr>
            <w:tcW w:w="756" w:type="pct"/>
          </w:tcPr>
          <w:p w14:paraId="1FB5CD04" w14:textId="77777777" w:rsidR="00452C5E" w:rsidRPr="00F51F78" w:rsidRDefault="00452C5E" w:rsidP="00452C5E">
            <w:pPr>
              <w:pStyle w:val="tabletextcenter"/>
              <w:rPr>
                <w:rStyle w:val="TableTextBold"/>
                <w:b w:val="0"/>
              </w:rPr>
            </w:pPr>
            <w:r w:rsidRPr="00D97990">
              <w:t>100.0%</w:t>
            </w:r>
          </w:p>
        </w:tc>
      </w:tr>
      <w:tr w:rsidR="00452C5E" w:rsidRPr="00CD1826" w14:paraId="556DAF7B"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shd w:val="clear" w:color="auto" w:fill="A6A6A6" w:themeFill="background1" w:themeFillShade="A6"/>
            <w:vAlign w:val="bottom"/>
          </w:tcPr>
          <w:p w14:paraId="7ACE3CD6" w14:textId="77777777" w:rsidR="00452C5E" w:rsidRDefault="00452C5E" w:rsidP="00452C5E">
            <w:pPr>
              <w:pStyle w:val="TableBullet"/>
              <w:keepNext w:val="0"/>
              <w:numPr>
                <w:ilvl w:val="0"/>
                <w:numId w:val="0"/>
              </w:numPr>
              <w:ind w:left="360"/>
              <w:rPr>
                <w:rFonts w:ascii="Calibri" w:hAnsi="Calibri"/>
                <w:color w:val="000000"/>
              </w:rPr>
            </w:pPr>
            <w:r w:rsidRPr="0018752B">
              <w:t>Green Hill</w:t>
            </w:r>
          </w:p>
        </w:tc>
        <w:tc>
          <w:tcPr>
            <w:tcW w:w="779" w:type="pct"/>
            <w:shd w:val="clear" w:color="auto" w:fill="A6A6A6" w:themeFill="background1" w:themeFillShade="A6"/>
          </w:tcPr>
          <w:p w14:paraId="5500C8F7" w14:textId="77777777" w:rsidR="00452C5E" w:rsidRPr="00613DF1" w:rsidRDefault="00452C5E" w:rsidP="00452C5E">
            <w:pPr>
              <w:pStyle w:val="tabletextcenter"/>
              <w:rPr>
                <w:rStyle w:val="TableTextBold"/>
                <w:b w:val="0"/>
              </w:rPr>
            </w:pPr>
            <w:r w:rsidRPr="00613DF1">
              <w:rPr>
                <w:b/>
              </w:rPr>
              <w:t>39.1%</w:t>
            </w:r>
          </w:p>
        </w:tc>
        <w:tc>
          <w:tcPr>
            <w:tcW w:w="756" w:type="pct"/>
            <w:shd w:val="clear" w:color="auto" w:fill="A6A6A6" w:themeFill="background1" w:themeFillShade="A6"/>
          </w:tcPr>
          <w:p w14:paraId="1A2A82E0" w14:textId="77777777" w:rsidR="00452C5E" w:rsidRPr="00613DF1" w:rsidRDefault="00452C5E" w:rsidP="00452C5E">
            <w:pPr>
              <w:pStyle w:val="tabletextcenter"/>
              <w:rPr>
                <w:rStyle w:val="TableTextBold"/>
                <w:b w:val="0"/>
              </w:rPr>
            </w:pPr>
            <w:r w:rsidRPr="00613DF1">
              <w:rPr>
                <w:b/>
              </w:rPr>
              <w:t>33.3%</w:t>
            </w:r>
          </w:p>
        </w:tc>
        <w:tc>
          <w:tcPr>
            <w:tcW w:w="756" w:type="pct"/>
            <w:shd w:val="clear" w:color="auto" w:fill="A6A6A6" w:themeFill="background1" w:themeFillShade="A6"/>
          </w:tcPr>
          <w:p w14:paraId="6BEB885D" w14:textId="77777777" w:rsidR="00452C5E" w:rsidRPr="00613DF1" w:rsidRDefault="00452C5E" w:rsidP="00452C5E">
            <w:pPr>
              <w:pStyle w:val="tabletextcenter"/>
              <w:rPr>
                <w:rStyle w:val="TableTextBold"/>
                <w:b w:val="0"/>
              </w:rPr>
            </w:pPr>
            <w:r w:rsidRPr="00613DF1">
              <w:rPr>
                <w:b/>
              </w:rPr>
              <w:t>5.8%</w:t>
            </w:r>
          </w:p>
        </w:tc>
        <w:tc>
          <w:tcPr>
            <w:tcW w:w="756" w:type="pct"/>
            <w:shd w:val="clear" w:color="auto" w:fill="A6A6A6" w:themeFill="background1" w:themeFillShade="A6"/>
          </w:tcPr>
          <w:p w14:paraId="45DB5271" w14:textId="77777777" w:rsidR="00452C5E" w:rsidRPr="00613DF1" w:rsidRDefault="00452C5E" w:rsidP="00452C5E">
            <w:pPr>
              <w:pStyle w:val="TableText"/>
              <w:ind w:left="270"/>
              <w:rPr>
                <w:rStyle w:val="TableTextBold"/>
                <w:b w:val="0"/>
              </w:rPr>
            </w:pPr>
            <w:r w:rsidRPr="00613DF1">
              <w:rPr>
                <w:b/>
              </w:rPr>
              <w:t>8.7%</w:t>
            </w:r>
          </w:p>
        </w:tc>
        <w:tc>
          <w:tcPr>
            <w:tcW w:w="756" w:type="pct"/>
            <w:shd w:val="clear" w:color="auto" w:fill="A6A6A6" w:themeFill="background1" w:themeFillShade="A6"/>
          </w:tcPr>
          <w:p w14:paraId="09F6A03B" w14:textId="77777777" w:rsidR="00452C5E" w:rsidRPr="00613DF1" w:rsidRDefault="00452C5E" w:rsidP="00452C5E">
            <w:pPr>
              <w:pStyle w:val="TableText"/>
              <w:ind w:left="270"/>
              <w:rPr>
                <w:rStyle w:val="TableTextBold"/>
                <w:b w:val="0"/>
              </w:rPr>
            </w:pPr>
            <w:r w:rsidRPr="00613DF1">
              <w:rPr>
                <w:b/>
              </w:rPr>
              <w:t>13.0%</w:t>
            </w:r>
          </w:p>
        </w:tc>
      </w:tr>
      <w:tr w:rsidR="00452C5E" w:rsidRPr="00CD1826" w14:paraId="692AFC90" w14:textId="77777777" w:rsidTr="00452C5E">
        <w:trPr>
          <w:jc w:val="left"/>
        </w:trPr>
        <w:tc>
          <w:tcPr>
            <w:tcW w:w="1197" w:type="pct"/>
            <w:vAlign w:val="bottom"/>
          </w:tcPr>
          <w:p w14:paraId="6BF1D66D" w14:textId="77777777" w:rsidR="00452C5E" w:rsidRPr="00CD1826" w:rsidRDefault="00452C5E" w:rsidP="00452C5E">
            <w:pPr>
              <w:pStyle w:val="TableBullet"/>
              <w:keepNext w:val="0"/>
              <w:numPr>
                <w:ilvl w:val="0"/>
                <w:numId w:val="0"/>
              </w:numPr>
              <w:ind w:left="360"/>
            </w:pPr>
            <w:r>
              <w:t>JRRC (n=24)</w:t>
            </w:r>
          </w:p>
        </w:tc>
        <w:tc>
          <w:tcPr>
            <w:tcW w:w="779" w:type="pct"/>
          </w:tcPr>
          <w:p w14:paraId="37BBFE26" w14:textId="77777777" w:rsidR="00452C5E" w:rsidRPr="00F51F78" w:rsidRDefault="00452C5E" w:rsidP="00452C5E">
            <w:pPr>
              <w:pStyle w:val="tabletextcenter"/>
              <w:rPr>
                <w:rStyle w:val="TableTextBold"/>
                <w:b w:val="0"/>
              </w:rPr>
            </w:pPr>
            <w:r w:rsidRPr="003A1F3E">
              <w:t>37.5%</w:t>
            </w:r>
          </w:p>
        </w:tc>
        <w:tc>
          <w:tcPr>
            <w:tcW w:w="756" w:type="pct"/>
          </w:tcPr>
          <w:p w14:paraId="4211B6AB" w14:textId="77777777" w:rsidR="00452C5E" w:rsidRPr="00F51F78" w:rsidRDefault="00452C5E" w:rsidP="00452C5E">
            <w:pPr>
              <w:pStyle w:val="tabletextcenter"/>
              <w:rPr>
                <w:rStyle w:val="TableTextBold"/>
                <w:b w:val="0"/>
              </w:rPr>
            </w:pPr>
            <w:r w:rsidRPr="00610981">
              <w:t>33.3%</w:t>
            </w:r>
          </w:p>
        </w:tc>
        <w:tc>
          <w:tcPr>
            <w:tcW w:w="756" w:type="pct"/>
          </w:tcPr>
          <w:p w14:paraId="3C99A72C" w14:textId="77777777" w:rsidR="00452C5E" w:rsidRPr="00F51F78" w:rsidRDefault="00452C5E" w:rsidP="00452C5E">
            <w:pPr>
              <w:pStyle w:val="tabletextcenter"/>
              <w:rPr>
                <w:rStyle w:val="TableTextBold"/>
                <w:b w:val="0"/>
              </w:rPr>
            </w:pPr>
            <w:r w:rsidRPr="005619EB">
              <w:t>8.3%</w:t>
            </w:r>
          </w:p>
        </w:tc>
        <w:tc>
          <w:tcPr>
            <w:tcW w:w="756" w:type="pct"/>
          </w:tcPr>
          <w:p w14:paraId="6DAF0FC9" w14:textId="77777777" w:rsidR="00452C5E" w:rsidRPr="00F51F78" w:rsidRDefault="00452C5E" w:rsidP="00452C5E">
            <w:pPr>
              <w:pStyle w:val="TableText"/>
              <w:ind w:left="270"/>
              <w:rPr>
                <w:rStyle w:val="TableTextBold"/>
                <w:b w:val="0"/>
              </w:rPr>
            </w:pPr>
            <w:r w:rsidRPr="008C62A8">
              <w:t>12.5%</w:t>
            </w:r>
          </w:p>
        </w:tc>
        <w:tc>
          <w:tcPr>
            <w:tcW w:w="756" w:type="pct"/>
          </w:tcPr>
          <w:p w14:paraId="6FFD72D3" w14:textId="77777777" w:rsidR="00452C5E" w:rsidRPr="00F51F78" w:rsidRDefault="00452C5E" w:rsidP="00452C5E">
            <w:pPr>
              <w:pStyle w:val="TableText"/>
              <w:ind w:left="270"/>
              <w:rPr>
                <w:rStyle w:val="TableTextBold"/>
                <w:b w:val="0"/>
              </w:rPr>
            </w:pPr>
            <w:r w:rsidRPr="00D97990">
              <w:t>8.3%</w:t>
            </w:r>
          </w:p>
        </w:tc>
      </w:tr>
      <w:tr w:rsidR="00452C5E" w:rsidRPr="00CD1826" w14:paraId="2B09C557"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vAlign w:val="bottom"/>
          </w:tcPr>
          <w:p w14:paraId="31282084" w14:textId="77777777" w:rsidR="00452C5E" w:rsidRPr="00CD1826" w:rsidRDefault="00452C5E" w:rsidP="00452C5E">
            <w:pPr>
              <w:pStyle w:val="TableBullet"/>
              <w:keepNext w:val="0"/>
              <w:numPr>
                <w:ilvl w:val="0"/>
                <w:numId w:val="0"/>
              </w:numPr>
              <w:ind w:left="360"/>
            </w:pPr>
            <w:r>
              <w:t>JRCA (n=9)</w:t>
            </w:r>
          </w:p>
        </w:tc>
        <w:tc>
          <w:tcPr>
            <w:tcW w:w="779" w:type="pct"/>
          </w:tcPr>
          <w:p w14:paraId="6B74399F" w14:textId="77777777" w:rsidR="00452C5E" w:rsidRPr="00F51F78" w:rsidRDefault="00452C5E" w:rsidP="00452C5E">
            <w:pPr>
              <w:pStyle w:val="tabletextcenter"/>
              <w:rPr>
                <w:rStyle w:val="TableTextBold"/>
                <w:b w:val="0"/>
              </w:rPr>
            </w:pPr>
            <w:r w:rsidRPr="003A1F3E">
              <w:t>44.4%</w:t>
            </w:r>
          </w:p>
        </w:tc>
        <w:tc>
          <w:tcPr>
            <w:tcW w:w="756" w:type="pct"/>
          </w:tcPr>
          <w:p w14:paraId="64D38883" w14:textId="77777777" w:rsidR="00452C5E" w:rsidRPr="00F51F78" w:rsidRDefault="00452C5E" w:rsidP="00452C5E">
            <w:pPr>
              <w:pStyle w:val="tabletextcenter"/>
              <w:rPr>
                <w:rStyle w:val="TableTextBold"/>
                <w:b w:val="0"/>
              </w:rPr>
            </w:pPr>
            <w:r w:rsidRPr="00610981">
              <w:t>33.3%</w:t>
            </w:r>
          </w:p>
        </w:tc>
        <w:tc>
          <w:tcPr>
            <w:tcW w:w="756" w:type="pct"/>
          </w:tcPr>
          <w:p w14:paraId="2228FE41" w14:textId="77777777" w:rsidR="00452C5E" w:rsidRPr="00F51F78" w:rsidRDefault="00452C5E" w:rsidP="00452C5E">
            <w:pPr>
              <w:pStyle w:val="tabletextcenter"/>
              <w:rPr>
                <w:rStyle w:val="TableTextBold"/>
                <w:b w:val="0"/>
              </w:rPr>
            </w:pPr>
            <w:r w:rsidRPr="005619EB">
              <w:t>0.0%</w:t>
            </w:r>
          </w:p>
        </w:tc>
        <w:tc>
          <w:tcPr>
            <w:tcW w:w="756" w:type="pct"/>
          </w:tcPr>
          <w:p w14:paraId="19AED656" w14:textId="77777777" w:rsidR="00452C5E" w:rsidRPr="00F51F78" w:rsidRDefault="00452C5E" w:rsidP="00452C5E">
            <w:pPr>
              <w:pStyle w:val="tabletextcenter"/>
              <w:rPr>
                <w:rStyle w:val="TableTextBold"/>
                <w:b w:val="0"/>
              </w:rPr>
            </w:pPr>
            <w:r w:rsidRPr="008C62A8">
              <w:t>11.1%</w:t>
            </w:r>
          </w:p>
        </w:tc>
        <w:tc>
          <w:tcPr>
            <w:tcW w:w="756" w:type="pct"/>
          </w:tcPr>
          <w:p w14:paraId="63616919" w14:textId="77777777" w:rsidR="00452C5E" w:rsidRPr="00F51F78" w:rsidRDefault="00452C5E" w:rsidP="00452C5E">
            <w:pPr>
              <w:pStyle w:val="tabletextcenter"/>
              <w:rPr>
                <w:rStyle w:val="TableTextBold"/>
                <w:b w:val="0"/>
              </w:rPr>
            </w:pPr>
            <w:r w:rsidRPr="00D97990">
              <w:t>11.1%</w:t>
            </w:r>
          </w:p>
        </w:tc>
      </w:tr>
      <w:tr w:rsidR="00452C5E" w:rsidRPr="00CD1826" w14:paraId="2C687527" w14:textId="77777777" w:rsidTr="00452C5E">
        <w:trPr>
          <w:jc w:val="left"/>
        </w:trPr>
        <w:tc>
          <w:tcPr>
            <w:tcW w:w="1197" w:type="pct"/>
            <w:tcBorders>
              <w:bottom w:val="single" w:sz="2" w:space="0" w:color="808080" w:themeColor="text1" w:themeTint="7F"/>
            </w:tcBorders>
            <w:vAlign w:val="bottom"/>
          </w:tcPr>
          <w:p w14:paraId="30E46B9B" w14:textId="77777777" w:rsidR="00452C5E" w:rsidRPr="00CD1826" w:rsidRDefault="00452C5E" w:rsidP="00452C5E">
            <w:pPr>
              <w:pStyle w:val="TableBullet"/>
              <w:keepNext w:val="0"/>
              <w:numPr>
                <w:ilvl w:val="0"/>
                <w:numId w:val="0"/>
              </w:numPr>
              <w:ind w:left="360"/>
            </w:pPr>
            <w:r>
              <w:t>JRSO (n=22)</w:t>
            </w:r>
          </w:p>
        </w:tc>
        <w:tc>
          <w:tcPr>
            <w:tcW w:w="779" w:type="pct"/>
            <w:tcBorders>
              <w:bottom w:val="single" w:sz="2" w:space="0" w:color="808080" w:themeColor="text1" w:themeTint="7F"/>
            </w:tcBorders>
          </w:tcPr>
          <w:p w14:paraId="4600DA59" w14:textId="77777777" w:rsidR="00452C5E" w:rsidRPr="00F51F78" w:rsidRDefault="00452C5E" w:rsidP="00452C5E">
            <w:pPr>
              <w:pStyle w:val="tabletextcenter"/>
              <w:rPr>
                <w:rStyle w:val="TableTextBold"/>
                <w:b w:val="0"/>
              </w:rPr>
            </w:pPr>
            <w:r w:rsidRPr="003A1F3E">
              <w:t>22.7%</w:t>
            </w:r>
          </w:p>
        </w:tc>
        <w:tc>
          <w:tcPr>
            <w:tcW w:w="756" w:type="pct"/>
            <w:tcBorders>
              <w:bottom w:val="single" w:sz="2" w:space="0" w:color="808080" w:themeColor="text1" w:themeTint="7F"/>
            </w:tcBorders>
          </w:tcPr>
          <w:p w14:paraId="29C55549" w14:textId="77777777" w:rsidR="00452C5E" w:rsidRPr="00F51F78" w:rsidRDefault="00452C5E" w:rsidP="00452C5E">
            <w:pPr>
              <w:pStyle w:val="tabletextcenter"/>
              <w:rPr>
                <w:rStyle w:val="TableTextBold"/>
                <w:b w:val="0"/>
              </w:rPr>
            </w:pPr>
            <w:r w:rsidRPr="00610981">
              <w:t>31.8%</w:t>
            </w:r>
          </w:p>
        </w:tc>
        <w:tc>
          <w:tcPr>
            <w:tcW w:w="756" w:type="pct"/>
            <w:tcBorders>
              <w:bottom w:val="single" w:sz="2" w:space="0" w:color="808080" w:themeColor="text1" w:themeTint="7F"/>
            </w:tcBorders>
          </w:tcPr>
          <w:p w14:paraId="126599E7" w14:textId="77777777" w:rsidR="00452C5E" w:rsidRPr="00F51F78" w:rsidRDefault="00452C5E" w:rsidP="00452C5E">
            <w:pPr>
              <w:pStyle w:val="tabletextcenter"/>
              <w:rPr>
                <w:rStyle w:val="TableTextBold"/>
                <w:b w:val="0"/>
              </w:rPr>
            </w:pPr>
            <w:r w:rsidRPr="005619EB">
              <w:t>9.1%</w:t>
            </w:r>
          </w:p>
        </w:tc>
        <w:tc>
          <w:tcPr>
            <w:tcW w:w="756" w:type="pct"/>
            <w:tcBorders>
              <w:bottom w:val="single" w:sz="2" w:space="0" w:color="808080" w:themeColor="text1" w:themeTint="7F"/>
            </w:tcBorders>
          </w:tcPr>
          <w:p w14:paraId="5ECDF83A" w14:textId="77777777" w:rsidR="00452C5E" w:rsidRPr="00F51F78" w:rsidRDefault="00452C5E" w:rsidP="00452C5E">
            <w:pPr>
              <w:pStyle w:val="tabletextcenter"/>
              <w:rPr>
                <w:rStyle w:val="TableTextBold"/>
                <w:b w:val="0"/>
              </w:rPr>
            </w:pPr>
            <w:r w:rsidRPr="008C62A8">
              <w:t>9.1%</w:t>
            </w:r>
          </w:p>
        </w:tc>
        <w:tc>
          <w:tcPr>
            <w:tcW w:w="756" w:type="pct"/>
            <w:tcBorders>
              <w:bottom w:val="single" w:sz="2" w:space="0" w:color="808080" w:themeColor="text1" w:themeTint="7F"/>
            </w:tcBorders>
          </w:tcPr>
          <w:p w14:paraId="1EB8A396" w14:textId="77777777" w:rsidR="00452C5E" w:rsidRPr="00F51F78" w:rsidRDefault="00452C5E" w:rsidP="00452C5E">
            <w:pPr>
              <w:pStyle w:val="tabletextcenter"/>
              <w:rPr>
                <w:rStyle w:val="TableTextBold"/>
                <w:b w:val="0"/>
              </w:rPr>
            </w:pPr>
            <w:r w:rsidRPr="00D97990">
              <w:t>27.3%</w:t>
            </w:r>
          </w:p>
        </w:tc>
      </w:tr>
      <w:tr w:rsidR="00452C5E" w:rsidRPr="00CD1826" w14:paraId="3EE2E524"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tcBorders>
              <w:bottom w:val="single" w:sz="2" w:space="0" w:color="808080" w:themeColor="text1" w:themeTint="7F"/>
            </w:tcBorders>
            <w:vAlign w:val="bottom"/>
          </w:tcPr>
          <w:p w14:paraId="3E6333D5" w14:textId="77777777" w:rsidR="00452C5E" w:rsidRDefault="00452C5E" w:rsidP="00452C5E">
            <w:pPr>
              <w:pStyle w:val="TableBullet"/>
              <w:keepNext w:val="0"/>
              <w:numPr>
                <w:ilvl w:val="0"/>
                <w:numId w:val="0"/>
              </w:numPr>
              <w:ind w:left="360"/>
            </w:pPr>
            <w:r>
              <w:t>On-Call (n=14)</w:t>
            </w:r>
          </w:p>
        </w:tc>
        <w:tc>
          <w:tcPr>
            <w:tcW w:w="779" w:type="pct"/>
            <w:tcBorders>
              <w:bottom w:val="single" w:sz="2" w:space="0" w:color="808080" w:themeColor="text1" w:themeTint="7F"/>
            </w:tcBorders>
          </w:tcPr>
          <w:p w14:paraId="7EC843F9" w14:textId="77777777" w:rsidR="00452C5E" w:rsidRPr="00F51F78" w:rsidRDefault="00452C5E" w:rsidP="00452C5E">
            <w:pPr>
              <w:pStyle w:val="tabletextcenter"/>
              <w:rPr>
                <w:rStyle w:val="TableTextBold"/>
                <w:b w:val="0"/>
              </w:rPr>
            </w:pPr>
            <w:r w:rsidRPr="003A1F3E">
              <w:t>64.3%</w:t>
            </w:r>
          </w:p>
        </w:tc>
        <w:tc>
          <w:tcPr>
            <w:tcW w:w="756" w:type="pct"/>
            <w:tcBorders>
              <w:bottom w:val="single" w:sz="2" w:space="0" w:color="808080" w:themeColor="text1" w:themeTint="7F"/>
            </w:tcBorders>
          </w:tcPr>
          <w:p w14:paraId="63E4A03D" w14:textId="77777777" w:rsidR="00452C5E" w:rsidRPr="00F51F78" w:rsidRDefault="00452C5E" w:rsidP="00452C5E">
            <w:pPr>
              <w:pStyle w:val="tabletextcenter"/>
              <w:rPr>
                <w:rStyle w:val="TableTextBold"/>
                <w:b w:val="0"/>
              </w:rPr>
            </w:pPr>
            <w:r w:rsidRPr="00610981">
              <w:t>35.7%</w:t>
            </w:r>
          </w:p>
        </w:tc>
        <w:tc>
          <w:tcPr>
            <w:tcW w:w="756" w:type="pct"/>
            <w:tcBorders>
              <w:bottom w:val="single" w:sz="2" w:space="0" w:color="808080" w:themeColor="text1" w:themeTint="7F"/>
            </w:tcBorders>
          </w:tcPr>
          <w:p w14:paraId="54E43CDE" w14:textId="77777777" w:rsidR="00452C5E" w:rsidRPr="00F51F78" w:rsidRDefault="00452C5E" w:rsidP="00452C5E">
            <w:pPr>
              <w:pStyle w:val="tabletextcenter"/>
              <w:rPr>
                <w:rStyle w:val="TableTextBold"/>
                <w:b w:val="0"/>
              </w:rPr>
            </w:pPr>
            <w:r w:rsidRPr="005619EB">
              <w:t>0.0%</w:t>
            </w:r>
          </w:p>
        </w:tc>
        <w:tc>
          <w:tcPr>
            <w:tcW w:w="756" w:type="pct"/>
            <w:tcBorders>
              <w:bottom w:val="single" w:sz="2" w:space="0" w:color="808080" w:themeColor="text1" w:themeTint="7F"/>
            </w:tcBorders>
          </w:tcPr>
          <w:p w14:paraId="53000264" w14:textId="77777777" w:rsidR="00452C5E" w:rsidRPr="00F51F78" w:rsidRDefault="00452C5E" w:rsidP="00452C5E">
            <w:pPr>
              <w:pStyle w:val="tabletextcenter"/>
              <w:rPr>
                <w:rStyle w:val="TableTextBold"/>
                <w:b w:val="0"/>
              </w:rPr>
            </w:pPr>
            <w:r w:rsidRPr="008C62A8">
              <w:t>0.0%</w:t>
            </w:r>
          </w:p>
        </w:tc>
        <w:tc>
          <w:tcPr>
            <w:tcW w:w="756" w:type="pct"/>
            <w:tcBorders>
              <w:bottom w:val="single" w:sz="2" w:space="0" w:color="808080" w:themeColor="text1" w:themeTint="7F"/>
            </w:tcBorders>
          </w:tcPr>
          <w:p w14:paraId="426885D4" w14:textId="77777777" w:rsidR="00452C5E" w:rsidRPr="00F51F78" w:rsidRDefault="00452C5E" w:rsidP="00452C5E">
            <w:pPr>
              <w:pStyle w:val="tabletextcenter"/>
              <w:rPr>
                <w:rStyle w:val="TableTextBold"/>
                <w:b w:val="0"/>
              </w:rPr>
            </w:pPr>
            <w:r w:rsidRPr="00D97990">
              <w:t>0.0%</w:t>
            </w:r>
          </w:p>
        </w:tc>
      </w:tr>
      <w:tr w:rsidR="00452C5E" w:rsidRPr="00CD1826" w14:paraId="1D50EE72" w14:textId="77777777" w:rsidTr="00452C5E">
        <w:trPr>
          <w:jc w:val="left"/>
        </w:trPr>
        <w:tc>
          <w:tcPr>
            <w:tcW w:w="1197" w:type="pct"/>
            <w:tcBorders>
              <w:top w:val="single" w:sz="2" w:space="0" w:color="808080" w:themeColor="text1" w:themeTint="7F"/>
            </w:tcBorders>
            <w:shd w:val="clear" w:color="auto" w:fill="A6A6A6" w:themeFill="background1" w:themeFillShade="A6"/>
            <w:vAlign w:val="bottom"/>
          </w:tcPr>
          <w:p w14:paraId="217D68BA" w14:textId="77777777" w:rsidR="00452C5E" w:rsidRDefault="00452C5E" w:rsidP="00452C5E">
            <w:pPr>
              <w:pStyle w:val="TableBullet"/>
              <w:keepNext w:val="0"/>
              <w:numPr>
                <w:ilvl w:val="0"/>
                <w:numId w:val="0"/>
              </w:numPr>
              <w:ind w:left="360"/>
              <w:rPr>
                <w:rFonts w:ascii="Calibri" w:hAnsi="Calibri"/>
                <w:color w:val="000000"/>
              </w:rPr>
            </w:pPr>
            <w:r w:rsidRPr="0018752B">
              <w:t>Naselle</w:t>
            </w:r>
            <w:r>
              <w:t xml:space="preserve"> </w:t>
            </w:r>
          </w:p>
        </w:tc>
        <w:tc>
          <w:tcPr>
            <w:tcW w:w="779" w:type="pct"/>
            <w:tcBorders>
              <w:top w:val="single" w:sz="2" w:space="0" w:color="808080" w:themeColor="text1" w:themeTint="7F"/>
            </w:tcBorders>
            <w:shd w:val="clear" w:color="auto" w:fill="A6A6A6" w:themeFill="background1" w:themeFillShade="A6"/>
          </w:tcPr>
          <w:p w14:paraId="63276875" w14:textId="77777777" w:rsidR="00452C5E" w:rsidRPr="00613DF1" w:rsidRDefault="00452C5E" w:rsidP="00452C5E">
            <w:pPr>
              <w:pStyle w:val="tabletextcenter"/>
              <w:rPr>
                <w:rStyle w:val="TableTextBold"/>
                <w:b w:val="0"/>
              </w:rPr>
            </w:pPr>
            <w:r w:rsidRPr="00613DF1">
              <w:rPr>
                <w:b/>
              </w:rPr>
              <w:t>17.2%</w:t>
            </w:r>
          </w:p>
        </w:tc>
        <w:tc>
          <w:tcPr>
            <w:tcW w:w="756" w:type="pct"/>
            <w:tcBorders>
              <w:top w:val="single" w:sz="2" w:space="0" w:color="808080" w:themeColor="text1" w:themeTint="7F"/>
            </w:tcBorders>
            <w:shd w:val="clear" w:color="auto" w:fill="A6A6A6" w:themeFill="background1" w:themeFillShade="A6"/>
          </w:tcPr>
          <w:p w14:paraId="79DF35E1" w14:textId="77777777" w:rsidR="00452C5E" w:rsidRPr="00613DF1" w:rsidRDefault="00452C5E" w:rsidP="00452C5E">
            <w:pPr>
              <w:pStyle w:val="tabletextcenter"/>
              <w:rPr>
                <w:rStyle w:val="TableTextBold"/>
                <w:b w:val="0"/>
              </w:rPr>
            </w:pPr>
            <w:r w:rsidRPr="00613DF1">
              <w:rPr>
                <w:b/>
              </w:rPr>
              <w:t>48.3%</w:t>
            </w:r>
          </w:p>
        </w:tc>
        <w:tc>
          <w:tcPr>
            <w:tcW w:w="756" w:type="pct"/>
            <w:tcBorders>
              <w:top w:val="single" w:sz="2" w:space="0" w:color="808080" w:themeColor="text1" w:themeTint="7F"/>
            </w:tcBorders>
            <w:shd w:val="clear" w:color="auto" w:fill="A6A6A6" w:themeFill="background1" w:themeFillShade="A6"/>
          </w:tcPr>
          <w:p w14:paraId="0322EFBA" w14:textId="77777777" w:rsidR="00452C5E" w:rsidRPr="00613DF1" w:rsidRDefault="00452C5E" w:rsidP="00452C5E">
            <w:pPr>
              <w:pStyle w:val="tabletextcenter"/>
              <w:rPr>
                <w:rStyle w:val="TableTextBold"/>
                <w:b w:val="0"/>
              </w:rPr>
            </w:pPr>
            <w:r w:rsidRPr="00613DF1">
              <w:rPr>
                <w:b/>
              </w:rPr>
              <w:t>13.8%</w:t>
            </w:r>
          </w:p>
        </w:tc>
        <w:tc>
          <w:tcPr>
            <w:tcW w:w="756" w:type="pct"/>
            <w:tcBorders>
              <w:top w:val="single" w:sz="2" w:space="0" w:color="808080" w:themeColor="text1" w:themeTint="7F"/>
            </w:tcBorders>
            <w:shd w:val="clear" w:color="auto" w:fill="A6A6A6" w:themeFill="background1" w:themeFillShade="A6"/>
          </w:tcPr>
          <w:p w14:paraId="6E537721" w14:textId="77777777" w:rsidR="00452C5E" w:rsidRPr="00613DF1" w:rsidRDefault="00452C5E" w:rsidP="00452C5E">
            <w:pPr>
              <w:pStyle w:val="tabletextcenter"/>
              <w:rPr>
                <w:rStyle w:val="TableTextBold"/>
                <w:b w:val="0"/>
              </w:rPr>
            </w:pPr>
            <w:r w:rsidRPr="00613DF1">
              <w:rPr>
                <w:b/>
              </w:rPr>
              <w:t>6.9%</w:t>
            </w:r>
          </w:p>
        </w:tc>
        <w:tc>
          <w:tcPr>
            <w:tcW w:w="756" w:type="pct"/>
            <w:tcBorders>
              <w:top w:val="single" w:sz="2" w:space="0" w:color="808080" w:themeColor="text1" w:themeTint="7F"/>
            </w:tcBorders>
            <w:shd w:val="clear" w:color="auto" w:fill="A6A6A6" w:themeFill="background1" w:themeFillShade="A6"/>
          </w:tcPr>
          <w:p w14:paraId="130E0E8D" w14:textId="77777777" w:rsidR="00452C5E" w:rsidRPr="00613DF1" w:rsidRDefault="00452C5E" w:rsidP="00452C5E">
            <w:pPr>
              <w:pStyle w:val="tabletextcenter"/>
              <w:rPr>
                <w:rStyle w:val="TableTextBold"/>
                <w:b w:val="0"/>
              </w:rPr>
            </w:pPr>
            <w:r w:rsidRPr="00613DF1">
              <w:rPr>
                <w:b/>
              </w:rPr>
              <w:t>13.8%</w:t>
            </w:r>
          </w:p>
        </w:tc>
      </w:tr>
      <w:tr w:rsidR="00452C5E" w:rsidRPr="00CD1826" w14:paraId="6790713E"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tcBorders>
              <w:top w:val="single" w:sz="2" w:space="0" w:color="808080" w:themeColor="text1" w:themeTint="7F"/>
            </w:tcBorders>
            <w:vAlign w:val="bottom"/>
          </w:tcPr>
          <w:p w14:paraId="44D8603C" w14:textId="77777777" w:rsidR="00452C5E" w:rsidRPr="00CD1826" w:rsidRDefault="00452C5E" w:rsidP="00452C5E">
            <w:pPr>
              <w:pStyle w:val="TableBullet"/>
              <w:keepNext w:val="0"/>
              <w:numPr>
                <w:ilvl w:val="0"/>
                <w:numId w:val="0"/>
              </w:numPr>
              <w:ind w:left="360"/>
            </w:pPr>
            <w:r>
              <w:t>JRRC (n=13)</w:t>
            </w:r>
          </w:p>
        </w:tc>
        <w:tc>
          <w:tcPr>
            <w:tcW w:w="779" w:type="pct"/>
            <w:tcBorders>
              <w:top w:val="single" w:sz="2" w:space="0" w:color="808080" w:themeColor="text1" w:themeTint="7F"/>
            </w:tcBorders>
          </w:tcPr>
          <w:p w14:paraId="3BF0A8F3" w14:textId="77777777" w:rsidR="00452C5E" w:rsidRPr="00F51F78" w:rsidRDefault="00452C5E" w:rsidP="00452C5E">
            <w:pPr>
              <w:pStyle w:val="tabletextcenter"/>
              <w:rPr>
                <w:rStyle w:val="TableTextBold"/>
                <w:b w:val="0"/>
              </w:rPr>
            </w:pPr>
            <w:r w:rsidRPr="003A1F3E">
              <w:t>30.8%</w:t>
            </w:r>
          </w:p>
        </w:tc>
        <w:tc>
          <w:tcPr>
            <w:tcW w:w="756" w:type="pct"/>
            <w:tcBorders>
              <w:top w:val="single" w:sz="2" w:space="0" w:color="808080" w:themeColor="text1" w:themeTint="7F"/>
            </w:tcBorders>
          </w:tcPr>
          <w:p w14:paraId="1A8E533D" w14:textId="77777777" w:rsidR="00452C5E" w:rsidRPr="00F51F78" w:rsidRDefault="00452C5E" w:rsidP="00452C5E">
            <w:pPr>
              <w:pStyle w:val="tabletextcenter"/>
              <w:rPr>
                <w:rStyle w:val="TableTextBold"/>
                <w:b w:val="0"/>
              </w:rPr>
            </w:pPr>
            <w:r w:rsidRPr="00610981">
              <w:t>30.8%</w:t>
            </w:r>
          </w:p>
        </w:tc>
        <w:tc>
          <w:tcPr>
            <w:tcW w:w="756" w:type="pct"/>
            <w:tcBorders>
              <w:top w:val="single" w:sz="2" w:space="0" w:color="808080" w:themeColor="text1" w:themeTint="7F"/>
            </w:tcBorders>
          </w:tcPr>
          <w:p w14:paraId="611C0048" w14:textId="77777777" w:rsidR="00452C5E" w:rsidRPr="00F51F78" w:rsidRDefault="00452C5E" w:rsidP="00452C5E">
            <w:pPr>
              <w:pStyle w:val="tabletextcenter"/>
              <w:rPr>
                <w:rStyle w:val="TableTextBold"/>
                <w:b w:val="0"/>
              </w:rPr>
            </w:pPr>
            <w:r w:rsidRPr="005619EB">
              <w:t>7.7%</w:t>
            </w:r>
          </w:p>
        </w:tc>
        <w:tc>
          <w:tcPr>
            <w:tcW w:w="756" w:type="pct"/>
            <w:tcBorders>
              <w:top w:val="single" w:sz="2" w:space="0" w:color="808080" w:themeColor="text1" w:themeTint="7F"/>
            </w:tcBorders>
          </w:tcPr>
          <w:p w14:paraId="0A43C20C" w14:textId="77777777" w:rsidR="00452C5E" w:rsidRPr="00F51F78" w:rsidRDefault="00452C5E" w:rsidP="00452C5E">
            <w:pPr>
              <w:pStyle w:val="tabletextcenter"/>
              <w:rPr>
                <w:rStyle w:val="TableTextBold"/>
                <w:b w:val="0"/>
              </w:rPr>
            </w:pPr>
            <w:r w:rsidRPr="008C62A8">
              <w:t>15.4%</w:t>
            </w:r>
          </w:p>
        </w:tc>
        <w:tc>
          <w:tcPr>
            <w:tcW w:w="756" w:type="pct"/>
            <w:tcBorders>
              <w:top w:val="single" w:sz="2" w:space="0" w:color="808080" w:themeColor="text1" w:themeTint="7F"/>
            </w:tcBorders>
          </w:tcPr>
          <w:p w14:paraId="6477EB72" w14:textId="77777777" w:rsidR="00452C5E" w:rsidRPr="00F51F78" w:rsidRDefault="00452C5E" w:rsidP="00452C5E">
            <w:pPr>
              <w:pStyle w:val="tabletextcenter"/>
              <w:rPr>
                <w:rStyle w:val="TableTextBold"/>
                <w:b w:val="0"/>
              </w:rPr>
            </w:pPr>
            <w:r w:rsidRPr="00D97990">
              <w:t>15.4%</w:t>
            </w:r>
          </w:p>
        </w:tc>
      </w:tr>
      <w:tr w:rsidR="00452C5E" w:rsidRPr="00CD1826" w14:paraId="16761757" w14:textId="77777777" w:rsidTr="00452C5E">
        <w:trPr>
          <w:jc w:val="left"/>
        </w:trPr>
        <w:tc>
          <w:tcPr>
            <w:tcW w:w="1197" w:type="pct"/>
            <w:vAlign w:val="bottom"/>
          </w:tcPr>
          <w:p w14:paraId="2B5548E4" w14:textId="77777777" w:rsidR="00452C5E" w:rsidRPr="00CD1826" w:rsidRDefault="00452C5E" w:rsidP="00452C5E">
            <w:pPr>
              <w:pStyle w:val="TableBullet"/>
              <w:keepNext w:val="0"/>
              <w:numPr>
                <w:ilvl w:val="0"/>
                <w:numId w:val="0"/>
              </w:numPr>
              <w:ind w:left="360"/>
            </w:pPr>
            <w:r>
              <w:t>JRCA (n=6)</w:t>
            </w:r>
          </w:p>
        </w:tc>
        <w:tc>
          <w:tcPr>
            <w:tcW w:w="779" w:type="pct"/>
          </w:tcPr>
          <w:p w14:paraId="01DA25DA" w14:textId="77777777" w:rsidR="00452C5E" w:rsidRPr="00F51F78" w:rsidRDefault="00452C5E" w:rsidP="00452C5E">
            <w:pPr>
              <w:pStyle w:val="tabletextcenter"/>
              <w:rPr>
                <w:rStyle w:val="TableTextBold"/>
                <w:b w:val="0"/>
              </w:rPr>
            </w:pPr>
            <w:r w:rsidRPr="003A1F3E">
              <w:t>0.0%</w:t>
            </w:r>
          </w:p>
        </w:tc>
        <w:tc>
          <w:tcPr>
            <w:tcW w:w="756" w:type="pct"/>
          </w:tcPr>
          <w:p w14:paraId="28EAD990" w14:textId="77777777" w:rsidR="00452C5E" w:rsidRPr="00F51F78" w:rsidRDefault="00452C5E" w:rsidP="00452C5E">
            <w:pPr>
              <w:pStyle w:val="tabletextcenter"/>
              <w:rPr>
                <w:rStyle w:val="TableTextBold"/>
                <w:b w:val="0"/>
              </w:rPr>
            </w:pPr>
            <w:r w:rsidRPr="00610981">
              <w:t>66.7%</w:t>
            </w:r>
          </w:p>
        </w:tc>
        <w:tc>
          <w:tcPr>
            <w:tcW w:w="756" w:type="pct"/>
          </w:tcPr>
          <w:p w14:paraId="54A93A16" w14:textId="77777777" w:rsidR="00452C5E" w:rsidRPr="00F51F78" w:rsidRDefault="00452C5E" w:rsidP="00452C5E">
            <w:pPr>
              <w:pStyle w:val="tabletextcenter"/>
              <w:rPr>
                <w:rStyle w:val="TableTextBold"/>
                <w:b w:val="0"/>
              </w:rPr>
            </w:pPr>
            <w:r w:rsidRPr="005619EB">
              <w:t>16.7%</w:t>
            </w:r>
          </w:p>
        </w:tc>
        <w:tc>
          <w:tcPr>
            <w:tcW w:w="756" w:type="pct"/>
          </w:tcPr>
          <w:p w14:paraId="7B26477D" w14:textId="77777777" w:rsidR="00452C5E" w:rsidRPr="00F51F78" w:rsidRDefault="00452C5E" w:rsidP="00452C5E">
            <w:pPr>
              <w:pStyle w:val="tabletextcenter"/>
              <w:rPr>
                <w:rStyle w:val="TableTextBold"/>
                <w:b w:val="0"/>
              </w:rPr>
            </w:pPr>
            <w:r w:rsidRPr="008C62A8">
              <w:t>0.0%</w:t>
            </w:r>
          </w:p>
        </w:tc>
        <w:tc>
          <w:tcPr>
            <w:tcW w:w="756" w:type="pct"/>
          </w:tcPr>
          <w:p w14:paraId="06917D07" w14:textId="77777777" w:rsidR="00452C5E" w:rsidRPr="00F51F78" w:rsidRDefault="00452C5E" w:rsidP="00452C5E">
            <w:pPr>
              <w:pStyle w:val="tabletextcenter"/>
              <w:rPr>
                <w:rStyle w:val="TableTextBold"/>
                <w:b w:val="0"/>
              </w:rPr>
            </w:pPr>
            <w:r w:rsidRPr="00D97990">
              <w:t>16.7%</w:t>
            </w:r>
          </w:p>
        </w:tc>
      </w:tr>
      <w:tr w:rsidR="00452C5E" w:rsidRPr="00CD1826" w14:paraId="4556BA5A"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vAlign w:val="bottom"/>
          </w:tcPr>
          <w:p w14:paraId="4B6A1502" w14:textId="77777777" w:rsidR="00452C5E" w:rsidRPr="00CD1826" w:rsidRDefault="00452C5E" w:rsidP="00452C5E">
            <w:pPr>
              <w:pStyle w:val="TableBullet"/>
              <w:keepNext w:val="0"/>
              <w:numPr>
                <w:ilvl w:val="0"/>
                <w:numId w:val="0"/>
              </w:numPr>
              <w:ind w:left="360"/>
            </w:pPr>
            <w:r>
              <w:t>JRSO 1 (n=8)</w:t>
            </w:r>
          </w:p>
        </w:tc>
        <w:tc>
          <w:tcPr>
            <w:tcW w:w="779" w:type="pct"/>
          </w:tcPr>
          <w:p w14:paraId="3FB4D49A" w14:textId="77777777" w:rsidR="00452C5E" w:rsidRPr="00F51F78" w:rsidRDefault="00452C5E" w:rsidP="00452C5E">
            <w:pPr>
              <w:pStyle w:val="tabletextcenter"/>
              <w:rPr>
                <w:rStyle w:val="TableTextBold"/>
                <w:b w:val="0"/>
              </w:rPr>
            </w:pPr>
            <w:r w:rsidRPr="003A1F3E">
              <w:t>12.5%</w:t>
            </w:r>
          </w:p>
        </w:tc>
        <w:tc>
          <w:tcPr>
            <w:tcW w:w="756" w:type="pct"/>
          </w:tcPr>
          <w:p w14:paraId="174D00D9" w14:textId="77777777" w:rsidR="00452C5E" w:rsidRPr="00F51F78" w:rsidRDefault="00452C5E" w:rsidP="00452C5E">
            <w:pPr>
              <w:pStyle w:val="tabletextcenter"/>
              <w:rPr>
                <w:rStyle w:val="TableTextBold"/>
                <w:b w:val="0"/>
              </w:rPr>
            </w:pPr>
            <w:r w:rsidRPr="00610981">
              <w:t>50.0%</w:t>
            </w:r>
          </w:p>
        </w:tc>
        <w:tc>
          <w:tcPr>
            <w:tcW w:w="756" w:type="pct"/>
          </w:tcPr>
          <w:p w14:paraId="002643B3" w14:textId="77777777" w:rsidR="00452C5E" w:rsidRPr="00F51F78" w:rsidRDefault="00452C5E" w:rsidP="00452C5E">
            <w:pPr>
              <w:pStyle w:val="tabletextcenter"/>
              <w:rPr>
                <w:rStyle w:val="TableTextBold"/>
                <w:b w:val="0"/>
              </w:rPr>
            </w:pPr>
            <w:r w:rsidRPr="005619EB">
              <w:t>25.0%</w:t>
            </w:r>
          </w:p>
        </w:tc>
        <w:tc>
          <w:tcPr>
            <w:tcW w:w="756" w:type="pct"/>
          </w:tcPr>
          <w:p w14:paraId="56FFECB6" w14:textId="77777777" w:rsidR="00452C5E" w:rsidRPr="00F51F78" w:rsidRDefault="00452C5E" w:rsidP="00452C5E">
            <w:pPr>
              <w:pStyle w:val="tabletextcenter"/>
              <w:rPr>
                <w:rStyle w:val="TableTextBold"/>
                <w:b w:val="0"/>
              </w:rPr>
            </w:pPr>
            <w:r w:rsidRPr="008C62A8">
              <w:t>0.0%</w:t>
            </w:r>
          </w:p>
        </w:tc>
        <w:tc>
          <w:tcPr>
            <w:tcW w:w="756" w:type="pct"/>
          </w:tcPr>
          <w:p w14:paraId="3328F549" w14:textId="77777777" w:rsidR="00452C5E" w:rsidRPr="00F51F78" w:rsidRDefault="00452C5E" w:rsidP="00452C5E">
            <w:pPr>
              <w:pStyle w:val="tabletextcenter"/>
              <w:rPr>
                <w:rStyle w:val="TableTextBold"/>
                <w:b w:val="0"/>
              </w:rPr>
            </w:pPr>
            <w:r w:rsidRPr="00D97990">
              <w:t>12.5%</w:t>
            </w:r>
          </w:p>
        </w:tc>
      </w:tr>
      <w:tr w:rsidR="00452C5E" w:rsidRPr="00CD1826" w14:paraId="2DE9F5E9" w14:textId="77777777" w:rsidTr="00452C5E">
        <w:trPr>
          <w:jc w:val="left"/>
        </w:trPr>
        <w:tc>
          <w:tcPr>
            <w:tcW w:w="1197" w:type="pct"/>
            <w:vAlign w:val="bottom"/>
          </w:tcPr>
          <w:p w14:paraId="2B37D774" w14:textId="77777777" w:rsidR="00452C5E" w:rsidRDefault="00452C5E" w:rsidP="00452C5E">
            <w:pPr>
              <w:pStyle w:val="TableBullet"/>
              <w:keepNext w:val="0"/>
              <w:numPr>
                <w:ilvl w:val="0"/>
                <w:numId w:val="0"/>
              </w:numPr>
              <w:ind w:left="360"/>
            </w:pPr>
            <w:r>
              <w:t>On-Call (n=2)</w:t>
            </w:r>
          </w:p>
        </w:tc>
        <w:tc>
          <w:tcPr>
            <w:tcW w:w="779" w:type="pct"/>
          </w:tcPr>
          <w:p w14:paraId="18513EEE" w14:textId="77777777" w:rsidR="00452C5E" w:rsidRPr="00F51F78" w:rsidRDefault="00452C5E" w:rsidP="00452C5E">
            <w:pPr>
              <w:pStyle w:val="tabletextcenter"/>
              <w:rPr>
                <w:rStyle w:val="TableTextBold"/>
                <w:b w:val="0"/>
              </w:rPr>
            </w:pPr>
            <w:r w:rsidRPr="003A1F3E">
              <w:t>0.0%</w:t>
            </w:r>
          </w:p>
        </w:tc>
        <w:tc>
          <w:tcPr>
            <w:tcW w:w="756" w:type="pct"/>
          </w:tcPr>
          <w:p w14:paraId="7FE7F65E" w14:textId="77777777" w:rsidR="00452C5E" w:rsidRPr="00F51F78" w:rsidRDefault="00452C5E" w:rsidP="00452C5E">
            <w:pPr>
              <w:pStyle w:val="tabletextcenter"/>
              <w:rPr>
                <w:rStyle w:val="TableTextBold"/>
                <w:b w:val="0"/>
              </w:rPr>
            </w:pPr>
            <w:r w:rsidRPr="00610981">
              <w:t>100.0%</w:t>
            </w:r>
          </w:p>
        </w:tc>
        <w:tc>
          <w:tcPr>
            <w:tcW w:w="756" w:type="pct"/>
          </w:tcPr>
          <w:p w14:paraId="00E3600D" w14:textId="77777777" w:rsidR="00452C5E" w:rsidRPr="00F51F78" w:rsidRDefault="00452C5E" w:rsidP="00452C5E">
            <w:pPr>
              <w:pStyle w:val="tabletextcenter"/>
              <w:rPr>
                <w:rStyle w:val="TableTextBold"/>
                <w:b w:val="0"/>
              </w:rPr>
            </w:pPr>
            <w:r w:rsidRPr="005619EB">
              <w:t>0.0%</w:t>
            </w:r>
          </w:p>
        </w:tc>
        <w:tc>
          <w:tcPr>
            <w:tcW w:w="756" w:type="pct"/>
          </w:tcPr>
          <w:p w14:paraId="2DE8756A" w14:textId="77777777" w:rsidR="00452C5E" w:rsidRPr="00F51F78" w:rsidRDefault="00452C5E" w:rsidP="00452C5E">
            <w:pPr>
              <w:pStyle w:val="tabletextcenter"/>
              <w:rPr>
                <w:rStyle w:val="TableTextBold"/>
                <w:b w:val="0"/>
              </w:rPr>
            </w:pPr>
            <w:r w:rsidRPr="008C62A8">
              <w:t>0.0%</w:t>
            </w:r>
          </w:p>
        </w:tc>
        <w:tc>
          <w:tcPr>
            <w:tcW w:w="756" w:type="pct"/>
          </w:tcPr>
          <w:p w14:paraId="49ED412B" w14:textId="77777777" w:rsidR="00452C5E" w:rsidRPr="00F51F78" w:rsidRDefault="00452C5E" w:rsidP="00452C5E">
            <w:pPr>
              <w:pStyle w:val="tabletextcenter"/>
              <w:rPr>
                <w:rStyle w:val="TableTextBold"/>
                <w:b w:val="0"/>
              </w:rPr>
            </w:pPr>
            <w:r w:rsidRPr="00D97990">
              <w:t>0.0%</w:t>
            </w:r>
          </w:p>
        </w:tc>
      </w:tr>
      <w:tr w:rsidR="00452C5E" w:rsidRPr="00CD1826" w14:paraId="0CE4C8DD"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shd w:val="clear" w:color="auto" w:fill="A6A6A6" w:themeFill="background1" w:themeFillShade="A6"/>
            <w:vAlign w:val="bottom"/>
          </w:tcPr>
          <w:p w14:paraId="038BC15E" w14:textId="77777777" w:rsidR="00452C5E" w:rsidRDefault="00452C5E" w:rsidP="00452C5E">
            <w:pPr>
              <w:pStyle w:val="TableBullet"/>
              <w:keepLines/>
              <w:numPr>
                <w:ilvl w:val="0"/>
                <w:numId w:val="0"/>
              </w:numPr>
              <w:rPr>
                <w:rFonts w:ascii="Calibri" w:hAnsi="Calibri"/>
                <w:color w:val="000000"/>
              </w:rPr>
            </w:pPr>
            <w:r>
              <w:t xml:space="preserve">Community Facilities </w:t>
            </w:r>
          </w:p>
        </w:tc>
        <w:tc>
          <w:tcPr>
            <w:tcW w:w="779" w:type="pct"/>
            <w:shd w:val="clear" w:color="auto" w:fill="A6A6A6" w:themeFill="background1" w:themeFillShade="A6"/>
          </w:tcPr>
          <w:p w14:paraId="2385DED5" w14:textId="77777777" w:rsidR="00452C5E" w:rsidRPr="00613DF1" w:rsidRDefault="00452C5E" w:rsidP="00452C5E">
            <w:pPr>
              <w:pStyle w:val="tabletextcenter"/>
              <w:keepNext/>
              <w:keepLines/>
              <w:rPr>
                <w:rStyle w:val="TableTextBold"/>
                <w:b w:val="0"/>
              </w:rPr>
            </w:pPr>
            <w:r w:rsidRPr="00613DF1">
              <w:rPr>
                <w:b/>
              </w:rPr>
              <w:t>17.9%</w:t>
            </w:r>
          </w:p>
        </w:tc>
        <w:tc>
          <w:tcPr>
            <w:tcW w:w="756" w:type="pct"/>
            <w:shd w:val="clear" w:color="auto" w:fill="A6A6A6" w:themeFill="background1" w:themeFillShade="A6"/>
          </w:tcPr>
          <w:p w14:paraId="61C2673F" w14:textId="77777777" w:rsidR="00452C5E" w:rsidRPr="00613DF1" w:rsidRDefault="00452C5E" w:rsidP="00452C5E">
            <w:pPr>
              <w:pStyle w:val="tabletextcenter"/>
              <w:keepNext/>
              <w:keepLines/>
              <w:rPr>
                <w:rStyle w:val="TableTextBold"/>
                <w:b w:val="0"/>
              </w:rPr>
            </w:pPr>
            <w:r w:rsidRPr="00613DF1">
              <w:rPr>
                <w:b/>
              </w:rPr>
              <w:t>61.5%</w:t>
            </w:r>
          </w:p>
        </w:tc>
        <w:tc>
          <w:tcPr>
            <w:tcW w:w="756" w:type="pct"/>
            <w:shd w:val="clear" w:color="auto" w:fill="A6A6A6" w:themeFill="background1" w:themeFillShade="A6"/>
          </w:tcPr>
          <w:p w14:paraId="79FFBBDE" w14:textId="77777777" w:rsidR="00452C5E" w:rsidRPr="00613DF1" w:rsidRDefault="00452C5E" w:rsidP="00452C5E">
            <w:pPr>
              <w:pStyle w:val="tabletextcenter"/>
              <w:keepNext/>
              <w:keepLines/>
              <w:rPr>
                <w:rStyle w:val="TableTextBold"/>
                <w:b w:val="0"/>
              </w:rPr>
            </w:pPr>
            <w:r w:rsidRPr="00613DF1">
              <w:rPr>
                <w:b/>
              </w:rPr>
              <w:t>2.6%</w:t>
            </w:r>
          </w:p>
        </w:tc>
        <w:tc>
          <w:tcPr>
            <w:tcW w:w="756" w:type="pct"/>
            <w:shd w:val="clear" w:color="auto" w:fill="A6A6A6" w:themeFill="background1" w:themeFillShade="A6"/>
          </w:tcPr>
          <w:p w14:paraId="62D727A3" w14:textId="77777777" w:rsidR="00452C5E" w:rsidRPr="00613DF1" w:rsidRDefault="00452C5E" w:rsidP="00452C5E">
            <w:pPr>
              <w:pStyle w:val="tabletextcenter"/>
              <w:keepNext/>
              <w:keepLines/>
              <w:rPr>
                <w:rStyle w:val="TableTextBold"/>
                <w:b w:val="0"/>
              </w:rPr>
            </w:pPr>
            <w:r w:rsidRPr="00613DF1">
              <w:rPr>
                <w:b/>
              </w:rPr>
              <w:t>10.3%</w:t>
            </w:r>
          </w:p>
        </w:tc>
        <w:tc>
          <w:tcPr>
            <w:tcW w:w="756" w:type="pct"/>
            <w:shd w:val="clear" w:color="auto" w:fill="A6A6A6" w:themeFill="background1" w:themeFillShade="A6"/>
          </w:tcPr>
          <w:p w14:paraId="731878F2" w14:textId="77777777" w:rsidR="00452C5E" w:rsidRPr="00613DF1" w:rsidRDefault="00452C5E" w:rsidP="00452C5E">
            <w:pPr>
              <w:pStyle w:val="tabletextcenter"/>
              <w:keepNext/>
              <w:keepLines/>
              <w:rPr>
                <w:rStyle w:val="TableTextBold"/>
                <w:b w:val="0"/>
              </w:rPr>
            </w:pPr>
            <w:r w:rsidRPr="00613DF1">
              <w:rPr>
                <w:b/>
              </w:rPr>
              <w:t>7.7%</w:t>
            </w:r>
          </w:p>
        </w:tc>
      </w:tr>
      <w:tr w:rsidR="00452C5E" w:rsidRPr="00CD1826" w14:paraId="011344E3" w14:textId="77777777" w:rsidTr="00452C5E">
        <w:trPr>
          <w:jc w:val="left"/>
        </w:trPr>
        <w:tc>
          <w:tcPr>
            <w:tcW w:w="1197" w:type="pct"/>
            <w:vAlign w:val="bottom"/>
          </w:tcPr>
          <w:p w14:paraId="3FFA7DF5" w14:textId="77777777" w:rsidR="00452C5E" w:rsidRPr="00CD1826" w:rsidRDefault="00452C5E" w:rsidP="00452C5E">
            <w:pPr>
              <w:pStyle w:val="TableBullet"/>
              <w:keepLines/>
              <w:numPr>
                <w:ilvl w:val="0"/>
                <w:numId w:val="0"/>
              </w:numPr>
              <w:ind w:left="360"/>
            </w:pPr>
            <w:r>
              <w:t>JRRC (n=7)</w:t>
            </w:r>
          </w:p>
        </w:tc>
        <w:tc>
          <w:tcPr>
            <w:tcW w:w="779" w:type="pct"/>
          </w:tcPr>
          <w:p w14:paraId="07BEF846" w14:textId="77777777" w:rsidR="00452C5E" w:rsidRPr="00F51F78" w:rsidRDefault="00452C5E" w:rsidP="00452C5E">
            <w:pPr>
              <w:pStyle w:val="tabletextcenter"/>
              <w:keepNext/>
              <w:keepLines/>
              <w:rPr>
                <w:rStyle w:val="TableTextBold"/>
                <w:b w:val="0"/>
              </w:rPr>
            </w:pPr>
            <w:r w:rsidRPr="003A1F3E">
              <w:t>14.3%</w:t>
            </w:r>
          </w:p>
        </w:tc>
        <w:tc>
          <w:tcPr>
            <w:tcW w:w="756" w:type="pct"/>
          </w:tcPr>
          <w:p w14:paraId="444747DB" w14:textId="77777777" w:rsidR="00452C5E" w:rsidRPr="00F51F78" w:rsidRDefault="00452C5E" w:rsidP="00452C5E">
            <w:pPr>
              <w:pStyle w:val="tabletextcenter"/>
              <w:keepNext/>
              <w:keepLines/>
              <w:rPr>
                <w:rStyle w:val="TableTextBold"/>
                <w:b w:val="0"/>
              </w:rPr>
            </w:pPr>
            <w:r w:rsidRPr="00610981">
              <w:t>42.9%</w:t>
            </w:r>
          </w:p>
        </w:tc>
        <w:tc>
          <w:tcPr>
            <w:tcW w:w="756" w:type="pct"/>
          </w:tcPr>
          <w:p w14:paraId="7D9C7FC3" w14:textId="77777777" w:rsidR="00452C5E" w:rsidRPr="00F51F78" w:rsidRDefault="00452C5E" w:rsidP="00452C5E">
            <w:pPr>
              <w:pStyle w:val="tabletextcenter"/>
              <w:keepNext/>
              <w:keepLines/>
              <w:rPr>
                <w:rStyle w:val="TableTextBold"/>
                <w:b w:val="0"/>
              </w:rPr>
            </w:pPr>
            <w:r w:rsidRPr="005619EB">
              <w:t>0.0%</w:t>
            </w:r>
          </w:p>
        </w:tc>
        <w:tc>
          <w:tcPr>
            <w:tcW w:w="756" w:type="pct"/>
          </w:tcPr>
          <w:p w14:paraId="77DE488F" w14:textId="77777777" w:rsidR="00452C5E" w:rsidRPr="00F51F78" w:rsidRDefault="00452C5E" w:rsidP="00452C5E">
            <w:pPr>
              <w:pStyle w:val="tabletextcenter"/>
              <w:keepNext/>
              <w:keepLines/>
              <w:rPr>
                <w:rStyle w:val="TableTextBold"/>
                <w:b w:val="0"/>
              </w:rPr>
            </w:pPr>
            <w:r w:rsidRPr="008C62A8">
              <w:t>28.6%</w:t>
            </w:r>
          </w:p>
        </w:tc>
        <w:tc>
          <w:tcPr>
            <w:tcW w:w="756" w:type="pct"/>
          </w:tcPr>
          <w:p w14:paraId="2592855F" w14:textId="77777777" w:rsidR="00452C5E" w:rsidRPr="00F51F78" w:rsidRDefault="00452C5E" w:rsidP="00452C5E">
            <w:pPr>
              <w:pStyle w:val="tabletextcenter"/>
              <w:keepNext/>
              <w:keepLines/>
              <w:rPr>
                <w:rStyle w:val="TableTextBold"/>
                <w:b w:val="0"/>
              </w:rPr>
            </w:pPr>
            <w:r w:rsidRPr="00D97990">
              <w:t>14.3%</w:t>
            </w:r>
          </w:p>
        </w:tc>
      </w:tr>
      <w:tr w:rsidR="00452C5E" w:rsidRPr="00CD1826" w14:paraId="1A654C7E"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vAlign w:val="bottom"/>
          </w:tcPr>
          <w:p w14:paraId="5B4674DB" w14:textId="77777777" w:rsidR="00452C5E" w:rsidRDefault="00452C5E" w:rsidP="00452C5E">
            <w:pPr>
              <w:pStyle w:val="TableBullet"/>
              <w:keepLines/>
              <w:numPr>
                <w:ilvl w:val="0"/>
                <w:numId w:val="0"/>
              </w:numPr>
              <w:ind w:left="360"/>
            </w:pPr>
            <w:r>
              <w:t>JRCA (n=10)</w:t>
            </w:r>
          </w:p>
        </w:tc>
        <w:tc>
          <w:tcPr>
            <w:tcW w:w="779" w:type="pct"/>
          </w:tcPr>
          <w:p w14:paraId="38FDDED6" w14:textId="77777777" w:rsidR="00452C5E" w:rsidRPr="00F51F78" w:rsidRDefault="00452C5E" w:rsidP="00452C5E">
            <w:pPr>
              <w:pStyle w:val="tabletextcenter"/>
              <w:keepNext/>
              <w:keepLines/>
              <w:rPr>
                <w:rStyle w:val="TableTextBold"/>
                <w:b w:val="0"/>
              </w:rPr>
            </w:pPr>
            <w:r w:rsidRPr="003A1F3E">
              <w:t>20.0%</w:t>
            </w:r>
          </w:p>
        </w:tc>
        <w:tc>
          <w:tcPr>
            <w:tcW w:w="756" w:type="pct"/>
          </w:tcPr>
          <w:p w14:paraId="7E5A7E8C" w14:textId="77777777" w:rsidR="00452C5E" w:rsidRPr="00F51F78" w:rsidRDefault="00452C5E" w:rsidP="00452C5E">
            <w:pPr>
              <w:pStyle w:val="tabletextcenter"/>
              <w:keepNext/>
              <w:keepLines/>
              <w:rPr>
                <w:rStyle w:val="TableTextBold"/>
                <w:b w:val="0"/>
              </w:rPr>
            </w:pPr>
            <w:r w:rsidRPr="00610981">
              <w:t>60.0%</w:t>
            </w:r>
          </w:p>
        </w:tc>
        <w:tc>
          <w:tcPr>
            <w:tcW w:w="756" w:type="pct"/>
          </w:tcPr>
          <w:p w14:paraId="70B5B3A6" w14:textId="77777777" w:rsidR="00452C5E" w:rsidRPr="00F51F78" w:rsidRDefault="00452C5E" w:rsidP="00452C5E">
            <w:pPr>
              <w:pStyle w:val="tabletextcenter"/>
              <w:keepNext/>
              <w:keepLines/>
              <w:rPr>
                <w:rStyle w:val="TableTextBold"/>
                <w:b w:val="0"/>
              </w:rPr>
            </w:pPr>
            <w:r w:rsidRPr="005619EB">
              <w:t>10.0%</w:t>
            </w:r>
          </w:p>
        </w:tc>
        <w:tc>
          <w:tcPr>
            <w:tcW w:w="756" w:type="pct"/>
          </w:tcPr>
          <w:p w14:paraId="05B9CBA3" w14:textId="77777777" w:rsidR="00452C5E" w:rsidRPr="00F51F78" w:rsidRDefault="00452C5E" w:rsidP="00452C5E">
            <w:pPr>
              <w:pStyle w:val="tabletextcenter"/>
              <w:keepNext/>
              <w:keepLines/>
              <w:rPr>
                <w:rStyle w:val="TableTextBold"/>
                <w:b w:val="0"/>
              </w:rPr>
            </w:pPr>
            <w:r w:rsidRPr="008C62A8">
              <w:t>10.0%</w:t>
            </w:r>
          </w:p>
        </w:tc>
        <w:tc>
          <w:tcPr>
            <w:tcW w:w="756" w:type="pct"/>
          </w:tcPr>
          <w:p w14:paraId="43C5E815" w14:textId="77777777" w:rsidR="00452C5E" w:rsidRPr="00F51F78" w:rsidRDefault="00452C5E" w:rsidP="00452C5E">
            <w:pPr>
              <w:pStyle w:val="tabletextcenter"/>
              <w:keepNext/>
              <w:keepLines/>
              <w:rPr>
                <w:rStyle w:val="TableTextBold"/>
                <w:b w:val="0"/>
              </w:rPr>
            </w:pPr>
            <w:r w:rsidRPr="00D97990">
              <w:t>0.0%</w:t>
            </w:r>
          </w:p>
        </w:tc>
      </w:tr>
      <w:tr w:rsidR="00452C5E" w:rsidRPr="00CD1826" w14:paraId="5E675419" w14:textId="77777777" w:rsidTr="00452C5E">
        <w:trPr>
          <w:jc w:val="left"/>
        </w:trPr>
        <w:tc>
          <w:tcPr>
            <w:tcW w:w="1197" w:type="pct"/>
            <w:vAlign w:val="bottom"/>
          </w:tcPr>
          <w:p w14:paraId="3B342F9A" w14:textId="77777777" w:rsidR="00452C5E" w:rsidRDefault="00452C5E" w:rsidP="00452C5E">
            <w:pPr>
              <w:pStyle w:val="TableBullet"/>
              <w:keepLines/>
              <w:numPr>
                <w:ilvl w:val="0"/>
                <w:numId w:val="0"/>
              </w:numPr>
              <w:ind w:left="360"/>
            </w:pPr>
            <w:r>
              <w:t>JRSO 1 (n=13)</w:t>
            </w:r>
          </w:p>
        </w:tc>
        <w:tc>
          <w:tcPr>
            <w:tcW w:w="779" w:type="pct"/>
          </w:tcPr>
          <w:p w14:paraId="5C12F8C4" w14:textId="77777777" w:rsidR="00452C5E" w:rsidRPr="00F51F78" w:rsidRDefault="00452C5E" w:rsidP="00452C5E">
            <w:pPr>
              <w:pStyle w:val="tabletextcenter"/>
              <w:keepNext/>
              <w:keepLines/>
              <w:rPr>
                <w:rStyle w:val="TableTextBold"/>
                <w:b w:val="0"/>
              </w:rPr>
            </w:pPr>
            <w:r w:rsidRPr="003A1F3E">
              <w:t>7.7%</w:t>
            </w:r>
          </w:p>
        </w:tc>
        <w:tc>
          <w:tcPr>
            <w:tcW w:w="756" w:type="pct"/>
          </w:tcPr>
          <w:p w14:paraId="5EDE5E87" w14:textId="77777777" w:rsidR="00452C5E" w:rsidRPr="00F51F78" w:rsidRDefault="00452C5E" w:rsidP="00452C5E">
            <w:pPr>
              <w:pStyle w:val="tabletextcenter"/>
              <w:keepNext/>
              <w:keepLines/>
              <w:rPr>
                <w:rStyle w:val="TableTextBold"/>
                <w:b w:val="0"/>
              </w:rPr>
            </w:pPr>
            <w:r w:rsidRPr="00610981">
              <w:t>84.6%</w:t>
            </w:r>
          </w:p>
        </w:tc>
        <w:tc>
          <w:tcPr>
            <w:tcW w:w="756" w:type="pct"/>
          </w:tcPr>
          <w:p w14:paraId="13DD4D64" w14:textId="77777777" w:rsidR="00452C5E" w:rsidRPr="00F51F78" w:rsidRDefault="00452C5E" w:rsidP="00452C5E">
            <w:pPr>
              <w:pStyle w:val="tabletextcenter"/>
              <w:keepNext/>
              <w:keepLines/>
              <w:rPr>
                <w:rStyle w:val="TableTextBold"/>
                <w:b w:val="0"/>
              </w:rPr>
            </w:pPr>
            <w:r w:rsidRPr="005619EB">
              <w:t>0.0%</w:t>
            </w:r>
          </w:p>
        </w:tc>
        <w:tc>
          <w:tcPr>
            <w:tcW w:w="756" w:type="pct"/>
          </w:tcPr>
          <w:p w14:paraId="2BEEC1D5" w14:textId="77777777" w:rsidR="00452C5E" w:rsidRPr="00F51F78" w:rsidRDefault="00452C5E" w:rsidP="00452C5E">
            <w:pPr>
              <w:pStyle w:val="tabletextcenter"/>
              <w:keepNext/>
              <w:keepLines/>
              <w:rPr>
                <w:rStyle w:val="TableTextBold"/>
                <w:b w:val="0"/>
              </w:rPr>
            </w:pPr>
            <w:r w:rsidRPr="008C62A8">
              <w:t>0.0%</w:t>
            </w:r>
          </w:p>
        </w:tc>
        <w:tc>
          <w:tcPr>
            <w:tcW w:w="756" w:type="pct"/>
          </w:tcPr>
          <w:p w14:paraId="018ECD51" w14:textId="77777777" w:rsidR="00452C5E" w:rsidRPr="00F51F78" w:rsidRDefault="00452C5E" w:rsidP="00452C5E">
            <w:pPr>
              <w:pStyle w:val="tabletextcenter"/>
              <w:keepNext/>
              <w:keepLines/>
              <w:rPr>
                <w:rStyle w:val="TableTextBold"/>
                <w:b w:val="0"/>
              </w:rPr>
            </w:pPr>
            <w:r w:rsidRPr="00D97990">
              <w:t>7.7%</w:t>
            </w:r>
          </w:p>
        </w:tc>
      </w:tr>
      <w:tr w:rsidR="00452C5E" w:rsidRPr="00CD1826" w14:paraId="206A24F0" w14:textId="77777777" w:rsidTr="00452C5E">
        <w:trPr>
          <w:cnfStyle w:val="000000100000" w:firstRow="0" w:lastRow="0" w:firstColumn="0" w:lastColumn="0" w:oddVBand="0" w:evenVBand="0" w:oddHBand="1" w:evenHBand="0" w:firstRowFirstColumn="0" w:firstRowLastColumn="0" w:lastRowFirstColumn="0" w:lastRowLastColumn="0"/>
          <w:jc w:val="left"/>
        </w:trPr>
        <w:tc>
          <w:tcPr>
            <w:tcW w:w="1197" w:type="pct"/>
            <w:vAlign w:val="bottom"/>
          </w:tcPr>
          <w:p w14:paraId="3D121B59" w14:textId="77777777" w:rsidR="00452C5E" w:rsidRDefault="00452C5E" w:rsidP="00452C5E">
            <w:pPr>
              <w:pStyle w:val="TableBullet"/>
              <w:keepLines/>
              <w:numPr>
                <w:ilvl w:val="0"/>
                <w:numId w:val="0"/>
              </w:numPr>
              <w:ind w:left="360"/>
            </w:pPr>
            <w:r>
              <w:t>On-Call (n=9)</w:t>
            </w:r>
          </w:p>
        </w:tc>
        <w:tc>
          <w:tcPr>
            <w:tcW w:w="779" w:type="pct"/>
          </w:tcPr>
          <w:p w14:paraId="7AB00995" w14:textId="77777777" w:rsidR="00452C5E" w:rsidRPr="00F51F78" w:rsidRDefault="00452C5E" w:rsidP="00452C5E">
            <w:pPr>
              <w:pStyle w:val="tabletextcenter"/>
              <w:keepNext/>
              <w:keepLines/>
              <w:rPr>
                <w:rStyle w:val="TableTextBold"/>
                <w:b w:val="0"/>
              </w:rPr>
            </w:pPr>
            <w:r w:rsidRPr="003A1F3E">
              <w:t>33.3%</w:t>
            </w:r>
          </w:p>
        </w:tc>
        <w:tc>
          <w:tcPr>
            <w:tcW w:w="756" w:type="pct"/>
          </w:tcPr>
          <w:p w14:paraId="4E6C9AAE" w14:textId="77777777" w:rsidR="00452C5E" w:rsidRPr="00F51F78" w:rsidRDefault="00452C5E" w:rsidP="00452C5E">
            <w:pPr>
              <w:pStyle w:val="tabletextcenter"/>
              <w:keepNext/>
              <w:keepLines/>
              <w:rPr>
                <w:rStyle w:val="TableTextBold"/>
                <w:b w:val="0"/>
              </w:rPr>
            </w:pPr>
            <w:r w:rsidRPr="00610981">
              <w:t>44.4%</w:t>
            </w:r>
          </w:p>
        </w:tc>
        <w:tc>
          <w:tcPr>
            <w:tcW w:w="756" w:type="pct"/>
          </w:tcPr>
          <w:p w14:paraId="3776E14C" w14:textId="77777777" w:rsidR="00452C5E" w:rsidRPr="00F51F78" w:rsidRDefault="00452C5E" w:rsidP="00452C5E">
            <w:pPr>
              <w:pStyle w:val="tabletextcenter"/>
              <w:keepNext/>
              <w:keepLines/>
              <w:rPr>
                <w:rStyle w:val="TableTextBold"/>
                <w:b w:val="0"/>
              </w:rPr>
            </w:pPr>
            <w:r w:rsidRPr="005619EB">
              <w:t>0.0%</w:t>
            </w:r>
          </w:p>
        </w:tc>
        <w:tc>
          <w:tcPr>
            <w:tcW w:w="756" w:type="pct"/>
          </w:tcPr>
          <w:p w14:paraId="66AE0383" w14:textId="77777777" w:rsidR="00452C5E" w:rsidRPr="00F51F78" w:rsidRDefault="00452C5E" w:rsidP="00452C5E">
            <w:pPr>
              <w:pStyle w:val="tabletextcenter"/>
              <w:keepNext/>
              <w:keepLines/>
              <w:rPr>
                <w:rStyle w:val="TableTextBold"/>
                <w:b w:val="0"/>
              </w:rPr>
            </w:pPr>
            <w:r w:rsidRPr="008C62A8">
              <w:t>11.1%</w:t>
            </w:r>
          </w:p>
        </w:tc>
        <w:tc>
          <w:tcPr>
            <w:tcW w:w="756" w:type="pct"/>
          </w:tcPr>
          <w:p w14:paraId="3CC9AFCD" w14:textId="77777777" w:rsidR="00452C5E" w:rsidRPr="00F51F78" w:rsidRDefault="00452C5E" w:rsidP="00452C5E">
            <w:pPr>
              <w:pStyle w:val="tabletextcenter"/>
              <w:keepNext/>
              <w:keepLines/>
              <w:rPr>
                <w:rStyle w:val="TableTextBold"/>
                <w:b w:val="0"/>
              </w:rPr>
            </w:pPr>
            <w:r w:rsidRPr="00D97990">
              <w:t>11.1%</w:t>
            </w:r>
          </w:p>
        </w:tc>
      </w:tr>
    </w:tbl>
    <w:p w14:paraId="2317E062" w14:textId="77777777" w:rsidR="00391964" w:rsidRDefault="00946562" w:rsidP="006C6C9D">
      <w:pPr>
        <w:pStyle w:val="Caption"/>
        <w:keepNext w:val="0"/>
      </w:pPr>
      <w:r>
        <w:t xml:space="preserve"> </w:t>
      </w:r>
      <w:r w:rsidR="00AE63DD">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rsidR="00AE63DD">
        <w:noBreakHyphen/>
      </w:r>
      <w:r w:rsidR="00BA341E">
        <w:rPr>
          <w:noProof/>
        </w:rPr>
        <w:t>18</w:t>
      </w:r>
      <w:r w:rsidR="00E251C1">
        <w:t xml:space="preserve">. </w:t>
      </w:r>
      <w:r w:rsidR="00391964">
        <w:t>JR Tenure by Facility and Position</w:t>
      </w:r>
    </w:p>
    <w:p w14:paraId="6607D73B" w14:textId="77777777" w:rsidR="00946562" w:rsidRDefault="00946562" w:rsidP="009B6DDA">
      <w:pPr>
        <w:spacing w:before="120"/>
      </w:pPr>
      <w:r w:rsidRPr="00293B66">
        <w:t xml:space="preserve">Overall, Echo Glen has the largest percentage of staff with 10 or more years working in their current positions (48.5%). Most of the staff with 10 or more years of tenure at Echo Glen are Juvenile Rehabilitation Residential Counselors (JRRCs) (58.3%). In contract, most of the </w:t>
      </w:r>
      <w:r w:rsidR="00A66C21">
        <w:t>Juvenile Rehabilitation Counselor Assistants (</w:t>
      </w:r>
      <w:r w:rsidRPr="00293B66">
        <w:t>JRCAs</w:t>
      </w:r>
      <w:r w:rsidR="00A66C21">
        <w:t>)</w:t>
      </w:r>
      <w:r w:rsidRPr="00293B66">
        <w:t xml:space="preserve"> have been in their positions for less than a year (66.7%) </w:t>
      </w:r>
      <w:r w:rsidR="00AE63DD" w:rsidRPr="00293B66">
        <w:t>(</w:t>
      </w:r>
      <w:r w:rsidR="00B1359B" w:rsidRPr="00293B66">
        <w:t>s</w:t>
      </w:r>
      <w:r w:rsidR="00AE63DD" w:rsidRPr="00293B66">
        <w:t xml:space="preserve">ee Exhibit </w:t>
      </w:r>
      <w:r w:rsidR="006F7241">
        <w:t>5</w:t>
      </w:r>
      <w:r w:rsidR="00AE63DD" w:rsidRPr="00293B66">
        <w:t>-</w:t>
      </w:r>
      <w:r w:rsidR="00513631" w:rsidRPr="00293B66">
        <w:t>1</w:t>
      </w:r>
      <w:r w:rsidR="00513631">
        <w:t>8</w:t>
      </w:r>
      <w:r w:rsidRPr="00293B66">
        <w:t>).</w:t>
      </w:r>
    </w:p>
    <w:p w14:paraId="55D8E526" w14:textId="7760B77D" w:rsidR="00946562" w:rsidRDefault="00946562" w:rsidP="00946562">
      <w:r>
        <w:t>At Green Hill, the largest percentage of staff have been in their current positions for less than one year (39.1%). Close to half of their JRRCs (37.5%) and the JRCA’s (44.4%) have been in their current position for less than a year</w:t>
      </w:r>
      <w:r w:rsidR="004C75A6">
        <w:t xml:space="preserve">. </w:t>
      </w:r>
      <w:r w:rsidR="001F131B">
        <w:t>Almost a quarter of the</w:t>
      </w:r>
      <w:r>
        <w:t xml:space="preserve"> J</w:t>
      </w:r>
      <w:r w:rsidR="00A66C21">
        <w:t>uvenile Rehabilitation Security Officer 1s (J</w:t>
      </w:r>
      <w:r>
        <w:t>RSOs</w:t>
      </w:r>
      <w:r w:rsidR="009D0220">
        <w:t>)</w:t>
      </w:r>
      <w:r>
        <w:t xml:space="preserve"> have been at Green Hill for less than a year (22.7%) and </w:t>
      </w:r>
      <w:r w:rsidR="001F131B">
        <w:t xml:space="preserve">a little more than a </w:t>
      </w:r>
      <w:r w:rsidR="001F131B">
        <w:lastRenderedPageBreak/>
        <w:t>quarter of the</w:t>
      </w:r>
      <w:r>
        <w:t xml:space="preserve"> JRSOs have been in their current position </w:t>
      </w:r>
      <w:r w:rsidR="00A66C21">
        <w:t>for more than 10 years (27.3%) (see Exhibit 5-18).</w:t>
      </w:r>
    </w:p>
    <w:p w14:paraId="7CDBC029" w14:textId="77777777" w:rsidR="00946562" w:rsidRPr="00293B66" w:rsidRDefault="00946562" w:rsidP="00946562">
      <w:r>
        <w:t xml:space="preserve">Most of the direct services staff at Naselle have been in their current positions for more than a year but less than 3 years (48.3%). More than a </w:t>
      </w:r>
      <w:r w:rsidRPr="00293B66">
        <w:t xml:space="preserve">quarter of the JRRCs (30.8%) have been at Naselle for less than one year </w:t>
      </w:r>
      <w:r w:rsidR="00AE63DD" w:rsidRPr="00293B66">
        <w:t>(</w:t>
      </w:r>
      <w:r w:rsidR="00B1359B" w:rsidRPr="00293B66">
        <w:t>s</w:t>
      </w:r>
      <w:r w:rsidR="00AE63DD" w:rsidRPr="00293B66">
        <w:t xml:space="preserve">ee Exhibit </w:t>
      </w:r>
      <w:r w:rsidR="006F7241">
        <w:t>5</w:t>
      </w:r>
      <w:r w:rsidR="00AE63DD" w:rsidRPr="00293B66">
        <w:t>-</w:t>
      </w:r>
      <w:r w:rsidR="00513631" w:rsidRPr="00293B66">
        <w:t>1</w:t>
      </w:r>
      <w:r w:rsidR="00513631">
        <w:t>8</w:t>
      </w:r>
      <w:r w:rsidRPr="00293B66">
        <w:t>).</w:t>
      </w:r>
    </w:p>
    <w:p w14:paraId="1567F18A" w14:textId="546C2527" w:rsidR="00FD69B6" w:rsidRPr="00C41E45" w:rsidRDefault="00946562" w:rsidP="00946562">
      <w:r w:rsidRPr="00293B66">
        <w:t xml:space="preserve">Overall, more than half of the direct services staff working in the community facilities have been in their current positions for more than a year but less than 3 (61.5%). A majority of their JRRCs have been there for more than a year but less than three years (42.9%). More than a quarter of the </w:t>
      </w:r>
      <w:r w:rsidR="009D0220" w:rsidRPr="00293B66">
        <w:t>JRRC</w:t>
      </w:r>
      <w:r w:rsidR="009D0220">
        <w:t>s</w:t>
      </w:r>
      <w:r w:rsidR="009D0220" w:rsidRPr="00293B66">
        <w:t xml:space="preserve"> </w:t>
      </w:r>
      <w:r w:rsidRPr="00293B66">
        <w:t xml:space="preserve">are more experienced staff having 5 </w:t>
      </w:r>
      <w:r w:rsidR="00917C00">
        <w:t>or</w:t>
      </w:r>
      <w:r w:rsidR="00917C00" w:rsidRPr="00293B66">
        <w:t xml:space="preserve"> </w:t>
      </w:r>
      <w:r w:rsidRPr="00293B66">
        <w:t>more years of experience (28.6%) or more than te</w:t>
      </w:r>
      <w:r w:rsidR="000F46FE" w:rsidRPr="00293B66">
        <w:t xml:space="preserve">n years of experience (14.3%) </w:t>
      </w:r>
      <w:r w:rsidR="00AE63DD" w:rsidRPr="00293B66">
        <w:t>(</w:t>
      </w:r>
      <w:r w:rsidR="00B1359B" w:rsidRPr="00293B66">
        <w:t>s</w:t>
      </w:r>
      <w:r w:rsidR="00AE63DD" w:rsidRPr="00293B66">
        <w:t xml:space="preserve">ee Exhibit </w:t>
      </w:r>
      <w:r w:rsidR="006F7241">
        <w:t>5</w:t>
      </w:r>
      <w:r w:rsidR="00AE63DD" w:rsidRPr="00293B66">
        <w:t>-</w:t>
      </w:r>
      <w:r w:rsidR="00513631" w:rsidRPr="00293B66">
        <w:t>1</w:t>
      </w:r>
      <w:r w:rsidR="00513631">
        <w:t>8</w:t>
      </w:r>
      <w:r w:rsidRPr="00293B66">
        <w:t>).</w:t>
      </w:r>
    </w:p>
    <w:p w14:paraId="4FA9EC5C" w14:textId="77777777" w:rsidR="00C32C1A" w:rsidRDefault="00946562" w:rsidP="00C32C1A">
      <w:pPr>
        <w:pStyle w:val="Heading3"/>
      </w:pPr>
      <w:bookmarkStart w:id="66" w:name="_Toc531597509"/>
      <w:r>
        <w:t>Staff Qualifications</w:t>
      </w:r>
      <w:bookmarkEnd w:id="66"/>
    </w:p>
    <w:p w14:paraId="44DD6C39" w14:textId="77777777" w:rsidR="00946562" w:rsidRDefault="00946562" w:rsidP="00946562">
      <w:r>
        <w:t xml:space="preserve">This section discusses the qualifications required to work as direct services staff in any of the JR facilities. It provides information on both the qualifications and competencies for JRRCs, JRCAs, and JRSOs. It then provides an overview of the educational levels of the direct services staff in each of the facilities. </w:t>
      </w:r>
    </w:p>
    <w:p w14:paraId="7D8DA8A3" w14:textId="77777777" w:rsidR="00946562" w:rsidRPr="00117154" w:rsidRDefault="00946562" w:rsidP="00946562">
      <w:pPr>
        <w:pStyle w:val="Heading4"/>
        <w:rPr>
          <w:color w:val="000000" w:themeColor="text1"/>
        </w:rPr>
      </w:pPr>
      <w:r w:rsidRPr="00117154">
        <w:rPr>
          <w:color w:val="000000" w:themeColor="text1"/>
        </w:rPr>
        <w:t>Preferred Qualifications</w:t>
      </w:r>
    </w:p>
    <w:p w14:paraId="3E8B5E90" w14:textId="77777777" w:rsidR="00946562" w:rsidRDefault="00B1359B" w:rsidP="00946562">
      <w:r w:rsidRPr="00B1359B">
        <w:t xml:space="preserve">In Section </w:t>
      </w:r>
      <w:r w:rsidR="006F7241">
        <w:t>5</w:t>
      </w:r>
      <w:r w:rsidRPr="00B1359B">
        <w:t xml:space="preserve">.4 – Salary, we </w:t>
      </w:r>
      <w:r>
        <w:t xml:space="preserve">summarize </w:t>
      </w:r>
      <w:r w:rsidR="00376734">
        <w:t>t</w:t>
      </w:r>
      <w:r w:rsidR="00946562">
        <w:t>he qualification</w:t>
      </w:r>
      <w:r w:rsidR="004D755E">
        <w:t>s</w:t>
      </w:r>
      <w:r w:rsidR="00946562">
        <w:t xml:space="preserve"> for JRRCs, JRCAs, and JRSOs. While there are no mandatory qualifications listed in the State of Washington Class Specifications, qualifications listed as “Desired Qualifications” are typically considered mandatory.</w:t>
      </w:r>
    </w:p>
    <w:p w14:paraId="03B7A324" w14:textId="77777777" w:rsidR="00946562" w:rsidRDefault="00946562" w:rsidP="00946562">
      <w:r>
        <w:t>JRRCs provide “group supervision, case management and treatment to an assigned caseload of youth.”</w:t>
      </w:r>
      <w:r>
        <w:rPr>
          <w:rStyle w:val="FootnoteReference"/>
        </w:rPr>
        <w:footnoteReference w:id="91"/>
      </w:r>
      <w:r>
        <w:t xml:space="preserve"> The work also includes both the provision of treatment and en</w:t>
      </w:r>
      <w:r w:rsidR="00D70EFE">
        <w:t xml:space="preserve">suring the safety and security of </w:t>
      </w:r>
      <w:r w:rsidR="002F0963">
        <w:t>youth. The</w:t>
      </w:r>
      <w:r>
        <w:t xml:space="preserve"> JRCA position is </w:t>
      </w:r>
      <w:r w:rsidR="00B1359B">
        <w:t xml:space="preserve">an </w:t>
      </w:r>
      <w:r>
        <w:t>entry</w:t>
      </w:r>
      <w:r w:rsidR="00B1359B">
        <w:t>-</w:t>
      </w:r>
      <w:r>
        <w:t xml:space="preserve">level position that should not be assigned </w:t>
      </w:r>
      <w:r w:rsidR="00B1359B">
        <w:t xml:space="preserve">full and </w:t>
      </w:r>
      <w:r>
        <w:t xml:space="preserve">independent case management treatment functions for a caseload. </w:t>
      </w:r>
      <w:r w:rsidR="00B1359B">
        <w:t xml:space="preserve">JRCAs </w:t>
      </w:r>
      <w:r>
        <w:t>may manage a caseload of one to two youth under close supervision. They are supposed to assist higher level staff in the implementation of case management and treatment plans; supervise youth in their daily living routine, chores and activities and ensure the safety and security of youth.</w:t>
      </w:r>
      <w:r>
        <w:rPr>
          <w:rStyle w:val="FootnoteReference"/>
        </w:rPr>
        <w:footnoteReference w:id="92"/>
      </w:r>
      <w:r>
        <w:t xml:space="preserve"> JRSOs are responsible for providing custody, security, and safety for residents, staff and visitors to JR facilities or nighttime supervision, safety and securit</w:t>
      </w:r>
      <w:r w:rsidR="004D755E">
        <w:t>y</w:t>
      </w:r>
      <w:r w:rsidR="00376734">
        <w:t xml:space="preserve"> </w:t>
      </w:r>
      <w:r>
        <w:t>or custody and security of youth to and from, as well as, during appointments on or off campus.</w:t>
      </w:r>
      <w:r>
        <w:rPr>
          <w:rStyle w:val="FootnoteReference"/>
        </w:rPr>
        <w:footnoteReference w:id="93"/>
      </w:r>
    </w:p>
    <w:p w14:paraId="36FA53FA" w14:textId="77777777" w:rsidR="00946562" w:rsidRPr="00240A9F" w:rsidRDefault="00946562" w:rsidP="00946562">
      <w:pPr>
        <w:pStyle w:val="Heading4"/>
        <w:rPr>
          <w:color w:val="000000" w:themeColor="text1"/>
        </w:rPr>
      </w:pPr>
      <w:r w:rsidRPr="00240A9F">
        <w:rPr>
          <w:color w:val="000000" w:themeColor="text1"/>
        </w:rPr>
        <w:t>Current Staff Qualifications</w:t>
      </w:r>
    </w:p>
    <w:p w14:paraId="3C7464A1" w14:textId="77777777" w:rsidR="00946562" w:rsidRDefault="00946562" w:rsidP="00946562">
      <w:r w:rsidRPr="00B1359B">
        <w:t xml:space="preserve">The level of education attained by direct services staff was gathered through the </w:t>
      </w:r>
      <w:r w:rsidR="00E251C1">
        <w:t xml:space="preserve">staff </w:t>
      </w:r>
      <w:r w:rsidR="00A75A62">
        <w:t>survey.</w:t>
      </w:r>
      <w:r w:rsidRPr="00B1359B">
        <w:t xml:space="preserve"> </w:t>
      </w:r>
      <w:r w:rsidR="00AE63DD" w:rsidRPr="00B1359B">
        <w:t xml:space="preserve">Exhibit </w:t>
      </w:r>
      <w:r w:rsidR="006F7241">
        <w:t>5</w:t>
      </w:r>
      <w:r w:rsidR="00D70EFE">
        <w:t>-19</w:t>
      </w:r>
      <w:r w:rsidR="00391964" w:rsidRPr="00B1359B">
        <w:t xml:space="preserve"> </w:t>
      </w:r>
      <w:r w:rsidRPr="00B1359B">
        <w:t>provides a summary of the levels of education of the staff in each institution and those working in the community fa</w:t>
      </w:r>
      <w:r w:rsidR="009C044E" w:rsidRPr="00B1359B">
        <w:t>cilities. Overall, more than 50</w:t>
      </w:r>
      <w:r w:rsidR="004962BA" w:rsidRPr="00B1359B">
        <w:t xml:space="preserve">% </w:t>
      </w:r>
      <w:r w:rsidRPr="00B1359B">
        <w:t>of direct services staff have a bachelor’s degree. The percentage of all direct services staff who completed a bachelor’s de</w:t>
      </w:r>
      <w:r w:rsidR="009C044E" w:rsidRPr="00B1359B">
        <w:t>gree ranged from a high of 78.0</w:t>
      </w:r>
      <w:r w:rsidR="004962BA" w:rsidRPr="00B1359B">
        <w:t xml:space="preserve">% </w:t>
      </w:r>
      <w:r w:rsidR="009C044E" w:rsidRPr="00B1359B">
        <w:t>at Echo Glen to a low of 51.6</w:t>
      </w:r>
      <w:r w:rsidR="004962BA" w:rsidRPr="00B1359B">
        <w:t xml:space="preserve">% </w:t>
      </w:r>
      <w:r w:rsidRPr="00B1359B">
        <w:t>at Naselle.</w:t>
      </w:r>
    </w:p>
    <w:p w14:paraId="584540EA" w14:textId="77777777" w:rsidR="00946562" w:rsidRDefault="00946562" w:rsidP="00946562">
      <w:r w:rsidRPr="00B1359B">
        <w:t>More than three-quarters of the Juvenile Rehabilitation Residential Counselors (JRRCs) at three facilities—Echo Glen (84.0%), Green Hill (88.0%) and Naselle (76.9%) have a bachelor’s degree. In</w:t>
      </w:r>
      <w:r w:rsidR="009C044E" w:rsidRPr="00B1359B">
        <w:t xml:space="preserve"> the community facilities, 62.5</w:t>
      </w:r>
      <w:r w:rsidR="004962BA" w:rsidRPr="00B1359B">
        <w:t xml:space="preserve">% </w:t>
      </w:r>
      <w:r w:rsidRPr="00B1359B">
        <w:t xml:space="preserve">of JRRCs have a bachelor’s degree. Almost a quarter </w:t>
      </w:r>
      <w:r w:rsidRPr="00B1359B">
        <w:lastRenderedPageBreak/>
        <w:t>or JRRCs at Naselle (23%) and the community facilities (25%) have a post graduate degree (</w:t>
      </w:r>
      <w:r w:rsidR="00B1359B" w:rsidRPr="00B1359B">
        <w:t>s</w:t>
      </w:r>
      <w:r w:rsidR="00AE63DD" w:rsidRPr="00B1359B">
        <w:t xml:space="preserve">ee Exhibit </w:t>
      </w:r>
      <w:r w:rsidR="006F7241">
        <w:t>5</w:t>
      </w:r>
      <w:r w:rsidR="00AE63DD" w:rsidRPr="00B1359B">
        <w:t>-</w:t>
      </w:r>
      <w:r w:rsidR="00D70EFE">
        <w:t>19</w:t>
      </w:r>
      <w:r w:rsidRPr="00B1359B">
        <w:t>)</w:t>
      </w:r>
      <w:r w:rsidR="00391964" w:rsidRPr="00B1359B">
        <w:t>.</w:t>
      </w:r>
    </w:p>
    <w:p w14:paraId="73D83555" w14:textId="77777777" w:rsidR="00946562" w:rsidRDefault="00946562" w:rsidP="00946562">
      <w:r w:rsidRPr="00B1359B">
        <w:t>In all of the facilities, more than half of the JRCA’s have bachelor’s deg</w:t>
      </w:r>
      <w:r w:rsidR="009C044E" w:rsidRPr="00B1359B">
        <w:t>rees</w:t>
      </w:r>
      <w:r w:rsidR="00B1359B" w:rsidRPr="00B1359B">
        <w:t>,</w:t>
      </w:r>
      <w:r w:rsidR="009C044E" w:rsidRPr="00B1359B">
        <w:t xml:space="preserve"> ranging from a high of 100</w:t>
      </w:r>
      <w:r w:rsidR="004962BA" w:rsidRPr="00B1359B">
        <w:t xml:space="preserve">% </w:t>
      </w:r>
      <w:r w:rsidRPr="00B1359B">
        <w:t>of the JR</w:t>
      </w:r>
      <w:r w:rsidR="009C044E" w:rsidRPr="00B1359B">
        <w:t>CAs at Echo Glen to a low of 67</w:t>
      </w:r>
      <w:r w:rsidR="004962BA" w:rsidRPr="00B1359B">
        <w:t xml:space="preserve">% </w:t>
      </w:r>
      <w:r w:rsidR="009C044E" w:rsidRPr="00B1359B">
        <w:t>at Naselle. However, 17</w:t>
      </w:r>
      <w:r w:rsidR="004962BA" w:rsidRPr="00B1359B">
        <w:t xml:space="preserve">% </w:t>
      </w:r>
      <w:r w:rsidRPr="00B1359B">
        <w:t xml:space="preserve">of the JRCAs at Naselle have a post graduate degree </w:t>
      </w:r>
      <w:r w:rsidR="00AE63DD" w:rsidRPr="00B1359B">
        <w:t>(</w:t>
      </w:r>
      <w:r w:rsidR="00B1359B" w:rsidRPr="00B1359B">
        <w:t>s</w:t>
      </w:r>
      <w:r w:rsidR="00AE63DD" w:rsidRPr="00B1359B">
        <w:t xml:space="preserve">ee Exhibit </w:t>
      </w:r>
      <w:r w:rsidR="006F7241">
        <w:t>5</w:t>
      </w:r>
      <w:r w:rsidR="00AE63DD" w:rsidRPr="00B1359B">
        <w:t>-</w:t>
      </w:r>
      <w:r w:rsidR="00A05906" w:rsidRPr="00B1359B">
        <w:t>1</w:t>
      </w:r>
      <w:r w:rsidR="00D70EFE">
        <w:t>9</w:t>
      </w:r>
      <w:r w:rsidRPr="00B1359B">
        <w:t>)</w:t>
      </w:r>
      <w:r w:rsidR="00B1359B">
        <w:t>.</w:t>
      </w:r>
    </w:p>
    <w:p w14:paraId="48830666" w14:textId="77777777" w:rsidR="00946562" w:rsidRDefault="00946562" w:rsidP="00946562">
      <w:r>
        <w:t>Overall, mor</w:t>
      </w:r>
      <w:r w:rsidR="009C044E">
        <w:t>e than 50</w:t>
      </w:r>
      <w:r w:rsidR="004962BA">
        <w:t xml:space="preserve">% </w:t>
      </w:r>
      <w:r>
        <w:t>of JRSOs have a high school diploma or equivalent and/or some vocational school or some college</w:t>
      </w:r>
      <w:r w:rsidR="004C75A6">
        <w:t xml:space="preserve">. </w:t>
      </w:r>
      <w:r>
        <w:t>JRSOs with a bachelor’s d</w:t>
      </w:r>
      <w:r w:rsidR="009C044E">
        <w:t>egree ranged from a low of 12.5</w:t>
      </w:r>
      <w:r w:rsidR="004962BA">
        <w:t xml:space="preserve">% </w:t>
      </w:r>
      <w:r w:rsidR="009C044E">
        <w:t>at Naselle to a high of 41.7</w:t>
      </w:r>
      <w:r w:rsidR="004962BA">
        <w:t xml:space="preserve">% </w:t>
      </w:r>
      <w:r>
        <w:t>working at the community facilities.</w:t>
      </w:r>
    </w:p>
    <w:p w14:paraId="65994F18" w14:textId="77777777" w:rsidR="00946562" w:rsidRDefault="00946562" w:rsidP="00946562">
      <w:r w:rsidRPr="00B1359B">
        <w:t xml:space="preserve">The educational level of </w:t>
      </w:r>
      <w:r w:rsidR="00376734">
        <w:t>o</w:t>
      </w:r>
      <w:r w:rsidRPr="00B1359B">
        <w:t xml:space="preserve">n-call staff varied widely. All </w:t>
      </w:r>
      <w:r w:rsidR="00376734">
        <w:t>o</w:t>
      </w:r>
      <w:r w:rsidRPr="00B1359B">
        <w:t xml:space="preserve">n-call staff at Echo Glen have a bachelor’s </w:t>
      </w:r>
      <w:r w:rsidR="006B5B99" w:rsidRPr="00B1359B">
        <w:t>degree. Sixty-three percent</w:t>
      </w:r>
      <w:r w:rsidR="004962BA" w:rsidRPr="00B1359B">
        <w:t xml:space="preserve"> (63%) </w:t>
      </w:r>
      <w:r w:rsidR="006B5B99" w:rsidRPr="00B1359B">
        <w:t>of o</w:t>
      </w:r>
      <w:r w:rsidRPr="00B1359B">
        <w:t>n-call staff working at the community facilities have a bachelor</w:t>
      </w:r>
      <w:r w:rsidR="006B5B99" w:rsidRPr="00B1359B">
        <w:t>’s degree. Almost a quarter of o</w:t>
      </w:r>
      <w:r w:rsidRPr="00B1359B">
        <w:t>n-call staff working at Green Hill and Naselle have a bachelor’s degree (</w:t>
      </w:r>
      <w:r w:rsidR="00B1359B" w:rsidRPr="00B1359B">
        <w:t>s</w:t>
      </w:r>
      <w:r w:rsidR="00AE63DD" w:rsidRPr="00B1359B">
        <w:t xml:space="preserve">ee Exhibit </w:t>
      </w:r>
      <w:r w:rsidR="006F7241">
        <w:t>5</w:t>
      </w:r>
      <w:r w:rsidR="00AE63DD" w:rsidRPr="00B1359B">
        <w:t>-</w:t>
      </w:r>
      <w:r w:rsidR="006F7241">
        <w:t>1</w:t>
      </w:r>
      <w:r w:rsidR="00B74C80">
        <w:t>9</w:t>
      </w:r>
      <w:r w:rsidRPr="00B1359B">
        <w:t>).</w:t>
      </w:r>
    </w:p>
    <w:p w14:paraId="457C35F8" w14:textId="77777777" w:rsidR="00946562" w:rsidRDefault="00946562" w:rsidP="00946562">
      <w:r>
        <w:t>Of the staff with bachelor’s degrees, the five most common degrees were in:</w:t>
      </w:r>
    </w:p>
    <w:p w14:paraId="492F344C" w14:textId="77777777" w:rsidR="00946562" w:rsidRDefault="00946562" w:rsidP="00946562">
      <w:pPr>
        <w:pStyle w:val="ListBullet"/>
      </w:pPr>
      <w:r>
        <w:t>Psychology</w:t>
      </w:r>
      <w:r w:rsidR="006F7241">
        <w:t>;</w:t>
      </w:r>
      <w:r>
        <w:t xml:space="preserve"> </w:t>
      </w:r>
    </w:p>
    <w:p w14:paraId="32F63335" w14:textId="77777777" w:rsidR="00946562" w:rsidRDefault="00946562" w:rsidP="00946562">
      <w:pPr>
        <w:pStyle w:val="ListBullet"/>
      </w:pPr>
      <w:r>
        <w:t>Criminal justice</w:t>
      </w:r>
      <w:r w:rsidR="006F7241">
        <w:t>;</w:t>
      </w:r>
      <w:r>
        <w:t xml:space="preserve"> </w:t>
      </w:r>
    </w:p>
    <w:p w14:paraId="2A174BCD" w14:textId="77777777" w:rsidR="00946562" w:rsidRDefault="00946562" w:rsidP="00946562">
      <w:pPr>
        <w:pStyle w:val="ListBullet"/>
      </w:pPr>
      <w:r>
        <w:t>Social work</w:t>
      </w:r>
      <w:r w:rsidR="006F7241">
        <w:t>;</w:t>
      </w:r>
    </w:p>
    <w:p w14:paraId="5AC3BF41" w14:textId="77777777" w:rsidR="00946562" w:rsidRDefault="00946562" w:rsidP="00946562">
      <w:pPr>
        <w:pStyle w:val="ListBullet"/>
      </w:pPr>
      <w:r>
        <w:t>Law and justice</w:t>
      </w:r>
      <w:r w:rsidR="006F7241">
        <w:t>; and</w:t>
      </w:r>
      <w:r>
        <w:t xml:space="preserve"> </w:t>
      </w:r>
    </w:p>
    <w:p w14:paraId="228CFAE7" w14:textId="77777777" w:rsidR="00946562" w:rsidRDefault="00946562" w:rsidP="00946562">
      <w:pPr>
        <w:pStyle w:val="ListBullet"/>
      </w:pPr>
      <w:r>
        <w:t>Education</w:t>
      </w:r>
      <w:r w:rsidR="006F7241">
        <w:t>.</w:t>
      </w:r>
      <w:r>
        <w:t xml:space="preserve"> </w:t>
      </w:r>
    </w:p>
    <w:p w14:paraId="1582450A" w14:textId="77777777" w:rsidR="00946562" w:rsidRDefault="00946562" w:rsidP="00946562">
      <w:r>
        <w:t>For staff with post-graduate degrees, they were most frequently in social work or psychology.</w:t>
      </w:r>
    </w:p>
    <w:p w14:paraId="419F514C" w14:textId="77777777" w:rsidR="00946562" w:rsidRDefault="00AE63DD" w:rsidP="00946562">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B74C80">
        <w:t>1</w:t>
      </w:r>
      <w:r w:rsidR="00B74C80">
        <w:rPr>
          <w:noProof/>
        </w:rPr>
        <w:t>9</w:t>
      </w:r>
      <w:r w:rsidR="00E251C1">
        <w:t>.</w:t>
      </w:r>
      <w:r w:rsidR="00946562">
        <w:t xml:space="preserve"> Educational Levels of </w:t>
      </w:r>
      <w:r w:rsidR="00D70EFE">
        <w:t>Direct Services</w:t>
      </w:r>
      <w:r w:rsidR="00946562">
        <w:t xml:space="preserve"> Staff</w:t>
      </w:r>
    </w:p>
    <w:tbl>
      <w:tblPr>
        <w:tblStyle w:val="HyzerTable"/>
        <w:tblW w:w="5000" w:type="pct"/>
        <w:tblLook w:val="0420" w:firstRow="1" w:lastRow="0" w:firstColumn="0" w:lastColumn="0" w:noHBand="0" w:noVBand="1"/>
      </w:tblPr>
      <w:tblGrid>
        <w:gridCol w:w="2326"/>
        <w:gridCol w:w="1760"/>
        <w:gridCol w:w="1760"/>
        <w:gridCol w:w="1760"/>
        <w:gridCol w:w="1754"/>
      </w:tblGrid>
      <w:tr w:rsidR="00946562" w:rsidRPr="00CD1826" w14:paraId="4C878A2A" w14:textId="77777777" w:rsidTr="00EB6B67">
        <w:trPr>
          <w:cnfStyle w:val="100000000000" w:firstRow="1" w:lastRow="0" w:firstColumn="0" w:lastColumn="0" w:oddVBand="0" w:evenVBand="0" w:oddHBand="0" w:evenHBand="0" w:firstRowFirstColumn="0" w:firstRowLastColumn="0" w:lastRowFirstColumn="0" w:lastRowLastColumn="0"/>
          <w:tblHeader/>
        </w:trPr>
        <w:tc>
          <w:tcPr>
            <w:tcW w:w="1243" w:type="pct"/>
            <w:vAlign w:val="center"/>
          </w:tcPr>
          <w:p w14:paraId="17FEA116" w14:textId="77777777" w:rsidR="00946562" w:rsidRPr="00FA536F" w:rsidRDefault="00946562" w:rsidP="00EB6B67">
            <w:pPr>
              <w:pStyle w:val="tableheaderwhite"/>
              <w:spacing w:before="20" w:after="20"/>
              <w:jc w:val="left"/>
              <w:rPr>
                <w:sz w:val="22"/>
                <w:szCs w:val="22"/>
              </w:rPr>
            </w:pPr>
            <w:r w:rsidRPr="00FA536F">
              <w:rPr>
                <w:sz w:val="22"/>
                <w:szCs w:val="22"/>
              </w:rPr>
              <w:t>Facility/Position</w:t>
            </w:r>
          </w:p>
        </w:tc>
        <w:tc>
          <w:tcPr>
            <w:tcW w:w="940" w:type="pct"/>
            <w:vAlign w:val="center"/>
          </w:tcPr>
          <w:p w14:paraId="1E767F9E" w14:textId="77777777" w:rsidR="00946562" w:rsidRPr="00FA536F" w:rsidRDefault="00946562" w:rsidP="00EB6B67">
            <w:pPr>
              <w:pStyle w:val="tableheaderwhite"/>
              <w:spacing w:before="20" w:after="20"/>
              <w:rPr>
                <w:sz w:val="22"/>
                <w:szCs w:val="22"/>
              </w:rPr>
            </w:pPr>
            <w:r w:rsidRPr="00FA536F">
              <w:rPr>
                <w:sz w:val="22"/>
                <w:szCs w:val="22"/>
              </w:rPr>
              <w:t>High School</w:t>
            </w:r>
          </w:p>
        </w:tc>
        <w:tc>
          <w:tcPr>
            <w:tcW w:w="940" w:type="pct"/>
            <w:vAlign w:val="center"/>
          </w:tcPr>
          <w:p w14:paraId="430A93D6" w14:textId="77777777" w:rsidR="00946562" w:rsidRPr="00FA536F" w:rsidRDefault="00946562" w:rsidP="00EB6B67">
            <w:pPr>
              <w:pStyle w:val="tableheaderwhite"/>
              <w:spacing w:before="20" w:after="20"/>
              <w:rPr>
                <w:sz w:val="22"/>
                <w:szCs w:val="22"/>
              </w:rPr>
            </w:pPr>
            <w:r w:rsidRPr="00FA536F">
              <w:rPr>
                <w:sz w:val="22"/>
                <w:szCs w:val="22"/>
              </w:rPr>
              <w:t>Vocational School or Some College</w:t>
            </w:r>
          </w:p>
        </w:tc>
        <w:tc>
          <w:tcPr>
            <w:tcW w:w="940" w:type="pct"/>
            <w:vAlign w:val="center"/>
          </w:tcPr>
          <w:p w14:paraId="07D63E81" w14:textId="77777777" w:rsidR="00946562" w:rsidRPr="00FA536F" w:rsidRDefault="00946562" w:rsidP="00EB6B67">
            <w:pPr>
              <w:pStyle w:val="tableheaderwhite"/>
              <w:spacing w:before="20" w:after="20"/>
              <w:rPr>
                <w:sz w:val="22"/>
                <w:szCs w:val="22"/>
              </w:rPr>
            </w:pPr>
            <w:r w:rsidRPr="00FA536F">
              <w:rPr>
                <w:sz w:val="22"/>
                <w:szCs w:val="22"/>
              </w:rPr>
              <w:t>Bachelor’s Degree</w:t>
            </w:r>
          </w:p>
        </w:tc>
        <w:tc>
          <w:tcPr>
            <w:tcW w:w="937" w:type="pct"/>
            <w:vAlign w:val="center"/>
          </w:tcPr>
          <w:p w14:paraId="41289276" w14:textId="77777777" w:rsidR="00946562" w:rsidRPr="00FA536F" w:rsidRDefault="00946562" w:rsidP="00EB6B67">
            <w:pPr>
              <w:pStyle w:val="tableheaderwhite"/>
              <w:spacing w:before="20" w:after="20"/>
              <w:rPr>
                <w:sz w:val="22"/>
                <w:szCs w:val="22"/>
              </w:rPr>
            </w:pPr>
            <w:r w:rsidRPr="00FA536F">
              <w:rPr>
                <w:sz w:val="22"/>
                <w:szCs w:val="22"/>
              </w:rPr>
              <w:t>Post Graduate Degree</w:t>
            </w:r>
          </w:p>
        </w:tc>
      </w:tr>
      <w:tr w:rsidR="00946562" w:rsidRPr="00CD1826" w14:paraId="710EDA50"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shd w:val="clear" w:color="auto" w:fill="000000" w:themeFill="text1"/>
          </w:tcPr>
          <w:p w14:paraId="06CC4A2C" w14:textId="77777777" w:rsidR="00946562" w:rsidRPr="00293B66" w:rsidRDefault="00946562" w:rsidP="00293B66">
            <w:pPr>
              <w:pStyle w:val="TableBullet"/>
              <w:numPr>
                <w:ilvl w:val="0"/>
                <w:numId w:val="0"/>
              </w:numPr>
              <w:ind w:left="130" w:hanging="130"/>
              <w:rPr>
                <w:b/>
              </w:rPr>
            </w:pPr>
            <w:r w:rsidRPr="00293B66">
              <w:rPr>
                <w:b/>
              </w:rPr>
              <w:t>JR Total (n=184)</w:t>
            </w:r>
          </w:p>
        </w:tc>
        <w:tc>
          <w:tcPr>
            <w:tcW w:w="940" w:type="pct"/>
            <w:shd w:val="clear" w:color="auto" w:fill="000000" w:themeFill="text1"/>
          </w:tcPr>
          <w:p w14:paraId="66463673" w14:textId="77777777" w:rsidR="00946562" w:rsidRPr="002F1DF4" w:rsidRDefault="00946562" w:rsidP="00EB6B67">
            <w:pPr>
              <w:pStyle w:val="tabletextcenter"/>
              <w:rPr>
                <w:b/>
                <w:color w:val="FFFFFF" w:themeColor="background1"/>
              </w:rPr>
            </w:pPr>
            <w:r w:rsidRPr="002F1DF4">
              <w:rPr>
                <w:b/>
                <w:color w:val="FFFFFF" w:themeColor="background1"/>
              </w:rPr>
              <w:t>6.0%</w:t>
            </w:r>
          </w:p>
        </w:tc>
        <w:tc>
          <w:tcPr>
            <w:tcW w:w="940" w:type="pct"/>
            <w:shd w:val="clear" w:color="auto" w:fill="000000" w:themeFill="text1"/>
          </w:tcPr>
          <w:p w14:paraId="2EA3CA05" w14:textId="77777777" w:rsidR="00946562" w:rsidRPr="002F1DF4" w:rsidRDefault="00946562" w:rsidP="00EB6B67">
            <w:pPr>
              <w:pStyle w:val="tabletextcenter"/>
              <w:rPr>
                <w:b/>
                <w:color w:val="FFFFFF" w:themeColor="background1"/>
              </w:rPr>
            </w:pPr>
            <w:r w:rsidRPr="002F1DF4">
              <w:rPr>
                <w:b/>
                <w:color w:val="FFFFFF" w:themeColor="background1"/>
              </w:rPr>
              <w:t>23.4%</w:t>
            </w:r>
          </w:p>
        </w:tc>
        <w:tc>
          <w:tcPr>
            <w:tcW w:w="940" w:type="pct"/>
            <w:shd w:val="clear" w:color="auto" w:fill="000000" w:themeFill="text1"/>
          </w:tcPr>
          <w:p w14:paraId="5C89FF67" w14:textId="77777777" w:rsidR="00946562" w:rsidRPr="002F1DF4" w:rsidRDefault="00946562" w:rsidP="00EB6B67">
            <w:pPr>
              <w:pStyle w:val="tabletextcenter"/>
              <w:rPr>
                <w:b/>
                <w:color w:val="FFFFFF" w:themeColor="background1"/>
              </w:rPr>
            </w:pPr>
            <w:r w:rsidRPr="002F1DF4">
              <w:rPr>
                <w:b/>
                <w:color w:val="FFFFFF" w:themeColor="background1"/>
              </w:rPr>
              <w:t>63.6%</w:t>
            </w:r>
          </w:p>
        </w:tc>
        <w:tc>
          <w:tcPr>
            <w:tcW w:w="937" w:type="pct"/>
            <w:shd w:val="clear" w:color="auto" w:fill="000000" w:themeFill="text1"/>
          </w:tcPr>
          <w:p w14:paraId="3517E73D" w14:textId="77777777" w:rsidR="00946562" w:rsidRPr="002F1DF4" w:rsidRDefault="00946562" w:rsidP="00EB6B67">
            <w:pPr>
              <w:pStyle w:val="tabletextcenter"/>
              <w:rPr>
                <w:b/>
                <w:color w:val="FFFFFF" w:themeColor="background1"/>
              </w:rPr>
            </w:pPr>
            <w:r w:rsidRPr="002F1DF4">
              <w:rPr>
                <w:b/>
                <w:color w:val="FFFFFF" w:themeColor="background1"/>
              </w:rPr>
              <w:t>7.1%</w:t>
            </w:r>
          </w:p>
        </w:tc>
      </w:tr>
      <w:tr w:rsidR="00946562" w:rsidRPr="00CD1826" w14:paraId="31F659B6" w14:textId="77777777" w:rsidTr="00EB6B67">
        <w:tc>
          <w:tcPr>
            <w:tcW w:w="1243" w:type="pct"/>
            <w:shd w:val="clear" w:color="auto" w:fill="A6A6A6" w:themeFill="background1" w:themeFillShade="A6"/>
          </w:tcPr>
          <w:p w14:paraId="61DA1005" w14:textId="77777777" w:rsidR="00946562" w:rsidRPr="00293B66" w:rsidRDefault="00946562" w:rsidP="00293B66">
            <w:pPr>
              <w:pStyle w:val="TableBullet"/>
              <w:numPr>
                <w:ilvl w:val="0"/>
                <w:numId w:val="0"/>
              </w:numPr>
              <w:ind w:left="130" w:hanging="130"/>
              <w:rPr>
                <w:b/>
              </w:rPr>
            </w:pPr>
            <w:r w:rsidRPr="00293B66">
              <w:rPr>
                <w:b/>
              </w:rPr>
              <w:t xml:space="preserve">Echo Glen </w:t>
            </w:r>
          </w:p>
        </w:tc>
        <w:tc>
          <w:tcPr>
            <w:tcW w:w="940" w:type="pct"/>
            <w:shd w:val="clear" w:color="auto" w:fill="A6A6A6" w:themeFill="background1" w:themeFillShade="A6"/>
          </w:tcPr>
          <w:p w14:paraId="05A56B75" w14:textId="77777777" w:rsidR="00946562" w:rsidRPr="0070219D" w:rsidRDefault="00946562" w:rsidP="00EB6B67">
            <w:pPr>
              <w:pStyle w:val="tabletextcenter"/>
              <w:rPr>
                <w:b/>
              </w:rPr>
            </w:pPr>
            <w:r w:rsidRPr="0070219D">
              <w:rPr>
                <w:b/>
              </w:rPr>
              <w:t>2.9%</w:t>
            </w:r>
          </w:p>
        </w:tc>
        <w:tc>
          <w:tcPr>
            <w:tcW w:w="940" w:type="pct"/>
            <w:shd w:val="clear" w:color="auto" w:fill="A6A6A6" w:themeFill="background1" w:themeFillShade="A6"/>
          </w:tcPr>
          <w:p w14:paraId="3618209A" w14:textId="77777777" w:rsidR="00946562" w:rsidRPr="0070219D" w:rsidRDefault="00946562" w:rsidP="00EB6B67">
            <w:pPr>
              <w:pStyle w:val="tabletextcenter"/>
              <w:rPr>
                <w:b/>
              </w:rPr>
            </w:pPr>
            <w:r w:rsidRPr="0070219D">
              <w:rPr>
                <w:b/>
              </w:rPr>
              <w:t>8.6%</w:t>
            </w:r>
          </w:p>
        </w:tc>
        <w:tc>
          <w:tcPr>
            <w:tcW w:w="940" w:type="pct"/>
            <w:shd w:val="clear" w:color="auto" w:fill="A6A6A6" w:themeFill="background1" w:themeFillShade="A6"/>
          </w:tcPr>
          <w:p w14:paraId="56A77728" w14:textId="77777777" w:rsidR="00946562" w:rsidRPr="0070219D" w:rsidRDefault="00946562" w:rsidP="00EB6B67">
            <w:pPr>
              <w:pStyle w:val="tabletextcenter"/>
              <w:rPr>
                <w:b/>
              </w:rPr>
            </w:pPr>
            <w:r w:rsidRPr="0070219D">
              <w:rPr>
                <w:b/>
              </w:rPr>
              <w:t>82.9%</w:t>
            </w:r>
          </w:p>
        </w:tc>
        <w:tc>
          <w:tcPr>
            <w:tcW w:w="937" w:type="pct"/>
            <w:shd w:val="clear" w:color="auto" w:fill="A6A6A6" w:themeFill="background1" w:themeFillShade="A6"/>
          </w:tcPr>
          <w:p w14:paraId="719310BF" w14:textId="77777777" w:rsidR="00946562" w:rsidRPr="0070219D" w:rsidRDefault="00946562" w:rsidP="00EB6B67">
            <w:pPr>
              <w:pStyle w:val="tabletextcenter"/>
              <w:rPr>
                <w:b/>
              </w:rPr>
            </w:pPr>
            <w:r w:rsidRPr="0070219D">
              <w:rPr>
                <w:b/>
              </w:rPr>
              <w:t>5.7%</w:t>
            </w:r>
          </w:p>
        </w:tc>
      </w:tr>
      <w:tr w:rsidR="00946562" w:rsidRPr="00CD1826" w14:paraId="68031DAF"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vAlign w:val="bottom"/>
          </w:tcPr>
          <w:p w14:paraId="52DC6B5D" w14:textId="77777777" w:rsidR="00946562" w:rsidRPr="00CD1826" w:rsidRDefault="00946562" w:rsidP="00EB6B67">
            <w:pPr>
              <w:pStyle w:val="TableText"/>
              <w:ind w:left="180"/>
            </w:pPr>
            <w:r>
              <w:t>JRRC (n=26)</w:t>
            </w:r>
          </w:p>
        </w:tc>
        <w:tc>
          <w:tcPr>
            <w:tcW w:w="940" w:type="pct"/>
          </w:tcPr>
          <w:p w14:paraId="6D0FBD3A" w14:textId="77777777" w:rsidR="00946562" w:rsidRPr="00FA536F" w:rsidRDefault="00946562" w:rsidP="00EB6B67">
            <w:pPr>
              <w:pStyle w:val="tabletextcenter"/>
            </w:pPr>
            <w:r w:rsidRPr="00750F81">
              <w:t>0.0%</w:t>
            </w:r>
          </w:p>
        </w:tc>
        <w:tc>
          <w:tcPr>
            <w:tcW w:w="940" w:type="pct"/>
          </w:tcPr>
          <w:p w14:paraId="0FDB503C" w14:textId="77777777" w:rsidR="00946562" w:rsidRPr="00FA536F" w:rsidRDefault="00946562" w:rsidP="00EB6B67">
            <w:pPr>
              <w:pStyle w:val="tabletextcenter"/>
            </w:pPr>
            <w:r w:rsidRPr="00750F81">
              <w:t>7.7%</w:t>
            </w:r>
          </w:p>
        </w:tc>
        <w:tc>
          <w:tcPr>
            <w:tcW w:w="940" w:type="pct"/>
          </w:tcPr>
          <w:p w14:paraId="6BA1D281" w14:textId="77777777" w:rsidR="00946562" w:rsidRPr="00FA536F" w:rsidRDefault="00946562" w:rsidP="00EB6B67">
            <w:pPr>
              <w:pStyle w:val="tabletextcenter"/>
            </w:pPr>
            <w:r w:rsidRPr="00750F81">
              <w:t>84.6%</w:t>
            </w:r>
          </w:p>
        </w:tc>
        <w:tc>
          <w:tcPr>
            <w:tcW w:w="937" w:type="pct"/>
          </w:tcPr>
          <w:p w14:paraId="3A158E5B" w14:textId="77777777" w:rsidR="00946562" w:rsidRPr="00FA536F" w:rsidRDefault="00946562" w:rsidP="00EB6B67">
            <w:pPr>
              <w:pStyle w:val="tabletextcenter"/>
            </w:pPr>
            <w:r w:rsidRPr="00750F81">
              <w:t>7.7%</w:t>
            </w:r>
          </w:p>
        </w:tc>
      </w:tr>
      <w:tr w:rsidR="00946562" w:rsidRPr="00CD1826" w14:paraId="28A7B6D2" w14:textId="77777777" w:rsidTr="00EB6B67">
        <w:tc>
          <w:tcPr>
            <w:tcW w:w="1243" w:type="pct"/>
            <w:vAlign w:val="bottom"/>
          </w:tcPr>
          <w:p w14:paraId="5A96C09A" w14:textId="77777777" w:rsidR="00946562" w:rsidRPr="00CD1826" w:rsidRDefault="00946562" w:rsidP="00EB6B67">
            <w:pPr>
              <w:pStyle w:val="TableText"/>
              <w:ind w:left="180"/>
            </w:pPr>
            <w:r>
              <w:t>JRCA (n=6)</w:t>
            </w:r>
          </w:p>
        </w:tc>
        <w:tc>
          <w:tcPr>
            <w:tcW w:w="940" w:type="pct"/>
          </w:tcPr>
          <w:p w14:paraId="6467C1B7" w14:textId="77777777" w:rsidR="00946562" w:rsidRPr="00FA536F" w:rsidRDefault="00946562" w:rsidP="00EB6B67">
            <w:pPr>
              <w:pStyle w:val="tabletextcenter"/>
            </w:pPr>
            <w:r w:rsidRPr="00750F81">
              <w:t>0.0%</w:t>
            </w:r>
          </w:p>
        </w:tc>
        <w:tc>
          <w:tcPr>
            <w:tcW w:w="940" w:type="pct"/>
          </w:tcPr>
          <w:p w14:paraId="7B7F674A" w14:textId="77777777" w:rsidR="00946562" w:rsidRPr="00FA536F" w:rsidRDefault="00946562" w:rsidP="00EB6B67">
            <w:pPr>
              <w:pStyle w:val="tabletextcenter"/>
            </w:pPr>
            <w:r w:rsidRPr="00750F81">
              <w:t>0.0%</w:t>
            </w:r>
          </w:p>
        </w:tc>
        <w:tc>
          <w:tcPr>
            <w:tcW w:w="940" w:type="pct"/>
          </w:tcPr>
          <w:p w14:paraId="61AA6B9B" w14:textId="77777777" w:rsidR="00946562" w:rsidRPr="00FA536F" w:rsidRDefault="00946562" w:rsidP="00EB6B67">
            <w:pPr>
              <w:pStyle w:val="tabletextcenter"/>
            </w:pPr>
            <w:r w:rsidRPr="00750F81">
              <w:t>100.0%</w:t>
            </w:r>
          </w:p>
        </w:tc>
        <w:tc>
          <w:tcPr>
            <w:tcW w:w="937" w:type="pct"/>
          </w:tcPr>
          <w:p w14:paraId="61EEFE89" w14:textId="77777777" w:rsidR="00946562" w:rsidRPr="00FA536F" w:rsidRDefault="00946562" w:rsidP="00EB6B67">
            <w:pPr>
              <w:pStyle w:val="tabletextcenter"/>
            </w:pPr>
            <w:r w:rsidRPr="00750F81">
              <w:t>0.0%</w:t>
            </w:r>
          </w:p>
        </w:tc>
      </w:tr>
      <w:tr w:rsidR="00946562" w:rsidRPr="00CD1826" w14:paraId="59E185D5"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vAlign w:val="bottom"/>
          </w:tcPr>
          <w:p w14:paraId="451D6317" w14:textId="77777777" w:rsidR="00946562" w:rsidRPr="00CD1826" w:rsidRDefault="00946562" w:rsidP="00EB6B67">
            <w:pPr>
              <w:pStyle w:val="TableText"/>
              <w:ind w:left="180"/>
            </w:pPr>
            <w:r>
              <w:t>JRSO</w:t>
            </w:r>
            <w:r w:rsidR="00D70EFE">
              <w:t xml:space="preserve"> 1</w:t>
            </w:r>
            <w:r>
              <w:t xml:space="preserve"> (n=2)</w:t>
            </w:r>
          </w:p>
        </w:tc>
        <w:tc>
          <w:tcPr>
            <w:tcW w:w="940" w:type="pct"/>
          </w:tcPr>
          <w:p w14:paraId="136F4A2A" w14:textId="77777777" w:rsidR="00946562" w:rsidRPr="00FA536F" w:rsidRDefault="00946562" w:rsidP="00EB6B67">
            <w:pPr>
              <w:pStyle w:val="tabletextcenter"/>
            </w:pPr>
            <w:r w:rsidRPr="00750F81">
              <w:t>50.0%</w:t>
            </w:r>
          </w:p>
        </w:tc>
        <w:tc>
          <w:tcPr>
            <w:tcW w:w="940" w:type="pct"/>
          </w:tcPr>
          <w:p w14:paraId="2F7CFACF" w14:textId="77777777" w:rsidR="00946562" w:rsidRPr="00FA536F" w:rsidRDefault="00946562" w:rsidP="00EB6B67">
            <w:pPr>
              <w:pStyle w:val="tabletextcenter"/>
            </w:pPr>
            <w:r w:rsidRPr="00750F81">
              <w:t>50.0%</w:t>
            </w:r>
          </w:p>
        </w:tc>
        <w:tc>
          <w:tcPr>
            <w:tcW w:w="940" w:type="pct"/>
          </w:tcPr>
          <w:p w14:paraId="68AEB0F6" w14:textId="77777777" w:rsidR="00946562" w:rsidRPr="00FA536F" w:rsidRDefault="00946562" w:rsidP="00EB6B67">
            <w:pPr>
              <w:pStyle w:val="tabletextcenter"/>
            </w:pPr>
            <w:r w:rsidRPr="00750F81">
              <w:t>0.0%</w:t>
            </w:r>
          </w:p>
        </w:tc>
        <w:tc>
          <w:tcPr>
            <w:tcW w:w="937" w:type="pct"/>
          </w:tcPr>
          <w:p w14:paraId="10C7BE70" w14:textId="77777777" w:rsidR="00946562" w:rsidRPr="00FA536F" w:rsidRDefault="00946562" w:rsidP="00EB6B67">
            <w:pPr>
              <w:pStyle w:val="tabletextcenter"/>
            </w:pPr>
            <w:r w:rsidRPr="00750F81">
              <w:t>0.0%</w:t>
            </w:r>
          </w:p>
        </w:tc>
      </w:tr>
      <w:tr w:rsidR="00946562" w:rsidRPr="00CD1826" w14:paraId="41AC0FCE" w14:textId="77777777" w:rsidTr="00EB6B67">
        <w:tc>
          <w:tcPr>
            <w:tcW w:w="1243" w:type="pct"/>
            <w:vAlign w:val="bottom"/>
          </w:tcPr>
          <w:p w14:paraId="3BD83098" w14:textId="77777777" w:rsidR="00946562" w:rsidRDefault="00946562" w:rsidP="00EB6B67">
            <w:pPr>
              <w:pStyle w:val="TableText"/>
              <w:ind w:left="180"/>
            </w:pPr>
            <w:r>
              <w:t>On-Call (n=1)</w:t>
            </w:r>
          </w:p>
        </w:tc>
        <w:tc>
          <w:tcPr>
            <w:tcW w:w="940" w:type="pct"/>
          </w:tcPr>
          <w:p w14:paraId="6FCD067E" w14:textId="77777777" w:rsidR="00946562" w:rsidRPr="00FA536F" w:rsidRDefault="00946562" w:rsidP="00EB6B67">
            <w:pPr>
              <w:pStyle w:val="tabletextcenter"/>
            </w:pPr>
            <w:r w:rsidRPr="00750F81">
              <w:t>0.0%</w:t>
            </w:r>
          </w:p>
        </w:tc>
        <w:tc>
          <w:tcPr>
            <w:tcW w:w="940" w:type="pct"/>
          </w:tcPr>
          <w:p w14:paraId="277EF05C" w14:textId="77777777" w:rsidR="00946562" w:rsidRPr="00FA536F" w:rsidRDefault="00946562" w:rsidP="00EB6B67">
            <w:pPr>
              <w:pStyle w:val="tabletextcenter"/>
            </w:pPr>
            <w:r w:rsidRPr="00750F81">
              <w:t>0.0%</w:t>
            </w:r>
          </w:p>
        </w:tc>
        <w:tc>
          <w:tcPr>
            <w:tcW w:w="940" w:type="pct"/>
          </w:tcPr>
          <w:p w14:paraId="4BD7B224" w14:textId="77777777" w:rsidR="00946562" w:rsidRPr="00FA536F" w:rsidRDefault="00946562" w:rsidP="00EB6B67">
            <w:pPr>
              <w:pStyle w:val="tabletextcenter"/>
            </w:pPr>
            <w:r w:rsidRPr="00750F81">
              <w:t>100.0%</w:t>
            </w:r>
          </w:p>
        </w:tc>
        <w:tc>
          <w:tcPr>
            <w:tcW w:w="937" w:type="pct"/>
          </w:tcPr>
          <w:p w14:paraId="2CD9FC2D" w14:textId="77777777" w:rsidR="00946562" w:rsidRPr="00FA536F" w:rsidRDefault="00946562" w:rsidP="00EB6B67">
            <w:pPr>
              <w:pStyle w:val="tabletextcenter"/>
            </w:pPr>
            <w:r w:rsidRPr="00750F81">
              <w:t>0.0%</w:t>
            </w:r>
          </w:p>
        </w:tc>
      </w:tr>
      <w:tr w:rsidR="00946562" w:rsidRPr="00CD1826" w14:paraId="2202B032"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shd w:val="clear" w:color="auto" w:fill="A6A6A6" w:themeFill="background1" w:themeFillShade="A6"/>
          </w:tcPr>
          <w:p w14:paraId="00E73A4A" w14:textId="77777777" w:rsidR="00946562" w:rsidRPr="0018752B" w:rsidRDefault="00946562" w:rsidP="00EB6B67">
            <w:pPr>
              <w:pStyle w:val="TableText"/>
              <w:rPr>
                <w:b/>
              </w:rPr>
            </w:pPr>
            <w:r w:rsidRPr="0018752B">
              <w:rPr>
                <w:b/>
              </w:rPr>
              <w:t>Green Hill</w:t>
            </w:r>
          </w:p>
        </w:tc>
        <w:tc>
          <w:tcPr>
            <w:tcW w:w="940" w:type="pct"/>
            <w:shd w:val="clear" w:color="auto" w:fill="A6A6A6" w:themeFill="background1" w:themeFillShade="A6"/>
          </w:tcPr>
          <w:p w14:paraId="41B3E44D" w14:textId="77777777" w:rsidR="00946562" w:rsidRPr="0070219D" w:rsidRDefault="00946562" w:rsidP="00EB6B67">
            <w:pPr>
              <w:pStyle w:val="tabletextcenter"/>
              <w:rPr>
                <w:b/>
              </w:rPr>
            </w:pPr>
            <w:r w:rsidRPr="0070219D">
              <w:rPr>
                <w:b/>
              </w:rPr>
              <w:t>8.0%</w:t>
            </w:r>
          </w:p>
        </w:tc>
        <w:tc>
          <w:tcPr>
            <w:tcW w:w="940" w:type="pct"/>
            <w:shd w:val="clear" w:color="auto" w:fill="A6A6A6" w:themeFill="background1" w:themeFillShade="A6"/>
          </w:tcPr>
          <w:p w14:paraId="2D4A3963" w14:textId="77777777" w:rsidR="00946562" w:rsidRPr="0070219D" w:rsidRDefault="00946562" w:rsidP="00EB6B67">
            <w:pPr>
              <w:pStyle w:val="tabletextcenter"/>
              <w:rPr>
                <w:b/>
              </w:rPr>
            </w:pPr>
            <w:r w:rsidRPr="0070219D">
              <w:rPr>
                <w:b/>
              </w:rPr>
              <w:t>33.3%</w:t>
            </w:r>
          </w:p>
        </w:tc>
        <w:tc>
          <w:tcPr>
            <w:tcW w:w="940" w:type="pct"/>
            <w:shd w:val="clear" w:color="auto" w:fill="A6A6A6" w:themeFill="background1" w:themeFillShade="A6"/>
          </w:tcPr>
          <w:p w14:paraId="138860FC" w14:textId="77777777" w:rsidR="00946562" w:rsidRPr="0070219D" w:rsidRDefault="00946562" w:rsidP="00EB6B67">
            <w:pPr>
              <w:pStyle w:val="tabletextcenter"/>
              <w:rPr>
                <w:b/>
              </w:rPr>
            </w:pPr>
            <w:r w:rsidRPr="0070219D">
              <w:rPr>
                <w:b/>
              </w:rPr>
              <w:t>56.0%</w:t>
            </w:r>
          </w:p>
        </w:tc>
        <w:tc>
          <w:tcPr>
            <w:tcW w:w="937" w:type="pct"/>
            <w:shd w:val="clear" w:color="auto" w:fill="A6A6A6" w:themeFill="background1" w:themeFillShade="A6"/>
          </w:tcPr>
          <w:p w14:paraId="71FD6B1A" w14:textId="77777777" w:rsidR="00946562" w:rsidRPr="0070219D" w:rsidRDefault="00946562" w:rsidP="00EB6B67">
            <w:pPr>
              <w:pStyle w:val="tabletextcenter"/>
              <w:rPr>
                <w:b/>
              </w:rPr>
            </w:pPr>
            <w:r w:rsidRPr="0070219D">
              <w:rPr>
                <w:b/>
              </w:rPr>
              <w:t>2.7%</w:t>
            </w:r>
          </w:p>
        </w:tc>
      </w:tr>
      <w:tr w:rsidR="00946562" w:rsidRPr="00CD1826" w14:paraId="6E0F21FE" w14:textId="77777777" w:rsidTr="00EB6B67">
        <w:tc>
          <w:tcPr>
            <w:tcW w:w="1243" w:type="pct"/>
            <w:vAlign w:val="bottom"/>
          </w:tcPr>
          <w:p w14:paraId="5C2E296E" w14:textId="77777777" w:rsidR="00946562" w:rsidRPr="00CD1826" w:rsidRDefault="00946562" w:rsidP="00EB6B67">
            <w:pPr>
              <w:pStyle w:val="TableText"/>
              <w:ind w:left="180"/>
            </w:pPr>
            <w:r>
              <w:t>JRRC (n=28)</w:t>
            </w:r>
          </w:p>
        </w:tc>
        <w:tc>
          <w:tcPr>
            <w:tcW w:w="940" w:type="pct"/>
          </w:tcPr>
          <w:p w14:paraId="71F854CC" w14:textId="77777777" w:rsidR="00946562" w:rsidRPr="00FA536F" w:rsidRDefault="00946562" w:rsidP="00EB6B67">
            <w:pPr>
              <w:pStyle w:val="tabletextcenter"/>
            </w:pPr>
            <w:r w:rsidRPr="00750F81">
              <w:t>0.0%</w:t>
            </w:r>
          </w:p>
        </w:tc>
        <w:tc>
          <w:tcPr>
            <w:tcW w:w="940" w:type="pct"/>
          </w:tcPr>
          <w:p w14:paraId="5EDA0F44" w14:textId="77777777" w:rsidR="00946562" w:rsidRPr="00FA536F" w:rsidRDefault="00946562" w:rsidP="00EB6B67">
            <w:pPr>
              <w:pStyle w:val="tabletextcenter"/>
            </w:pPr>
            <w:r w:rsidRPr="00750F81">
              <w:t>3.6%</w:t>
            </w:r>
          </w:p>
        </w:tc>
        <w:tc>
          <w:tcPr>
            <w:tcW w:w="940" w:type="pct"/>
          </w:tcPr>
          <w:p w14:paraId="6E8898F7" w14:textId="77777777" w:rsidR="00946562" w:rsidRPr="00FA536F" w:rsidRDefault="00946562" w:rsidP="00EB6B67">
            <w:pPr>
              <w:pStyle w:val="tabletextcenter"/>
            </w:pPr>
            <w:r w:rsidRPr="00750F81">
              <w:t>89.3%</w:t>
            </w:r>
          </w:p>
        </w:tc>
        <w:tc>
          <w:tcPr>
            <w:tcW w:w="937" w:type="pct"/>
          </w:tcPr>
          <w:p w14:paraId="09611FD7" w14:textId="77777777" w:rsidR="00946562" w:rsidRPr="00FA536F" w:rsidRDefault="00946562" w:rsidP="00EB6B67">
            <w:pPr>
              <w:pStyle w:val="tabletextcenter"/>
            </w:pPr>
            <w:r w:rsidRPr="00750F81">
              <w:t>7.1%</w:t>
            </w:r>
          </w:p>
        </w:tc>
      </w:tr>
      <w:tr w:rsidR="00946562" w:rsidRPr="00CD1826" w14:paraId="78343995"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vAlign w:val="bottom"/>
          </w:tcPr>
          <w:p w14:paraId="5597F187" w14:textId="77777777" w:rsidR="00946562" w:rsidRPr="00CD1826" w:rsidRDefault="00946562" w:rsidP="00EB6B67">
            <w:pPr>
              <w:pStyle w:val="TableText"/>
              <w:ind w:left="180"/>
            </w:pPr>
            <w:r>
              <w:t>JRCA (n=10)</w:t>
            </w:r>
          </w:p>
        </w:tc>
        <w:tc>
          <w:tcPr>
            <w:tcW w:w="940" w:type="pct"/>
          </w:tcPr>
          <w:p w14:paraId="4119A361" w14:textId="77777777" w:rsidR="00946562" w:rsidRPr="00FA536F" w:rsidRDefault="00946562" w:rsidP="00EB6B67">
            <w:pPr>
              <w:pStyle w:val="tabletextcenter"/>
            </w:pPr>
            <w:r w:rsidRPr="00750F81">
              <w:t>0.0%</w:t>
            </w:r>
          </w:p>
        </w:tc>
        <w:tc>
          <w:tcPr>
            <w:tcW w:w="940" w:type="pct"/>
          </w:tcPr>
          <w:p w14:paraId="0F9DAA31" w14:textId="77777777" w:rsidR="00946562" w:rsidRPr="00FA536F" w:rsidRDefault="00946562" w:rsidP="00EB6B67">
            <w:pPr>
              <w:pStyle w:val="tabletextcenter"/>
            </w:pPr>
            <w:r w:rsidRPr="00750F81">
              <w:t>20.0%</w:t>
            </w:r>
          </w:p>
        </w:tc>
        <w:tc>
          <w:tcPr>
            <w:tcW w:w="940" w:type="pct"/>
          </w:tcPr>
          <w:p w14:paraId="2E96C722" w14:textId="77777777" w:rsidR="00946562" w:rsidRPr="00FA536F" w:rsidRDefault="00946562" w:rsidP="00EB6B67">
            <w:pPr>
              <w:pStyle w:val="tabletextcenter"/>
            </w:pPr>
            <w:r w:rsidRPr="00750F81">
              <w:t>80.0%</w:t>
            </w:r>
          </w:p>
        </w:tc>
        <w:tc>
          <w:tcPr>
            <w:tcW w:w="937" w:type="pct"/>
          </w:tcPr>
          <w:p w14:paraId="69623911" w14:textId="77777777" w:rsidR="00946562" w:rsidRPr="00FA536F" w:rsidRDefault="00946562" w:rsidP="00EB6B67">
            <w:pPr>
              <w:pStyle w:val="tabletextcenter"/>
            </w:pPr>
            <w:r w:rsidRPr="00750F81">
              <w:t>0.0%</w:t>
            </w:r>
          </w:p>
        </w:tc>
      </w:tr>
      <w:tr w:rsidR="00946562" w:rsidRPr="00CD1826" w14:paraId="2E44D965" w14:textId="77777777" w:rsidTr="00EB6B67">
        <w:tc>
          <w:tcPr>
            <w:tcW w:w="1243" w:type="pct"/>
            <w:tcBorders>
              <w:bottom w:val="single" w:sz="2" w:space="0" w:color="808080" w:themeColor="text1" w:themeTint="7F"/>
            </w:tcBorders>
            <w:vAlign w:val="bottom"/>
          </w:tcPr>
          <w:p w14:paraId="0692055D" w14:textId="77777777" w:rsidR="00946562" w:rsidRPr="00CD1826" w:rsidRDefault="00946562" w:rsidP="00EB6B67">
            <w:pPr>
              <w:pStyle w:val="TableText"/>
              <w:ind w:left="180"/>
            </w:pPr>
            <w:r>
              <w:t>JRSO</w:t>
            </w:r>
            <w:r w:rsidR="00D70EFE">
              <w:t xml:space="preserve"> 1</w:t>
            </w:r>
            <w:r>
              <w:t xml:space="preserve"> (n=23)</w:t>
            </w:r>
          </w:p>
        </w:tc>
        <w:tc>
          <w:tcPr>
            <w:tcW w:w="940" w:type="pct"/>
            <w:tcBorders>
              <w:bottom w:val="single" w:sz="2" w:space="0" w:color="808080" w:themeColor="text1" w:themeTint="7F"/>
            </w:tcBorders>
          </w:tcPr>
          <w:p w14:paraId="2AE47A8E" w14:textId="77777777" w:rsidR="00946562" w:rsidRPr="00FA536F" w:rsidRDefault="00946562" w:rsidP="00EB6B67">
            <w:pPr>
              <w:pStyle w:val="tabletextcenter"/>
            </w:pPr>
            <w:r w:rsidRPr="00750F81">
              <w:t>21.7%</w:t>
            </w:r>
          </w:p>
        </w:tc>
        <w:tc>
          <w:tcPr>
            <w:tcW w:w="940" w:type="pct"/>
            <w:tcBorders>
              <w:bottom w:val="single" w:sz="2" w:space="0" w:color="808080" w:themeColor="text1" w:themeTint="7F"/>
            </w:tcBorders>
          </w:tcPr>
          <w:p w14:paraId="1A3E7527" w14:textId="77777777" w:rsidR="00946562" w:rsidRPr="00FA536F" w:rsidRDefault="00946562" w:rsidP="00EB6B67">
            <w:pPr>
              <w:pStyle w:val="tabletextcenter"/>
            </w:pPr>
            <w:r w:rsidRPr="00750F81">
              <w:t>52.2%</w:t>
            </w:r>
          </w:p>
        </w:tc>
        <w:tc>
          <w:tcPr>
            <w:tcW w:w="940" w:type="pct"/>
            <w:tcBorders>
              <w:bottom w:val="single" w:sz="2" w:space="0" w:color="808080" w:themeColor="text1" w:themeTint="7F"/>
            </w:tcBorders>
          </w:tcPr>
          <w:p w14:paraId="69210B4B" w14:textId="77777777" w:rsidR="00946562" w:rsidRPr="00FA536F" w:rsidRDefault="00946562" w:rsidP="00EB6B67">
            <w:pPr>
              <w:pStyle w:val="tabletextcenter"/>
            </w:pPr>
            <w:r w:rsidRPr="00750F81">
              <w:t>26.1%</w:t>
            </w:r>
          </w:p>
        </w:tc>
        <w:tc>
          <w:tcPr>
            <w:tcW w:w="937" w:type="pct"/>
            <w:tcBorders>
              <w:bottom w:val="single" w:sz="2" w:space="0" w:color="808080" w:themeColor="text1" w:themeTint="7F"/>
            </w:tcBorders>
          </w:tcPr>
          <w:p w14:paraId="33BB29F1" w14:textId="77777777" w:rsidR="00946562" w:rsidRPr="00FA536F" w:rsidRDefault="00946562" w:rsidP="00EB6B67">
            <w:pPr>
              <w:pStyle w:val="tabletextcenter"/>
            </w:pPr>
            <w:r w:rsidRPr="00750F81">
              <w:t>0.0%</w:t>
            </w:r>
          </w:p>
        </w:tc>
      </w:tr>
      <w:tr w:rsidR="00946562" w:rsidRPr="00CD1826" w14:paraId="1853C7D6"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tcBorders>
              <w:bottom w:val="single" w:sz="2" w:space="0" w:color="808080" w:themeColor="text1" w:themeTint="7F"/>
            </w:tcBorders>
            <w:vAlign w:val="bottom"/>
          </w:tcPr>
          <w:p w14:paraId="2254BF2D" w14:textId="77777777" w:rsidR="00946562" w:rsidRDefault="00946562" w:rsidP="00EB6B67">
            <w:pPr>
              <w:pStyle w:val="TableText"/>
              <w:ind w:left="180"/>
            </w:pPr>
            <w:r>
              <w:t>On-Call (n=14)</w:t>
            </w:r>
          </w:p>
        </w:tc>
        <w:tc>
          <w:tcPr>
            <w:tcW w:w="940" w:type="pct"/>
            <w:tcBorders>
              <w:bottom w:val="single" w:sz="2" w:space="0" w:color="808080" w:themeColor="text1" w:themeTint="7F"/>
            </w:tcBorders>
          </w:tcPr>
          <w:p w14:paraId="2836DFC4" w14:textId="77777777" w:rsidR="00946562" w:rsidRPr="00FA536F" w:rsidRDefault="00946562" w:rsidP="00EB6B67">
            <w:pPr>
              <w:pStyle w:val="tabletextcenter"/>
            </w:pPr>
            <w:r w:rsidRPr="00750F81">
              <w:t>7.1%</w:t>
            </w:r>
          </w:p>
        </w:tc>
        <w:tc>
          <w:tcPr>
            <w:tcW w:w="940" w:type="pct"/>
            <w:tcBorders>
              <w:bottom w:val="single" w:sz="2" w:space="0" w:color="808080" w:themeColor="text1" w:themeTint="7F"/>
            </w:tcBorders>
          </w:tcPr>
          <w:p w14:paraId="5C332171" w14:textId="77777777" w:rsidR="00946562" w:rsidRPr="00FA536F" w:rsidRDefault="00946562" w:rsidP="00EB6B67">
            <w:pPr>
              <w:pStyle w:val="tabletextcenter"/>
            </w:pPr>
            <w:r w:rsidRPr="00750F81">
              <w:t>71.4%</w:t>
            </w:r>
          </w:p>
        </w:tc>
        <w:tc>
          <w:tcPr>
            <w:tcW w:w="940" w:type="pct"/>
            <w:tcBorders>
              <w:bottom w:val="single" w:sz="2" w:space="0" w:color="808080" w:themeColor="text1" w:themeTint="7F"/>
            </w:tcBorders>
          </w:tcPr>
          <w:p w14:paraId="3096D194" w14:textId="77777777" w:rsidR="00946562" w:rsidRPr="00FA536F" w:rsidRDefault="00946562" w:rsidP="00EB6B67">
            <w:pPr>
              <w:pStyle w:val="tabletextcenter"/>
            </w:pPr>
            <w:r w:rsidRPr="00750F81">
              <w:t>21.4%</w:t>
            </w:r>
          </w:p>
        </w:tc>
        <w:tc>
          <w:tcPr>
            <w:tcW w:w="937" w:type="pct"/>
            <w:tcBorders>
              <w:bottom w:val="single" w:sz="2" w:space="0" w:color="808080" w:themeColor="text1" w:themeTint="7F"/>
            </w:tcBorders>
          </w:tcPr>
          <w:p w14:paraId="24F2F954" w14:textId="77777777" w:rsidR="00946562" w:rsidRPr="00FA536F" w:rsidRDefault="00946562" w:rsidP="00EB6B67">
            <w:pPr>
              <w:pStyle w:val="tabletextcenter"/>
            </w:pPr>
            <w:r w:rsidRPr="00750F81">
              <w:t>0.0%</w:t>
            </w:r>
          </w:p>
        </w:tc>
      </w:tr>
      <w:tr w:rsidR="00946562" w:rsidRPr="00CD1826" w14:paraId="74B5A146" w14:textId="77777777" w:rsidTr="00EB6B67">
        <w:tc>
          <w:tcPr>
            <w:tcW w:w="1243" w:type="pct"/>
            <w:tcBorders>
              <w:top w:val="single" w:sz="2" w:space="0" w:color="808080" w:themeColor="text1" w:themeTint="7F"/>
              <w:bottom w:val="single" w:sz="2" w:space="0" w:color="808080" w:themeColor="text1" w:themeTint="7F"/>
            </w:tcBorders>
            <w:shd w:val="clear" w:color="auto" w:fill="A6A6A6" w:themeFill="background1" w:themeFillShade="A6"/>
          </w:tcPr>
          <w:p w14:paraId="612618AF" w14:textId="77777777" w:rsidR="00946562" w:rsidRPr="0018752B" w:rsidRDefault="00946562" w:rsidP="00EB6B67">
            <w:pPr>
              <w:pStyle w:val="TableText"/>
              <w:rPr>
                <w:b/>
              </w:rPr>
            </w:pPr>
            <w:r w:rsidRPr="0018752B">
              <w:rPr>
                <w:b/>
              </w:rPr>
              <w:t>Naselle</w:t>
            </w:r>
          </w:p>
        </w:tc>
        <w:tc>
          <w:tcPr>
            <w:tcW w:w="940" w:type="pct"/>
            <w:tcBorders>
              <w:top w:val="single" w:sz="2" w:space="0" w:color="808080" w:themeColor="text1" w:themeTint="7F"/>
              <w:bottom w:val="single" w:sz="2" w:space="0" w:color="808080" w:themeColor="text1" w:themeTint="7F"/>
            </w:tcBorders>
            <w:shd w:val="clear" w:color="auto" w:fill="A6A6A6" w:themeFill="background1" w:themeFillShade="A6"/>
          </w:tcPr>
          <w:p w14:paraId="0D8DD768" w14:textId="77777777" w:rsidR="00946562" w:rsidRPr="0070219D" w:rsidRDefault="00946562" w:rsidP="00EB6B67">
            <w:pPr>
              <w:pStyle w:val="tabletextcenter"/>
              <w:rPr>
                <w:b/>
              </w:rPr>
            </w:pPr>
            <w:r w:rsidRPr="0070219D">
              <w:rPr>
                <w:b/>
              </w:rPr>
              <w:t>0.0%</w:t>
            </w:r>
          </w:p>
        </w:tc>
        <w:tc>
          <w:tcPr>
            <w:tcW w:w="940" w:type="pct"/>
            <w:tcBorders>
              <w:top w:val="single" w:sz="2" w:space="0" w:color="808080" w:themeColor="text1" w:themeTint="7F"/>
              <w:bottom w:val="single" w:sz="2" w:space="0" w:color="808080" w:themeColor="text1" w:themeTint="7F"/>
            </w:tcBorders>
            <w:shd w:val="clear" w:color="auto" w:fill="A6A6A6" w:themeFill="background1" w:themeFillShade="A6"/>
          </w:tcPr>
          <w:p w14:paraId="158D5E7E" w14:textId="77777777" w:rsidR="00946562" w:rsidRPr="0070219D" w:rsidRDefault="00946562" w:rsidP="00EB6B67">
            <w:pPr>
              <w:pStyle w:val="tabletextcenter"/>
              <w:rPr>
                <w:b/>
              </w:rPr>
            </w:pPr>
            <w:r w:rsidRPr="0070219D">
              <w:rPr>
                <w:b/>
              </w:rPr>
              <w:t>20.0%</w:t>
            </w:r>
          </w:p>
        </w:tc>
        <w:tc>
          <w:tcPr>
            <w:tcW w:w="940" w:type="pct"/>
            <w:tcBorders>
              <w:top w:val="single" w:sz="2" w:space="0" w:color="808080" w:themeColor="text1" w:themeTint="7F"/>
              <w:bottom w:val="single" w:sz="2" w:space="0" w:color="808080" w:themeColor="text1" w:themeTint="7F"/>
            </w:tcBorders>
            <w:shd w:val="clear" w:color="auto" w:fill="A6A6A6" w:themeFill="background1" w:themeFillShade="A6"/>
          </w:tcPr>
          <w:p w14:paraId="6B6EB39B" w14:textId="77777777" w:rsidR="00946562" w:rsidRPr="0070219D" w:rsidRDefault="00946562" w:rsidP="00EB6B67">
            <w:pPr>
              <w:pStyle w:val="tabletextcenter"/>
              <w:rPr>
                <w:b/>
              </w:rPr>
            </w:pPr>
            <w:r w:rsidRPr="0070219D">
              <w:rPr>
                <w:b/>
              </w:rPr>
              <w:t>63.3%</w:t>
            </w:r>
          </w:p>
        </w:tc>
        <w:tc>
          <w:tcPr>
            <w:tcW w:w="937" w:type="pct"/>
            <w:tcBorders>
              <w:top w:val="single" w:sz="2" w:space="0" w:color="808080" w:themeColor="text1" w:themeTint="7F"/>
              <w:bottom w:val="single" w:sz="2" w:space="0" w:color="808080" w:themeColor="text1" w:themeTint="7F"/>
            </w:tcBorders>
            <w:shd w:val="clear" w:color="auto" w:fill="A6A6A6" w:themeFill="background1" w:themeFillShade="A6"/>
          </w:tcPr>
          <w:p w14:paraId="10ED251E" w14:textId="77777777" w:rsidR="00946562" w:rsidRPr="0070219D" w:rsidRDefault="00946562" w:rsidP="00EB6B67">
            <w:pPr>
              <w:pStyle w:val="tabletextcenter"/>
              <w:rPr>
                <w:b/>
              </w:rPr>
            </w:pPr>
            <w:r w:rsidRPr="0070219D">
              <w:rPr>
                <w:b/>
              </w:rPr>
              <w:t>16.7%</w:t>
            </w:r>
          </w:p>
        </w:tc>
      </w:tr>
      <w:tr w:rsidR="00946562" w:rsidRPr="00CD1826" w14:paraId="2176F73D"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tcBorders>
              <w:top w:val="single" w:sz="2" w:space="0" w:color="808080" w:themeColor="text1" w:themeTint="7F"/>
            </w:tcBorders>
            <w:vAlign w:val="bottom"/>
          </w:tcPr>
          <w:p w14:paraId="76F8EF2A" w14:textId="77777777" w:rsidR="00946562" w:rsidRPr="00CD1826" w:rsidRDefault="00946562" w:rsidP="00EB6B67">
            <w:pPr>
              <w:pStyle w:val="TableText"/>
              <w:ind w:left="180"/>
            </w:pPr>
            <w:r>
              <w:t>JRRC (n=14)</w:t>
            </w:r>
          </w:p>
        </w:tc>
        <w:tc>
          <w:tcPr>
            <w:tcW w:w="940" w:type="pct"/>
            <w:tcBorders>
              <w:top w:val="single" w:sz="2" w:space="0" w:color="808080" w:themeColor="text1" w:themeTint="7F"/>
            </w:tcBorders>
          </w:tcPr>
          <w:p w14:paraId="46FC1E76" w14:textId="77777777" w:rsidR="00946562" w:rsidRPr="00FA536F" w:rsidRDefault="00946562" w:rsidP="00EB6B67">
            <w:pPr>
              <w:pStyle w:val="tabletextcenter"/>
            </w:pPr>
            <w:r w:rsidRPr="00750F81">
              <w:t>0.0%</w:t>
            </w:r>
          </w:p>
        </w:tc>
        <w:tc>
          <w:tcPr>
            <w:tcW w:w="940" w:type="pct"/>
            <w:tcBorders>
              <w:top w:val="single" w:sz="2" w:space="0" w:color="808080" w:themeColor="text1" w:themeTint="7F"/>
            </w:tcBorders>
          </w:tcPr>
          <w:p w14:paraId="5129669D" w14:textId="77777777" w:rsidR="00946562" w:rsidRPr="00FA536F" w:rsidRDefault="00946562" w:rsidP="00EB6B67">
            <w:pPr>
              <w:pStyle w:val="tabletextcenter"/>
            </w:pPr>
            <w:r w:rsidRPr="00750F81">
              <w:t>0.0%</w:t>
            </w:r>
          </w:p>
        </w:tc>
        <w:tc>
          <w:tcPr>
            <w:tcW w:w="940" w:type="pct"/>
            <w:tcBorders>
              <w:top w:val="single" w:sz="2" w:space="0" w:color="808080" w:themeColor="text1" w:themeTint="7F"/>
            </w:tcBorders>
          </w:tcPr>
          <w:p w14:paraId="3C527565" w14:textId="77777777" w:rsidR="00946562" w:rsidRPr="00FA536F" w:rsidRDefault="00946562" w:rsidP="00EB6B67">
            <w:pPr>
              <w:pStyle w:val="tabletextcenter"/>
            </w:pPr>
            <w:r w:rsidRPr="00750F81">
              <w:t>71.4%</w:t>
            </w:r>
          </w:p>
        </w:tc>
        <w:tc>
          <w:tcPr>
            <w:tcW w:w="937" w:type="pct"/>
            <w:tcBorders>
              <w:top w:val="single" w:sz="2" w:space="0" w:color="808080" w:themeColor="text1" w:themeTint="7F"/>
            </w:tcBorders>
          </w:tcPr>
          <w:p w14:paraId="426E6DCC" w14:textId="77777777" w:rsidR="00946562" w:rsidRPr="00FA536F" w:rsidRDefault="00946562" w:rsidP="00EB6B67">
            <w:pPr>
              <w:pStyle w:val="tabletextcenter"/>
            </w:pPr>
            <w:r w:rsidRPr="00750F81">
              <w:t>28.6%</w:t>
            </w:r>
          </w:p>
        </w:tc>
      </w:tr>
      <w:tr w:rsidR="00946562" w:rsidRPr="00CD1826" w14:paraId="657A3830" w14:textId="77777777" w:rsidTr="00EB6B67">
        <w:tc>
          <w:tcPr>
            <w:tcW w:w="1243" w:type="pct"/>
            <w:vAlign w:val="bottom"/>
          </w:tcPr>
          <w:p w14:paraId="6BF7A79D" w14:textId="77777777" w:rsidR="00946562" w:rsidRPr="00CD1826" w:rsidRDefault="00946562" w:rsidP="00EB6B67">
            <w:pPr>
              <w:pStyle w:val="TableText"/>
              <w:ind w:left="180"/>
            </w:pPr>
            <w:r>
              <w:t>JRCA (n=6)</w:t>
            </w:r>
          </w:p>
        </w:tc>
        <w:tc>
          <w:tcPr>
            <w:tcW w:w="940" w:type="pct"/>
          </w:tcPr>
          <w:p w14:paraId="16E624AE" w14:textId="77777777" w:rsidR="00946562" w:rsidRPr="00FA536F" w:rsidRDefault="00946562" w:rsidP="00EB6B67">
            <w:pPr>
              <w:pStyle w:val="tabletextcenter"/>
            </w:pPr>
            <w:r w:rsidRPr="00750F81">
              <w:t>0.0%</w:t>
            </w:r>
          </w:p>
        </w:tc>
        <w:tc>
          <w:tcPr>
            <w:tcW w:w="940" w:type="pct"/>
          </w:tcPr>
          <w:p w14:paraId="1619D765" w14:textId="77777777" w:rsidR="00946562" w:rsidRPr="00FA536F" w:rsidRDefault="00946562" w:rsidP="00EB6B67">
            <w:pPr>
              <w:pStyle w:val="tabletextcenter"/>
            </w:pPr>
            <w:r w:rsidRPr="00750F81">
              <w:t>16.7%</w:t>
            </w:r>
          </w:p>
        </w:tc>
        <w:tc>
          <w:tcPr>
            <w:tcW w:w="940" w:type="pct"/>
          </w:tcPr>
          <w:p w14:paraId="7868E94C" w14:textId="77777777" w:rsidR="00946562" w:rsidRPr="00FA536F" w:rsidRDefault="00946562" w:rsidP="00EB6B67">
            <w:pPr>
              <w:pStyle w:val="tabletextcenter"/>
            </w:pPr>
            <w:r w:rsidRPr="00750F81">
              <w:t>66.7%</w:t>
            </w:r>
          </w:p>
        </w:tc>
        <w:tc>
          <w:tcPr>
            <w:tcW w:w="937" w:type="pct"/>
          </w:tcPr>
          <w:p w14:paraId="6BCAFDDF" w14:textId="77777777" w:rsidR="00946562" w:rsidRPr="00FA536F" w:rsidRDefault="00946562" w:rsidP="00EB6B67">
            <w:pPr>
              <w:pStyle w:val="tabletextcenter"/>
            </w:pPr>
            <w:r w:rsidRPr="00750F81">
              <w:t>16.7%</w:t>
            </w:r>
          </w:p>
        </w:tc>
      </w:tr>
      <w:tr w:rsidR="00946562" w:rsidRPr="00CD1826" w14:paraId="05E03A80"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tcBorders>
              <w:bottom w:val="single" w:sz="2" w:space="0" w:color="808080" w:themeColor="text1" w:themeTint="7F"/>
            </w:tcBorders>
            <w:vAlign w:val="bottom"/>
          </w:tcPr>
          <w:p w14:paraId="1CCA8419" w14:textId="77777777" w:rsidR="00946562" w:rsidRPr="00CD1826" w:rsidRDefault="00D70EFE" w:rsidP="00EB6B67">
            <w:pPr>
              <w:pStyle w:val="TableText"/>
              <w:ind w:left="180"/>
            </w:pPr>
            <w:r>
              <w:t>JRSO 1</w:t>
            </w:r>
            <w:r w:rsidR="00946562">
              <w:t>(n=9)</w:t>
            </w:r>
          </w:p>
        </w:tc>
        <w:tc>
          <w:tcPr>
            <w:tcW w:w="940" w:type="pct"/>
            <w:tcBorders>
              <w:bottom w:val="single" w:sz="2" w:space="0" w:color="808080" w:themeColor="text1" w:themeTint="7F"/>
            </w:tcBorders>
          </w:tcPr>
          <w:p w14:paraId="203A73D3" w14:textId="77777777" w:rsidR="00946562" w:rsidRPr="00FA536F" w:rsidRDefault="00946562" w:rsidP="00EB6B67">
            <w:pPr>
              <w:pStyle w:val="tabletextcenter"/>
            </w:pPr>
            <w:r w:rsidRPr="00750F81">
              <w:t>0.0%</w:t>
            </w:r>
          </w:p>
        </w:tc>
        <w:tc>
          <w:tcPr>
            <w:tcW w:w="940" w:type="pct"/>
            <w:tcBorders>
              <w:bottom w:val="single" w:sz="2" w:space="0" w:color="808080" w:themeColor="text1" w:themeTint="7F"/>
            </w:tcBorders>
          </w:tcPr>
          <w:p w14:paraId="7D7A16BA" w14:textId="77777777" w:rsidR="00946562" w:rsidRPr="00FA536F" w:rsidRDefault="00946562" w:rsidP="00EB6B67">
            <w:pPr>
              <w:pStyle w:val="tabletextcenter"/>
            </w:pPr>
            <w:r w:rsidRPr="00750F81">
              <w:t>55.6%</w:t>
            </w:r>
          </w:p>
        </w:tc>
        <w:tc>
          <w:tcPr>
            <w:tcW w:w="940" w:type="pct"/>
            <w:tcBorders>
              <w:bottom w:val="single" w:sz="2" w:space="0" w:color="808080" w:themeColor="text1" w:themeTint="7F"/>
            </w:tcBorders>
          </w:tcPr>
          <w:p w14:paraId="4FC6DCCC" w14:textId="77777777" w:rsidR="00946562" w:rsidRPr="00FA536F" w:rsidRDefault="00946562" w:rsidP="00EB6B67">
            <w:pPr>
              <w:pStyle w:val="tabletextcenter"/>
            </w:pPr>
            <w:r w:rsidRPr="00750F81">
              <w:t>44.4%</w:t>
            </w:r>
          </w:p>
        </w:tc>
        <w:tc>
          <w:tcPr>
            <w:tcW w:w="937" w:type="pct"/>
            <w:tcBorders>
              <w:bottom w:val="single" w:sz="2" w:space="0" w:color="808080" w:themeColor="text1" w:themeTint="7F"/>
            </w:tcBorders>
          </w:tcPr>
          <w:p w14:paraId="1B11686F" w14:textId="77777777" w:rsidR="00946562" w:rsidRPr="00FA536F" w:rsidRDefault="00946562" w:rsidP="00EB6B67">
            <w:pPr>
              <w:pStyle w:val="tabletextcenter"/>
            </w:pPr>
            <w:r w:rsidRPr="00750F81">
              <w:t>0.0%</w:t>
            </w:r>
          </w:p>
        </w:tc>
      </w:tr>
      <w:tr w:rsidR="00946562" w:rsidRPr="00CD1826" w14:paraId="5278FC6C" w14:textId="77777777" w:rsidTr="00EB6B67">
        <w:tc>
          <w:tcPr>
            <w:tcW w:w="1243" w:type="pct"/>
            <w:tcBorders>
              <w:bottom w:val="single" w:sz="2" w:space="0" w:color="808080" w:themeColor="text1" w:themeTint="7F"/>
            </w:tcBorders>
            <w:vAlign w:val="bottom"/>
          </w:tcPr>
          <w:p w14:paraId="0631019E" w14:textId="77777777" w:rsidR="00946562" w:rsidRDefault="00946562" w:rsidP="00EB6B67">
            <w:pPr>
              <w:pStyle w:val="TableText"/>
              <w:ind w:left="180"/>
            </w:pPr>
            <w:r>
              <w:t>On-Call (n=1)</w:t>
            </w:r>
          </w:p>
        </w:tc>
        <w:tc>
          <w:tcPr>
            <w:tcW w:w="940" w:type="pct"/>
            <w:tcBorders>
              <w:bottom w:val="single" w:sz="2" w:space="0" w:color="808080" w:themeColor="text1" w:themeTint="7F"/>
            </w:tcBorders>
          </w:tcPr>
          <w:p w14:paraId="2117B7F5" w14:textId="77777777" w:rsidR="00946562" w:rsidRPr="00FA536F" w:rsidRDefault="00946562" w:rsidP="00EB6B67">
            <w:pPr>
              <w:pStyle w:val="tabletextcenter"/>
            </w:pPr>
            <w:r w:rsidRPr="00750F81">
              <w:t>0.0%</w:t>
            </w:r>
          </w:p>
        </w:tc>
        <w:tc>
          <w:tcPr>
            <w:tcW w:w="940" w:type="pct"/>
            <w:tcBorders>
              <w:bottom w:val="single" w:sz="2" w:space="0" w:color="808080" w:themeColor="text1" w:themeTint="7F"/>
            </w:tcBorders>
          </w:tcPr>
          <w:p w14:paraId="25F8F644" w14:textId="77777777" w:rsidR="00946562" w:rsidRPr="00FA536F" w:rsidRDefault="00946562" w:rsidP="00EB6B67">
            <w:pPr>
              <w:pStyle w:val="tabletextcenter"/>
            </w:pPr>
            <w:r w:rsidRPr="00750F81">
              <w:t>0.0%</w:t>
            </w:r>
          </w:p>
        </w:tc>
        <w:tc>
          <w:tcPr>
            <w:tcW w:w="940" w:type="pct"/>
            <w:tcBorders>
              <w:bottom w:val="single" w:sz="2" w:space="0" w:color="808080" w:themeColor="text1" w:themeTint="7F"/>
            </w:tcBorders>
          </w:tcPr>
          <w:p w14:paraId="5B0C5463" w14:textId="77777777" w:rsidR="00946562" w:rsidRPr="00FA536F" w:rsidRDefault="00946562" w:rsidP="00EB6B67">
            <w:pPr>
              <w:pStyle w:val="tabletextcenter"/>
            </w:pPr>
            <w:r w:rsidRPr="00750F81">
              <w:t>0.0%</w:t>
            </w:r>
          </w:p>
        </w:tc>
        <w:tc>
          <w:tcPr>
            <w:tcW w:w="937" w:type="pct"/>
            <w:tcBorders>
              <w:bottom w:val="single" w:sz="2" w:space="0" w:color="808080" w:themeColor="text1" w:themeTint="7F"/>
            </w:tcBorders>
          </w:tcPr>
          <w:p w14:paraId="030E30F6" w14:textId="77777777" w:rsidR="00946562" w:rsidRPr="00FA536F" w:rsidRDefault="00946562" w:rsidP="00EB6B67">
            <w:pPr>
              <w:pStyle w:val="tabletextcenter"/>
            </w:pPr>
            <w:r w:rsidRPr="00750F81">
              <w:t>100.0%</w:t>
            </w:r>
          </w:p>
        </w:tc>
      </w:tr>
      <w:tr w:rsidR="00946562" w:rsidRPr="00CD1826" w14:paraId="2FA59A82"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tcBorders>
              <w:top w:val="single" w:sz="2" w:space="0" w:color="808080" w:themeColor="text1" w:themeTint="7F"/>
            </w:tcBorders>
            <w:shd w:val="clear" w:color="auto" w:fill="A6A6A6" w:themeFill="background1" w:themeFillShade="A6"/>
            <w:vAlign w:val="bottom"/>
          </w:tcPr>
          <w:p w14:paraId="067897C7" w14:textId="77777777" w:rsidR="00946562" w:rsidRDefault="00946562" w:rsidP="00EB6B67">
            <w:pPr>
              <w:pStyle w:val="TableText"/>
            </w:pPr>
            <w:r w:rsidRPr="000E3A1C">
              <w:rPr>
                <w:b/>
              </w:rPr>
              <w:t>Community Facilities</w:t>
            </w:r>
          </w:p>
        </w:tc>
        <w:tc>
          <w:tcPr>
            <w:tcW w:w="940" w:type="pct"/>
            <w:tcBorders>
              <w:top w:val="single" w:sz="2" w:space="0" w:color="808080" w:themeColor="text1" w:themeTint="7F"/>
            </w:tcBorders>
            <w:shd w:val="clear" w:color="auto" w:fill="A6A6A6" w:themeFill="background1" w:themeFillShade="A6"/>
          </w:tcPr>
          <w:p w14:paraId="5B635DEC" w14:textId="77777777" w:rsidR="00946562" w:rsidRPr="0070219D" w:rsidRDefault="00946562" w:rsidP="00EB6B67">
            <w:pPr>
              <w:pStyle w:val="tabletextcenter"/>
              <w:rPr>
                <w:b/>
              </w:rPr>
            </w:pPr>
            <w:r w:rsidRPr="0070219D">
              <w:rPr>
                <w:b/>
              </w:rPr>
              <w:t>9.1%</w:t>
            </w:r>
          </w:p>
        </w:tc>
        <w:tc>
          <w:tcPr>
            <w:tcW w:w="940" w:type="pct"/>
            <w:tcBorders>
              <w:top w:val="single" w:sz="2" w:space="0" w:color="808080" w:themeColor="text1" w:themeTint="7F"/>
            </w:tcBorders>
            <w:shd w:val="clear" w:color="auto" w:fill="A6A6A6" w:themeFill="background1" w:themeFillShade="A6"/>
          </w:tcPr>
          <w:p w14:paraId="0E16FC28" w14:textId="77777777" w:rsidR="00946562" w:rsidRPr="0070219D" w:rsidRDefault="00946562" w:rsidP="00EB6B67">
            <w:pPr>
              <w:pStyle w:val="tabletextcenter"/>
              <w:rPr>
                <w:b/>
              </w:rPr>
            </w:pPr>
            <w:r w:rsidRPr="0070219D">
              <w:rPr>
                <w:b/>
              </w:rPr>
              <w:t>20.5%</w:t>
            </w:r>
          </w:p>
        </w:tc>
        <w:tc>
          <w:tcPr>
            <w:tcW w:w="940" w:type="pct"/>
            <w:tcBorders>
              <w:top w:val="single" w:sz="2" w:space="0" w:color="808080" w:themeColor="text1" w:themeTint="7F"/>
            </w:tcBorders>
            <w:shd w:val="clear" w:color="auto" w:fill="A6A6A6" w:themeFill="background1" w:themeFillShade="A6"/>
          </w:tcPr>
          <w:p w14:paraId="22D440B5" w14:textId="77777777" w:rsidR="00946562" w:rsidRPr="0070219D" w:rsidRDefault="00946562" w:rsidP="00EB6B67">
            <w:pPr>
              <w:pStyle w:val="tabletextcenter"/>
              <w:rPr>
                <w:b/>
              </w:rPr>
            </w:pPr>
            <w:r w:rsidRPr="0070219D">
              <w:rPr>
                <w:b/>
              </w:rPr>
              <w:t>61.4%</w:t>
            </w:r>
          </w:p>
        </w:tc>
        <w:tc>
          <w:tcPr>
            <w:tcW w:w="937" w:type="pct"/>
            <w:tcBorders>
              <w:top w:val="single" w:sz="2" w:space="0" w:color="808080" w:themeColor="text1" w:themeTint="7F"/>
            </w:tcBorders>
            <w:shd w:val="clear" w:color="auto" w:fill="A6A6A6" w:themeFill="background1" w:themeFillShade="A6"/>
          </w:tcPr>
          <w:p w14:paraId="43C31FBE" w14:textId="77777777" w:rsidR="00946562" w:rsidRPr="0070219D" w:rsidRDefault="00946562" w:rsidP="00EB6B67">
            <w:pPr>
              <w:pStyle w:val="tabletextcenter"/>
              <w:rPr>
                <w:b/>
              </w:rPr>
            </w:pPr>
            <w:r w:rsidRPr="0070219D">
              <w:rPr>
                <w:b/>
              </w:rPr>
              <w:t>9.1%</w:t>
            </w:r>
          </w:p>
        </w:tc>
      </w:tr>
      <w:tr w:rsidR="00946562" w:rsidRPr="00CD1826" w14:paraId="26E6149C" w14:textId="77777777" w:rsidTr="00EB6B67">
        <w:tc>
          <w:tcPr>
            <w:tcW w:w="1243" w:type="pct"/>
            <w:tcBorders>
              <w:top w:val="single" w:sz="2" w:space="0" w:color="808080" w:themeColor="text1" w:themeTint="7F"/>
            </w:tcBorders>
            <w:vAlign w:val="bottom"/>
          </w:tcPr>
          <w:p w14:paraId="7F2548EF" w14:textId="77777777" w:rsidR="00946562" w:rsidRPr="00CD1826" w:rsidRDefault="00946562" w:rsidP="00EB6B67">
            <w:pPr>
              <w:pStyle w:val="TableText"/>
              <w:ind w:left="180"/>
            </w:pPr>
            <w:r>
              <w:t>JRRC (n=9)</w:t>
            </w:r>
          </w:p>
        </w:tc>
        <w:tc>
          <w:tcPr>
            <w:tcW w:w="940" w:type="pct"/>
            <w:tcBorders>
              <w:top w:val="single" w:sz="2" w:space="0" w:color="808080" w:themeColor="text1" w:themeTint="7F"/>
            </w:tcBorders>
          </w:tcPr>
          <w:p w14:paraId="546C059D" w14:textId="77777777" w:rsidR="00946562" w:rsidRPr="00FA536F" w:rsidRDefault="00946562" w:rsidP="00EB6B67">
            <w:pPr>
              <w:pStyle w:val="tabletextcenter"/>
            </w:pPr>
            <w:r w:rsidRPr="00750F81">
              <w:t>0.0%</w:t>
            </w:r>
          </w:p>
        </w:tc>
        <w:tc>
          <w:tcPr>
            <w:tcW w:w="940" w:type="pct"/>
            <w:tcBorders>
              <w:top w:val="single" w:sz="2" w:space="0" w:color="808080" w:themeColor="text1" w:themeTint="7F"/>
            </w:tcBorders>
          </w:tcPr>
          <w:p w14:paraId="4F203D90" w14:textId="77777777" w:rsidR="00946562" w:rsidRPr="00FA536F" w:rsidRDefault="00946562" w:rsidP="00EB6B67">
            <w:pPr>
              <w:pStyle w:val="tabletextcenter"/>
            </w:pPr>
            <w:r w:rsidRPr="00750F81">
              <w:t>22.2%</w:t>
            </w:r>
          </w:p>
        </w:tc>
        <w:tc>
          <w:tcPr>
            <w:tcW w:w="940" w:type="pct"/>
            <w:tcBorders>
              <w:top w:val="single" w:sz="2" w:space="0" w:color="808080" w:themeColor="text1" w:themeTint="7F"/>
            </w:tcBorders>
          </w:tcPr>
          <w:p w14:paraId="22E69BE0" w14:textId="77777777" w:rsidR="00946562" w:rsidRPr="00FA536F" w:rsidRDefault="00946562" w:rsidP="00EB6B67">
            <w:pPr>
              <w:pStyle w:val="tabletextcenter"/>
            </w:pPr>
            <w:r w:rsidRPr="00750F81">
              <w:t>55.6%</w:t>
            </w:r>
          </w:p>
        </w:tc>
        <w:tc>
          <w:tcPr>
            <w:tcW w:w="937" w:type="pct"/>
            <w:tcBorders>
              <w:top w:val="single" w:sz="2" w:space="0" w:color="808080" w:themeColor="text1" w:themeTint="7F"/>
            </w:tcBorders>
          </w:tcPr>
          <w:p w14:paraId="03F69CB2" w14:textId="77777777" w:rsidR="00946562" w:rsidRPr="00FA536F" w:rsidRDefault="00946562" w:rsidP="00EB6B67">
            <w:pPr>
              <w:pStyle w:val="tabletextcenter"/>
            </w:pPr>
            <w:r w:rsidRPr="00750F81">
              <w:t>22.2%</w:t>
            </w:r>
          </w:p>
        </w:tc>
      </w:tr>
      <w:tr w:rsidR="00946562" w:rsidRPr="00CD1826" w14:paraId="35044937"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vAlign w:val="bottom"/>
          </w:tcPr>
          <w:p w14:paraId="63B16422" w14:textId="77777777" w:rsidR="00946562" w:rsidRDefault="00946562" w:rsidP="00EB6B67">
            <w:pPr>
              <w:pStyle w:val="TableText"/>
              <w:ind w:left="180"/>
            </w:pPr>
            <w:r>
              <w:lastRenderedPageBreak/>
              <w:t>JRCA (n=12)</w:t>
            </w:r>
          </w:p>
        </w:tc>
        <w:tc>
          <w:tcPr>
            <w:tcW w:w="940" w:type="pct"/>
          </w:tcPr>
          <w:p w14:paraId="275B66C9" w14:textId="77777777" w:rsidR="00946562" w:rsidRPr="00FA536F" w:rsidRDefault="00946562" w:rsidP="00EB6B67">
            <w:pPr>
              <w:pStyle w:val="tabletextcenter"/>
            </w:pPr>
            <w:r w:rsidRPr="00750F81">
              <w:t>0.0%</w:t>
            </w:r>
          </w:p>
        </w:tc>
        <w:tc>
          <w:tcPr>
            <w:tcW w:w="940" w:type="pct"/>
          </w:tcPr>
          <w:p w14:paraId="7882FF36" w14:textId="77777777" w:rsidR="00946562" w:rsidRPr="00FA536F" w:rsidRDefault="00946562" w:rsidP="00EB6B67">
            <w:pPr>
              <w:pStyle w:val="tabletextcenter"/>
            </w:pPr>
            <w:r w:rsidRPr="00750F81">
              <w:t>8.3%</w:t>
            </w:r>
          </w:p>
        </w:tc>
        <w:tc>
          <w:tcPr>
            <w:tcW w:w="940" w:type="pct"/>
          </w:tcPr>
          <w:p w14:paraId="5485C4C9" w14:textId="77777777" w:rsidR="00946562" w:rsidRPr="00FA536F" w:rsidRDefault="00946562" w:rsidP="00EB6B67">
            <w:pPr>
              <w:pStyle w:val="tabletextcenter"/>
            </w:pPr>
            <w:r w:rsidRPr="00750F81">
              <w:t>83.3%</w:t>
            </w:r>
          </w:p>
        </w:tc>
        <w:tc>
          <w:tcPr>
            <w:tcW w:w="937" w:type="pct"/>
          </w:tcPr>
          <w:p w14:paraId="2ADB2AC3" w14:textId="77777777" w:rsidR="00946562" w:rsidRPr="00FA536F" w:rsidRDefault="00946562" w:rsidP="00EB6B67">
            <w:pPr>
              <w:pStyle w:val="tabletextcenter"/>
            </w:pPr>
            <w:r w:rsidRPr="00750F81">
              <w:t>8.3%</w:t>
            </w:r>
          </w:p>
        </w:tc>
      </w:tr>
      <w:tr w:rsidR="00946562" w:rsidRPr="00CD1826" w14:paraId="5D211F07" w14:textId="77777777" w:rsidTr="00EB6B67">
        <w:tc>
          <w:tcPr>
            <w:tcW w:w="1243" w:type="pct"/>
            <w:vAlign w:val="bottom"/>
          </w:tcPr>
          <w:p w14:paraId="00799CAD" w14:textId="77777777" w:rsidR="00946562" w:rsidRDefault="00946562" w:rsidP="00EB6B67">
            <w:pPr>
              <w:pStyle w:val="TableText"/>
              <w:ind w:left="180"/>
            </w:pPr>
            <w:r>
              <w:t>JRSO</w:t>
            </w:r>
            <w:r w:rsidR="00D70EFE">
              <w:t xml:space="preserve"> 1</w:t>
            </w:r>
            <w:r>
              <w:t xml:space="preserve"> (n=14)</w:t>
            </w:r>
          </w:p>
        </w:tc>
        <w:tc>
          <w:tcPr>
            <w:tcW w:w="940" w:type="pct"/>
          </w:tcPr>
          <w:p w14:paraId="547C3638" w14:textId="77777777" w:rsidR="00946562" w:rsidRPr="00FA536F" w:rsidRDefault="00946562" w:rsidP="00EB6B67">
            <w:pPr>
              <w:pStyle w:val="tabletextcenter"/>
            </w:pPr>
            <w:r w:rsidRPr="00750F81">
              <w:t>21.4%</w:t>
            </w:r>
          </w:p>
        </w:tc>
        <w:tc>
          <w:tcPr>
            <w:tcW w:w="940" w:type="pct"/>
          </w:tcPr>
          <w:p w14:paraId="3C38E3FA" w14:textId="77777777" w:rsidR="00946562" w:rsidRPr="00FA536F" w:rsidRDefault="00946562" w:rsidP="00EB6B67">
            <w:pPr>
              <w:pStyle w:val="tabletextcenter"/>
            </w:pPr>
            <w:r w:rsidRPr="00750F81">
              <w:t>28.6%</w:t>
            </w:r>
          </w:p>
        </w:tc>
        <w:tc>
          <w:tcPr>
            <w:tcW w:w="940" w:type="pct"/>
          </w:tcPr>
          <w:p w14:paraId="6D8EC6C2" w14:textId="77777777" w:rsidR="00946562" w:rsidRPr="00FA536F" w:rsidRDefault="00946562" w:rsidP="00EB6B67">
            <w:pPr>
              <w:pStyle w:val="tabletextcenter"/>
            </w:pPr>
            <w:r w:rsidRPr="00750F81">
              <w:t>42.9%</w:t>
            </w:r>
          </w:p>
        </w:tc>
        <w:tc>
          <w:tcPr>
            <w:tcW w:w="937" w:type="pct"/>
          </w:tcPr>
          <w:p w14:paraId="196BF19F" w14:textId="77777777" w:rsidR="00946562" w:rsidRPr="00FA536F" w:rsidRDefault="00946562" w:rsidP="00EB6B67">
            <w:pPr>
              <w:pStyle w:val="tabletextcenter"/>
            </w:pPr>
            <w:r w:rsidRPr="00750F81">
              <w:t>7.1%</w:t>
            </w:r>
          </w:p>
        </w:tc>
      </w:tr>
      <w:tr w:rsidR="00946562" w:rsidRPr="00CD1826" w14:paraId="7FDCA871" w14:textId="77777777" w:rsidTr="00EB6B67">
        <w:trPr>
          <w:cnfStyle w:val="000000100000" w:firstRow="0" w:lastRow="0" w:firstColumn="0" w:lastColumn="0" w:oddVBand="0" w:evenVBand="0" w:oddHBand="1" w:evenHBand="0" w:firstRowFirstColumn="0" w:firstRowLastColumn="0" w:lastRowFirstColumn="0" w:lastRowLastColumn="0"/>
        </w:trPr>
        <w:tc>
          <w:tcPr>
            <w:tcW w:w="1243" w:type="pct"/>
            <w:vAlign w:val="bottom"/>
          </w:tcPr>
          <w:p w14:paraId="5AB02735" w14:textId="77777777" w:rsidR="00946562" w:rsidRDefault="00946562" w:rsidP="00EB6B67">
            <w:pPr>
              <w:pStyle w:val="TableText"/>
              <w:ind w:left="180"/>
            </w:pPr>
            <w:r>
              <w:t>On-Call (n=9)</w:t>
            </w:r>
          </w:p>
        </w:tc>
        <w:tc>
          <w:tcPr>
            <w:tcW w:w="940" w:type="pct"/>
          </w:tcPr>
          <w:p w14:paraId="32DD0A06" w14:textId="77777777" w:rsidR="00946562" w:rsidRPr="00FA536F" w:rsidRDefault="00946562" w:rsidP="00EB6B67">
            <w:pPr>
              <w:pStyle w:val="tabletextcenter"/>
            </w:pPr>
            <w:r w:rsidRPr="00750F81">
              <w:t>11.1%</w:t>
            </w:r>
          </w:p>
        </w:tc>
        <w:tc>
          <w:tcPr>
            <w:tcW w:w="940" w:type="pct"/>
          </w:tcPr>
          <w:p w14:paraId="64D665FD" w14:textId="77777777" w:rsidR="00946562" w:rsidRPr="00FA536F" w:rsidRDefault="00946562" w:rsidP="00EB6B67">
            <w:pPr>
              <w:pStyle w:val="tabletextcenter"/>
            </w:pPr>
            <w:r w:rsidRPr="00750F81">
              <w:t>22.2%</w:t>
            </w:r>
          </w:p>
        </w:tc>
        <w:tc>
          <w:tcPr>
            <w:tcW w:w="940" w:type="pct"/>
          </w:tcPr>
          <w:p w14:paraId="101384A3" w14:textId="77777777" w:rsidR="00946562" w:rsidRPr="00FA536F" w:rsidRDefault="00946562" w:rsidP="00EB6B67">
            <w:pPr>
              <w:pStyle w:val="tabletextcenter"/>
            </w:pPr>
            <w:r w:rsidRPr="00750F81">
              <w:t>66.7%</w:t>
            </w:r>
          </w:p>
        </w:tc>
        <w:tc>
          <w:tcPr>
            <w:tcW w:w="937" w:type="pct"/>
          </w:tcPr>
          <w:p w14:paraId="57D42001" w14:textId="77777777" w:rsidR="00946562" w:rsidRPr="00FA536F" w:rsidRDefault="00946562" w:rsidP="00EB6B67">
            <w:pPr>
              <w:pStyle w:val="tabletextcenter"/>
            </w:pPr>
            <w:r w:rsidRPr="00750F81">
              <w:t>0.0%</w:t>
            </w:r>
          </w:p>
        </w:tc>
      </w:tr>
    </w:tbl>
    <w:p w14:paraId="4F36EE56" w14:textId="77777777" w:rsidR="00C32C1A" w:rsidRDefault="00EE3E1C" w:rsidP="00F42D48">
      <w:pPr>
        <w:pStyle w:val="Heading2"/>
      </w:pPr>
      <w:bookmarkStart w:id="67" w:name="_Toc531597510"/>
      <w:r w:rsidRPr="00122231">
        <w:t>Salary</w:t>
      </w:r>
      <w:bookmarkEnd w:id="67"/>
    </w:p>
    <w:p w14:paraId="096239AE" w14:textId="77777777" w:rsidR="00C32C1A" w:rsidRPr="00211CBF" w:rsidRDefault="00391964" w:rsidP="00C32C1A">
      <w:pPr>
        <w:pStyle w:val="RFPtext"/>
        <w:rPr>
          <w:b/>
          <w:color w:val="000000" w:themeColor="text1"/>
          <w:sz w:val="24"/>
        </w:rPr>
      </w:pPr>
      <w:r w:rsidRPr="00211CBF">
        <w:rPr>
          <w:b/>
          <w:color w:val="000000" w:themeColor="text1"/>
          <w:sz w:val="24"/>
        </w:rPr>
        <w:t xml:space="preserve">Half to three-quarters of the staff at all JR facilities are very dissatisfied or dissatisfied with their compensation. Inadequate salary was an issue that was raised in almost every staff interview. </w:t>
      </w:r>
      <w:r w:rsidR="00B1359B" w:rsidRPr="00211CBF">
        <w:rPr>
          <w:b/>
          <w:color w:val="000000" w:themeColor="text1"/>
          <w:sz w:val="24"/>
        </w:rPr>
        <w:t>In addition, due to the high cost of living in the Seattle area, staff in these facilities are paid significantly less than their counterparts in other parts of the state when salaries are adjusted for cost of living.</w:t>
      </w:r>
    </w:p>
    <w:p w14:paraId="184B72EC" w14:textId="77777777" w:rsidR="00C83538" w:rsidRPr="00C83538" w:rsidRDefault="00C83538" w:rsidP="00C83538">
      <w:r w:rsidRPr="00C83538">
        <w:t>DSHS provided a point-in-time data set that included annual salary amounts for all J</w:t>
      </w:r>
      <w:r w:rsidR="00D70EFE">
        <w:t>uvenile Rehabilitation (J</w:t>
      </w:r>
      <w:r w:rsidRPr="00C83538">
        <w:t>R</w:t>
      </w:r>
      <w:r w:rsidR="00D70EFE">
        <w:t>)</w:t>
      </w:r>
      <w:r w:rsidRPr="00C83538">
        <w:t xml:space="preserve"> staff members employed as of June 20, 2017. From this file, we retained and analyzed salary information for the job classifications of interest. We reviewed the data to ensure all records were suitable for analysis, checking for potential issues such as potentially erroneous salary amounts or incomplete records</w:t>
      </w:r>
      <w:r w:rsidR="004C75A6">
        <w:t xml:space="preserve">. </w:t>
      </w:r>
      <w:r w:rsidRPr="00C83538">
        <w:t xml:space="preserve">Very little cleaning was needed. In total, we analyzed salary data </w:t>
      </w:r>
      <w:r w:rsidRPr="008F0919">
        <w:t>from 503</w:t>
      </w:r>
      <w:r w:rsidR="00B76926">
        <w:t xml:space="preserve"> </w:t>
      </w:r>
      <w:r w:rsidRPr="00C83538">
        <w:t xml:space="preserve">staff members classified as </w:t>
      </w:r>
      <w:r w:rsidR="004D755E">
        <w:t>J</w:t>
      </w:r>
      <w:r w:rsidR="001844A0">
        <w:t xml:space="preserve">uvenile Rehabilitation </w:t>
      </w:r>
      <w:r w:rsidR="00D70EFE">
        <w:t>Security Officer 1s (JRSO 1s) Juvenile Rehabilitation Counselor Assistants</w:t>
      </w:r>
      <w:r w:rsidR="001844A0">
        <w:t xml:space="preserve"> (J</w:t>
      </w:r>
      <w:r w:rsidR="00D70EFE">
        <w:t>RCA</w:t>
      </w:r>
      <w:r w:rsidR="001844A0">
        <w:t>s)</w:t>
      </w:r>
      <w:r w:rsidR="004D755E">
        <w:t xml:space="preserve">, </w:t>
      </w:r>
      <w:r w:rsidR="001844A0">
        <w:t xml:space="preserve">Juvenile Rehabilitation </w:t>
      </w:r>
      <w:r w:rsidR="00D70EFE">
        <w:t>Residential Counselors</w:t>
      </w:r>
      <w:r w:rsidR="001844A0">
        <w:t xml:space="preserve"> (J</w:t>
      </w:r>
      <w:r w:rsidR="00D70EFE">
        <w:t>RRC</w:t>
      </w:r>
      <w:r w:rsidR="001844A0">
        <w:t>s)</w:t>
      </w:r>
      <w:r w:rsidRPr="00C83538">
        <w:t xml:space="preserve">, </w:t>
      </w:r>
      <w:r w:rsidR="00D70EFE">
        <w:t xml:space="preserve">and </w:t>
      </w:r>
      <w:r w:rsidR="001844A0">
        <w:t xml:space="preserve">Juvenile Rehabilitation </w:t>
      </w:r>
      <w:r w:rsidR="00BE7698">
        <w:t>Supervisors (</w:t>
      </w:r>
      <w:r w:rsidRPr="00C83538">
        <w:t>JRS</w:t>
      </w:r>
      <w:r w:rsidR="00D70EFE">
        <w:t>s</w:t>
      </w:r>
      <w:r w:rsidR="001844A0">
        <w:t>)</w:t>
      </w:r>
      <w:r w:rsidR="00D70EFE">
        <w:t>.</w:t>
      </w:r>
      <w:r w:rsidRPr="00C83538">
        <w:t xml:space="preserve"> </w:t>
      </w:r>
    </w:p>
    <w:p w14:paraId="21848FBE" w14:textId="77777777" w:rsidR="00C32C1A" w:rsidRDefault="00C32C1A" w:rsidP="00C32C1A">
      <w:pPr>
        <w:pStyle w:val="PullQuote"/>
        <w:framePr w:wrap="around" w:hAnchor="page" w:x="7829" w:y="-1095"/>
      </w:pPr>
      <w:r>
        <w:t xml:space="preserve"> “</w:t>
      </w:r>
      <w:r w:rsidRPr="00756A66">
        <w:rPr>
          <w:i/>
        </w:rPr>
        <w:t>There’s tons of opportunities to get paid more in DSHS. We’re not level with our counterparts which is frustrating</w:t>
      </w:r>
      <w:r>
        <w:t>.”</w:t>
      </w:r>
    </w:p>
    <w:p w14:paraId="758B34DA" w14:textId="77777777" w:rsidR="00C32C1A" w:rsidRDefault="00C32C1A" w:rsidP="00C32C1A">
      <w:pPr>
        <w:pStyle w:val="PullQuote"/>
        <w:framePr w:wrap="around" w:hAnchor="page" w:x="7829" w:y="-1095"/>
        <w:jc w:val="right"/>
      </w:pPr>
      <w:r>
        <w:t>— Supervisor</w:t>
      </w:r>
    </w:p>
    <w:p w14:paraId="78777E50" w14:textId="77777777" w:rsidR="00C83538" w:rsidRPr="00C83538" w:rsidRDefault="00AE63DD" w:rsidP="00C83538">
      <w:r w:rsidRPr="008F0919">
        <w:t xml:space="preserve">Exhibit </w:t>
      </w:r>
      <w:r w:rsidR="006F7241">
        <w:t>5</w:t>
      </w:r>
      <w:r w:rsidRPr="008F0919">
        <w:t>-</w:t>
      </w:r>
      <w:r w:rsidR="00A05906">
        <w:t>20</w:t>
      </w:r>
      <w:r w:rsidR="00A05906" w:rsidRPr="008F0919">
        <w:t xml:space="preserve"> </w:t>
      </w:r>
      <w:r w:rsidR="00C83538" w:rsidRPr="008F0919">
        <w:t xml:space="preserve">presents descriptive salary information for the job classifications </w:t>
      </w:r>
      <w:r w:rsidR="000E6941">
        <w:t xml:space="preserve">across all of </w:t>
      </w:r>
      <w:r w:rsidR="00D70EFE">
        <w:t>JR</w:t>
      </w:r>
      <w:r w:rsidR="00C83538" w:rsidRPr="008F0919">
        <w:t>, including number of records used for analysis, average and median salary, and standard deviation</w:t>
      </w:r>
      <w:r w:rsidR="00E251C1">
        <w:t xml:space="preserve">. </w:t>
      </w:r>
    </w:p>
    <w:p w14:paraId="1B35AB4A" w14:textId="77777777" w:rsidR="00C83538" w:rsidRPr="00391964" w:rsidRDefault="00AE63DD" w:rsidP="006C6C9D">
      <w:pPr>
        <w:pStyle w:val="Caption"/>
        <w:keepLines/>
      </w:pPr>
      <w:bookmarkStart w:id="68" w:name="_Hlk521248384"/>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A05906">
        <w:rPr>
          <w:noProof/>
        </w:rPr>
        <w:t>20</w:t>
      </w:r>
      <w:r w:rsidR="00E251C1">
        <w:t xml:space="preserve">. </w:t>
      </w:r>
      <w:r w:rsidR="00391964">
        <w:t>Salary Information for J</w:t>
      </w:r>
      <w:r w:rsidR="00D70EFE">
        <w:t xml:space="preserve">uvenile Rehabilitation </w:t>
      </w:r>
      <w:r w:rsidR="00391964">
        <w:t xml:space="preserve">Job Classifications </w:t>
      </w:r>
    </w:p>
    <w:tbl>
      <w:tblPr>
        <w:tblStyle w:val="HyzerTable"/>
        <w:tblW w:w="5000" w:type="pct"/>
        <w:tblLook w:val="04A0" w:firstRow="1" w:lastRow="0" w:firstColumn="1" w:lastColumn="0" w:noHBand="0" w:noVBand="1"/>
      </w:tblPr>
      <w:tblGrid>
        <w:gridCol w:w="1906"/>
        <w:gridCol w:w="530"/>
        <w:gridCol w:w="1717"/>
        <w:gridCol w:w="1645"/>
        <w:gridCol w:w="1548"/>
        <w:gridCol w:w="2014"/>
      </w:tblGrid>
      <w:tr w:rsidR="00C83538" w:rsidRPr="00C83538" w14:paraId="6759757B" w14:textId="77777777" w:rsidTr="006C6C9D">
        <w:trPr>
          <w:cnfStyle w:val="100000000000" w:firstRow="1" w:lastRow="0" w:firstColumn="0" w:lastColumn="0" w:oddVBand="0" w:evenVBand="0" w:oddHBand="0" w:evenHBand="0" w:firstRowFirstColumn="0" w:firstRowLastColumn="0" w:lastRowFirstColumn="0" w:lastRowLastColumn="0"/>
          <w:tblHeader/>
        </w:trPr>
        <w:tc>
          <w:tcPr>
            <w:tcW w:w="1018" w:type="pct"/>
          </w:tcPr>
          <w:p w14:paraId="74F902D5" w14:textId="77777777" w:rsidR="00C83538" w:rsidRPr="00C83538" w:rsidRDefault="00C83538" w:rsidP="006C6C9D">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Job Classification </w:t>
            </w:r>
          </w:p>
        </w:tc>
        <w:tc>
          <w:tcPr>
            <w:tcW w:w="283" w:type="pct"/>
          </w:tcPr>
          <w:p w14:paraId="0FEE9420" w14:textId="77777777" w:rsidR="00C83538" w:rsidRPr="00C83538" w:rsidRDefault="00C83538" w:rsidP="006C6C9D">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N</w:t>
            </w:r>
          </w:p>
        </w:tc>
        <w:tc>
          <w:tcPr>
            <w:tcW w:w="917" w:type="pct"/>
          </w:tcPr>
          <w:p w14:paraId="4EB55515" w14:textId="77777777" w:rsidR="00C83538" w:rsidRPr="00C83538" w:rsidRDefault="00C83538" w:rsidP="006C6C9D">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Salary Range </w:t>
            </w:r>
          </w:p>
        </w:tc>
        <w:tc>
          <w:tcPr>
            <w:tcW w:w="879" w:type="pct"/>
          </w:tcPr>
          <w:p w14:paraId="1D8DEF15" w14:textId="77777777" w:rsidR="00C83538" w:rsidRPr="00C83538" w:rsidRDefault="00C83538" w:rsidP="006C6C9D">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Average Salary </w:t>
            </w:r>
          </w:p>
        </w:tc>
        <w:tc>
          <w:tcPr>
            <w:tcW w:w="827" w:type="pct"/>
          </w:tcPr>
          <w:p w14:paraId="6919B40B" w14:textId="77777777" w:rsidR="00C83538" w:rsidRPr="00C83538" w:rsidRDefault="00C83538" w:rsidP="006C6C9D">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Median Salary </w:t>
            </w:r>
          </w:p>
        </w:tc>
        <w:tc>
          <w:tcPr>
            <w:tcW w:w="1076" w:type="pct"/>
          </w:tcPr>
          <w:p w14:paraId="1A1D0BC6" w14:textId="77777777" w:rsidR="00C83538" w:rsidRPr="00C83538" w:rsidRDefault="00C83538" w:rsidP="006C6C9D">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Standard Deviation </w:t>
            </w:r>
          </w:p>
        </w:tc>
      </w:tr>
      <w:tr w:rsidR="000E6941" w:rsidRPr="00C83538" w14:paraId="19E3E7A0" w14:textId="77777777" w:rsidTr="00C83538">
        <w:trPr>
          <w:cnfStyle w:val="000000100000" w:firstRow="0" w:lastRow="0" w:firstColumn="0" w:lastColumn="0" w:oddVBand="0" w:evenVBand="0" w:oddHBand="1" w:evenHBand="0" w:firstRowFirstColumn="0" w:firstRowLastColumn="0" w:lastRowFirstColumn="0" w:lastRowLastColumn="0"/>
        </w:trPr>
        <w:tc>
          <w:tcPr>
            <w:tcW w:w="1018" w:type="pct"/>
          </w:tcPr>
          <w:p w14:paraId="6DFCE59E" w14:textId="77777777" w:rsidR="000E6941" w:rsidRPr="00C83538" w:rsidRDefault="000E6941" w:rsidP="006C6C9D">
            <w:pPr>
              <w:keepNext/>
              <w:keepLines/>
              <w:spacing w:before="40" w:after="40"/>
              <w:rPr>
                <w:rFonts w:ascii="Arial Narrow" w:hAnsi="Arial Narrow"/>
                <w:sz w:val="20"/>
                <w:szCs w:val="20"/>
              </w:rPr>
            </w:pPr>
            <w:r w:rsidRPr="00C83538">
              <w:rPr>
                <w:rFonts w:ascii="Arial Narrow" w:hAnsi="Arial Narrow"/>
                <w:sz w:val="20"/>
                <w:szCs w:val="20"/>
              </w:rPr>
              <w:t>JRSO 1</w:t>
            </w:r>
          </w:p>
        </w:tc>
        <w:tc>
          <w:tcPr>
            <w:tcW w:w="283" w:type="pct"/>
          </w:tcPr>
          <w:p w14:paraId="1A01DADB"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237</w:t>
            </w:r>
          </w:p>
        </w:tc>
        <w:tc>
          <w:tcPr>
            <w:tcW w:w="917" w:type="pct"/>
          </w:tcPr>
          <w:p w14:paraId="5435D228"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$32,615 – $45,540</w:t>
            </w:r>
          </w:p>
        </w:tc>
        <w:tc>
          <w:tcPr>
            <w:tcW w:w="879" w:type="pct"/>
          </w:tcPr>
          <w:p w14:paraId="2FCC3720"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$38,960</w:t>
            </w:r>
          </w:p>
        </w:tc>
        <w:tc>
          <w:tcPr>
            <w:tcW w:w="827" w:type="pct"/>
          </w:tcPr>
          <w:p w14:paraId="486BA45C"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$38,440.00</w:t>
            </w:r>
          </w:p>
        </w:tc>
        <w:tc>
          <w:tcPr>
            <w:tcW w:w="1076" w:type="pct"/>
          </w:tcPr>
          <w:p w14:paraId="648D402D"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$4,309.47</w:t>
            </w:r>
          </w:p>
        </w:tc>
      </w:tr>
      <w:tr w:rsidR="000E6941" w:rsidRPr="00C83538" w14:paraId="663B4964" w14:textId="77777777" w:rsidTr="00C83538">
        <w:tc>
          <w:tcPr>
            <w:tcW w:w="1018" w:type="pct"/>
          </w:tcPr>
          <w:p w14:paraId="5739A078" w14:textId="77777777" w:rsidR="000E6941" w:rsidRPr="00C83538" w:rsidRDefault="000E6941" w:rsidP="006C6C9D">
            <w:pPr>
              <w:keepNext/>
              <w:keepLines/>
              <w:spacing w:before="40" w:after="40"/>
              <w:rPr>
                <w:rFonts w:ascii="Arial Narrow" w:hAnsi="Arial Narrow"/>
                <w:sz w:val="20"/>
                <w:szCs w:val="20"/>
              </w:rPr>
            </w:pPr>
            <w:r w:rsidRPr="00C83538">
              <w:rPr>
                <w:rFonts w:ascii="Arial Narrow" w:hAnsi="Arial Narrow"/>
                <w:sz w:val="20"/>
                <w:szCs w:val="20"/>
              </w:rPr>
              <w:t>JRCA</w:t>
            </w:r>
          </w:p>
        </w:tc>
        <w:tc>
          <w:tcPr>
            <w:tcW w:w="283" w:type="pct"/>
          </w:tcPr>
          <w:p w14:paraId="58CDF009"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77</w:t>
            </w:r>
          </w:p>
        </w:tc>
        <w:tc>
          <w:tcPr>
            <w:tcW w:w="917" w:type="pct"/>
          </w:tcPr>
          <w:p w14:paraId="6F7E7E4E"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$35,273 – $46,684</w:t>
            </w:r>
          </w:p>
        </w:tc>
        <w:tc>
          <w:tcPr>
            <w:tcW w:w="879" w:type="pct"/>
          </w:tcPr>
          <w:p w14:paraId="62C06BE6"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$41,312</w:t>
            </w:r>
          </w:p>
        </w:tc>
        <w:tc>
          <w:tcPr>
            <w:tcW w:w="827" w:type="pct"/>
          </w:tcPr>
          <w:p w14:paraId="0AF8303F"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$40,219.00</w:t>
            </w:r>
          </w:p>
        </w:tc>
        <w:tc>
          <w:tcPr>
            <w:tcW w:w="1076" w:type="pct"/>
          </w:tcPr>
          <w:p w14:paraId="6E5FA49F" w14:textId="77777777" w:rsidR="000E6941" w:rsidRPr="00C83538" w:rsidRDefault="000E6941" w:rsidP="006C6C9D">
            <w:pPr>
              <w:keepNext/>
              <w:keepLines/>
              <w:spacing w:before="40" w:after="40"/>
              <w:jc w:val="center"/>
              <w:rPr>
                <w:rFonts w:ascii="Arial Narrow" w:hAnsi="Arial Narrow"/>
                <w:sz w:val="20"/>
                <w:szCs w:val="20"/>
              </w:rPr>
            </w:pPr>
            <w:r w:rsidRPr="00C83538">
              <w:rPr>
                <w:rFonts w:ascii="Arial Narrow" w:hAnsi="Arial Narrow"/>
                <w:sz w:val="20"/>
                <w:szCs w:val="20"/>
              </w:rPr>
              <w:t>$4,181.63</w:t>
            </w:r>
          </w:p>
        </w:tc>
      </w:tr>
      <w:tr w:rsidR="000E6941" w:rsidRPr="00C83538" w14:paraId="767E1531" w14:textId="77777777" w:rsidTr="00C83538">
        <w:trPr>
          <w:cnfStyle w:val="000000100000" w:firstRow="0" w:lastRow="0" w:firstColumn="0" w:lastColumn="0" w:oddVBand="0" w:evenVBand="0" w:oddHBand="1" w:evenHBand="0" w:firstRowFirstColumn="0" w:firstRowLastColumn="0" w:lastRowFirstColumn="0" w:lastRowLastColumn="0"/>
        </w:trPr>
        <w:tc>
          <w:tcPr>
            <w:tcW w:w="1018" w:type="pct"/>
          </w:tcPr>
          <w:p w14:paraId="0B7B753F" w14:textId="77777777" w:rsidR="000E6941" w:rsidRPr="00C83538" w:rsidRDefault="000E6941" w:rsidP="000E6941">
            <w:pPr>
              <w:spacing w:before="40" w:after="40"/>
              <w:rPr>
                <w:rFonts w:ascii="Arial Narrow" w:hAnsi="Arial Narrow"/>
                <w:sz w:val="20"/>
                <w:szCs w:val="20"/>
              </w:rPr>
            </w:pPr>
            <w:r w:rsidRPr="00C83538">
              <w:rPr>
                <w:rFonts w:ascii="Arial Narrow" w:hAnsi="Arial Narrow"/>
                <w:sz w:val="20"/>
                <w:szCs w:val="20"/>
              </w:rPr>
              <w:t>JRRC</w:t>
            </w:r>
          </w:p>
        </w:tc>
        <w:tc>
          <w:tcPr>
            <w:tcW w:w="283" w:type="pct"/>
          </w:tcPr>
          <w:p w14:paraId="1A4DA54A"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150</w:t>
            </w:r>
          </w:p>
        </w:tc>
        <w:tc>
          <w:tcPr>
            <w:tcW w:w="917" w:type="pct"/>
          </w:tcPr>
          <w:p w14:paraId="2FCAD296"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$41,232 – $59,007</w:t>
            </w:r>
          </w:p>
        </w:tc>
        <w:tc>
          <w:tcPr>
            <w:tcW w:w="879" w:type="pct"/>
          </w:tcPr>
          <w:p w14:paraId="12FDA201"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$51,136</w:t>
            </w:r>
          </w:p>
        </w:tc>
        <w:tc>
          <w:tcPr>
            <w:tcW w:w="827" w:type="pct"/>
          </w:tcPr>
          <w:p w14:paraId="273CCE37"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$53,774.50</w:t>
            </w:r>
          </w:p>
        </w:tc>
        <w:tc>
          <w:tcPr>
            <w:tcW w:w="1076" w:type="pct"/>
          </w:tcPr>
          <w:p w14:paraId="62BFE341"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$4,936.53</w:t>
            </w:r>
          </w:p>
        </w:tc>
      </w:tr>
      <w:tr w:rsidR="000E6941" w:rsidRPr="00C83538" w14:paraId="2A3FF401" w14:textId="77777777" w:rsidTr="00C83538">
        <w:tc>
          <w:tcPr>
            <w:tcW w:w="1018" w:type="pct"/>
          </w:tcPr>
          <w:p w14:paraId="5DFFFE2C" w14:textId="77777777" w:rsidR="000E6941" w:rsidRPr="00C83538" w:rsidRDefault="000E6941" w:rsidP="000E6941">
            <w:pPr>
              <w:spacing w:before="40" w:after="40"/>
              <w:rPr>
                <w:rFonts w:ascii="Arial Narrow" w:hAnsi="Arial Narrow"/>
                <w:sz w:val="20"/>
                <w:szCs w:val="20"/>
              </w:rPr>
            </w:pPr>
            <w:r w:rsidRPr="00C83538">
              <w:rPr>
                <w:rFonts w:ascii="Arial Narrow" w:hAnsi="Arial Narrow"/>
                <w:sz w:val="20"/>
                <w:szCs w:val="20"/>
              </w:rPr>
              <w:t>JRS</w:t>
            </w:r>
          </w:p>
        </w:tc>
        <w:tc>
          <w:tcPr>
            <w:tcW w:w="283" w:type="pct"/>
          </w:tcPr>
          <w:p w14:paraId="40C6C41D"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26</w:t>
            </w:r>
          </w:p>
        </w:tc>
        <w:tc>
          <w:tcPr>
            <w:tcW w:w="917" w:type="pct"/>
          </w:tcPr>
          <w:p w14:paraId="245E561E"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$47,820 – $58,691</w:t>
            </w:r>
          </w:p>
        </w:tc>
        <w:tc>
          <w:tcPr>
            <w:tcW w:w="879" w:type="pct"/>
          </w:tcPr>
          <w:p w14:paraId="521A7E9C"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$55,277</w:t>
            </w:r>
          </w:p>
        </w:tc>
        <w:tc>
          <w:tcPr>
            <w:tcW w:w="827" w:type="pct"/>
          </w:tcPr>
          <w:p w14:paraId="5D780BF9"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$56,844.00</w:t>
            </w:r>
          </w:p>
        </w:tc>
        <w:tc>
          <w:tcPr>
            <w:tcW w:w="1076" w:type="pct"/>
          </w:tcPr>
          <w:p w14:paraId="61703F79" w14:textId="77777777" w:rsidR="000E6941" w:rsidRPr="00C83538" w:rsidRDefault="000E6941" w:rsidP="000E6941">
            <w:pPr>
              <w:spacing w:before="40" w:after="40"/>
              <w:jc w:val="center"/>
              <w:rPr>
                <w:rFonts w:ascii="Arial Narrow" w:hAnsi="Arial Narrow"/>
                <w:sz w:val="20"/>
                <w:szCs w:val="20"/>
              </w:rPr>
            </w:pPr>
            <w:r w:rsidRPr="00C83538">
              <w:rPr>
                <w:rFonts w:ascii="Arial Narrow" w:hAnsi="Arial Narrow"/>
                <w:sz w:val="20"/>
                <w:szCs w:val="20"/>
              </w:rPr>
              <w:t>$3,938.82</w:t>
            </w:r>
          </w:p>
        </w:tc>
      </w:tr>
    </w:tbl>
    <w:bookmarkEnd w:id="68"/>
    <w:p w14:paraId="7280852E" w14:textId="77777777" w:rsidR="00C83538" w:rsidRPr="00C83538" w:rsidRDefault="00C83538" w:rsidP="00C83538">
      <w:r w:rsidRPr="008F0919">
        <w:t>We then computed and compared the median salary information for the same job classifications</w:t>
      </w:r>
      <w:r w:rsidR="00391964" w:rsidRPr="008F0919">
        <w:t xml:space="preserve"> for each JR facility. </w:t>
      </w:r>
      <w:r w:rsidR="00AE63DD" w:rsidRPr="008F0919">
        <w:t xml:space="preserve">Exhibit </w:t>
      </w:r>
      <w:r w:rsidR="006F7241">
        <w:t>5</w:t>
      </w:r>
      <w:r w:rsidR="00AE63DD" w:rsidRPr="008F0919">
        <w:t>-</w:t>
      </w:r>
      <w:r w:rsidR="00A05906">
        <w:t>21</w:t>
      </w:r>
      <w:r w:rsidR="00A05906" w:rsidRPr="008F0919">
        <w:t xml:space="preserve"> </w:t>
      </w:r>
      <w:r w:rsidRPr="008F0919">
        <w:t>presents this information along with the number of records for each job class and facility used to compute the average. We used the median (the salary level that separates the higher and lower halves of the salary data) as there are numerous outliers that may inflate or deflate the average</w:t>
      </w:r>
      <w:r w:rsidR="004C75A6" w:rsidRPr="008F0919">
        <w:t>.</w:t>
      </w:r>
      <w:r w:rsidR="004C75A6">
        <w:t xml:space="preserve"> </w:t>
      </w:r>
    </w:p>
    <w:p w14:paraId="4782261A" w14:textId="77777777" w:rsidR="00C83538" w:rsidRPr="00391964" w:rsidRDefault="00AE63DD" w:rsidP="008F0919">
      <w:pPr>
        <w:pStyle w:val="Caption"/>
        <w:keepLines/>
      </w:pPr>
      <w:bookmarkStart w:id="69" w:name="_Hlk521269171"/>
      <w:r>
        <w:lastRenderedPageBreak/>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A05906">
        <w:rPr>
          <w:noProof/>
        </w:rPr>
        <w:t>21</w:t>
      </w:r>
      <w:r w:rsidR="00E251C1">
        <w:t xml:space="preserve">. </w:t>
      </w:r>
      <w:r w:rsidR="00391964">
        <w:t xml:space="preserve">Median Salary Information, by Facility </w:t>
      </w:r>
    </w:p>
    <w:tbl>
      <w:tblPr>
        <w:tblStyle w:val="HyzerTable"/>
        <w:tblW w:w="5000" w:type="pct"/>
        <w:tblLook w:val="04A0" w:firstRow="1" w:lastRow="0" w:firstColumn="1" w:lastColumn="0" w:noHBand="0" w:noVBand="1"/>
      </w:tblPr>
      <w:tblGrid>
        <w:gridCol w:w="2674"/>
        <w:gridCol w:w="1344"/>
        <w:gridCol w:w="1344"/>
        <w:gridCol w:w="1338"/>
        <w:gridCol w:w="1335"/>
        <w:gridCol w:w="1325"/>
      </w:tblGrid>
      <w:tr w:rsidR="00073E9C" w:rsidRPr="00C83538" w14:paraId="775648D3" w14:textId="77777777" w:rsidTr="00073E9C">
        <w:trPr>
          <w:cnfStyle w:val="100000000000" w:firstRow="1" w:lastRow="0" w:firstColumn="0" w:lastColumn="0" w:oddVBand="0" w:evenVBand="0" w:oddHBand="0" w:evenHBand="0" w:firstRowFirstColumn="0" w:firstRowLastColumn="0" w:lastRowFirstColumn="0" w:lastRowLastColumn="0"/>
          <w:trHeight w:val="485"/>
          <w:tblHeader/>
        </w:trPr>
        <w:tc>
          <w:tcPr>
            <w:tcW w:w="1428" w:type="pct"/>
          </w:tcPr>
          <w:p w14:paraId="66FC9EF7" w14:textId="77777777" w:rsidR="00073E9C" w:rsidRPr="008232E5" w:rsidRDefault="00073E9C" w:rsidP="00073E9C">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Facility </w:t>
            </w:r>
          </w:p>
        </w:tc>
        <w:tc>
          <w:tcPr>
            <w:tcW w:w="718" w:type="pct"/>
          </w:tcPr>
          <w:p w14:paraId="046B5CAD" w14:textId="77777777" w:rsidR="00073E9C" w:rsidRPr="1FF1B213" w:rsidRDefault="00073E9C" w:rsidP="00073E9C">
            <w:pPr>
              <w:keepNext/>
              <w:keepLines/>
              <w:spacing w:before="40" w:after="40"/>
              <w:jc w:val="center"/>
              <w:rPr>
                <w:rFonts w:ascii="Arial Narrow" w:eastAsia="Arial Narrow" w:hAnsi="Arial Narrow" w:cs="Arial Narrow"/>
                <w:b/>
                <w:color w:val="FFFFFF" w:themeColor="background1"/>
                <w:sz w:val="22"/>
                <w:szCs w:val="22"/>
              </w:rPr>
            </w:pPr>
            <w:r w:rsidRPr="1FF1B213">
              <w:rPr>
                <w:rFonts w:ascii="Arial Narrow" w:eastAsia="Arial Narrow" w:hAnsi="Arial Narrow" w:cs="Arial Narrow"/>
                <w:b/>
                <w:color w:val="FFFFFF" w:themeColor="background1"/>
                <w:sz w:val="22"/>
                <w:szCs w:val="22"/>
              </w:rPr>
              <w:t>JRSO</w:t>
            </w:r>
            <w:r w:rsidR="00D70EFE">
              <w:rPr>
                <w:rFonts w:ascii="Arial Narrow" w:eastAsia="Arial Narrow" w:hAnsi="Arial Narrow" w:cs="Arial Narrow"/>
                <w:b/>
                <w:color w:val="FFFFFF" w:themeColor="background1"/>
                <w:sz w:val="22"/>
                <w:szCs w:val="22"/>
              </w:rPr>
              <w:t xml:space="preserve"> </w:t>
            </w:r>
            <w:r w:rsidRPr="1FF1B213">
              <w:rPr>
                <w:rFonts w:ascii="Arial Narrow" w:eastAsia="Arial Narrow" w:hAnsi="Arial Narrow" w:cs="Arial Narrow"/>
                <w:b/>
                <w:color w:val="FFFFFF" w:themeColor="background1"/>
                <w:sz w:val="22"/>
                <w:szCs w:val="22"/>
              </w:rPr>
              <w:t xml:space="preserve">1 </w:t>
            </w:r>
          </w:p>
        </w:tc>
        <w:tc>
          <w:tcPr>
            <w:tcW w:w="718" w:type="pct"/>
          </w:tcPr>
          <w:p w14:paraId="25CEFE63" w14:textId="77777777" w:rsidR="00073E9C" w:rsidRPr="008232E5" w:rsidRDefault="00073E9C" w:rsidP="00073E9C">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JRCA</w:t>
            </w:r>
          </w:p>
        </w:tc>
        <w:tc>
          <w:tcPr>
            <w:tcW w:w="715" w:type="pct"/>
          </w:tcPr>
          <w:p w14:paraId="1101F5E2" w14:textId="77777777" w:rsidR="00073E9C" w:rsidRPr="008232E5" w:rsidRDefault="00073E9C" w:rsidP="00073E9C">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JRRC</w:t>
            </w:r>
          </w:p>
        </w:tc>
        <w:tc>
          <w:tcPr>
            <w:tcW w:w="713" w:type="pct"/>
          </w:tcPr>
          <w:p w14:paraId="13429162" w14:textId="77777777" w:rsidR="00073E9C" w:rsidRPr="008232E5" w:rsidRDefault="00073E9C" w:rsidP="00073E9C">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JRS</w:t>
            </w:r>
          </w:p>
        </w:tc>
        <w:tc>
          <w:tcPr>
            <w:tcW w:w="708" w:type="pct"/>
          </w:tcPr>
          <w:p w14:paraId="7BD00B81" w14:textId="77777777" w:rsidR="00073E9C" w:rsidRPr="008232E5" w:rsidRDefault="00073E9C" w:rsidP="00073E9C">
            <w:pPr>
              <w:keepNext/>
              <w:keepLines/>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Overall Facility</w:t>
            </w:r>
            <w:r w:rsidRPr="1FF1B213">
              <w:rPr>
                <w:rFonts w:ascii="Arial Narrow" w:eastAsia="Arial Narrow" w:hAnsi="Arial Narrow" w:cs="Arial Narrow"/>
                <w:b/>
                <w:color w:val="FFFFFF" w:themeColor="background1"/>
                <w:sz w:val="22"/>
                <w:szCs w:val="22"/>
                <w:vertAlign w:val="superscript"/>
              </w:rPr>
              <w:t>1</w:t>
            </w:r>
            <w:r w:rsidRPr="1FF1B213">
              <w:rPr>
                <w:rFonts w:ascii="Arial Narrow,Arial" w:eastAsia="Arial Narrow,Arial" w:hAnsi="Arial Narrow,Arial" w:cs="Arial Narrow,Arial"/>
                <w:b/>
                <w:color w:val="FFFFFF" w:themeColor="background1"/>
                <w:sz w:val="22"/>
                <w:szCs w:val="22"/>
              </w:rPr>
              <w:t xml:space="preserve"> </w:t>
            </w:r>
          </w:p>
        </w:tc>
      </w:tr>
      <w:tr w:rsidR="00073E9C" w:rsidRPr="00C83538" w14:paraId="51C7C223" w14:textId="77777777" w:rsidTr="00073E9C">
        <w:trPr>
          <w:cnfStyle w:val="000000100000" w:firstRow="0" w:lastRow="0" w:firstColumn="0" w:lastColumn="0" w:oddVBand="0" w:evenVBand="0" w:oddHBand="1" w:evenHBand="0" w:firstRowFirstColumn="0" w:firstRowLastColumn="0" w:lastRowFirstColumn="0" w:lastRowLastColumn="0"/>
        </w:trPr>
        <w:tc>
          <w:tcPr>
            <w:tcW w:w="1428" w:type="pct"/>
            <w:shd w:val="clear" w:color="auto" w:fill="CDD7D9"/>
          </w:tcPr>
          <w:p w14:paraId="4434B552" w14:textId="77777777" w:rsidR="00073E9C" w:rsidRPr="00C83538" w:rsidRDefault="00073E9C" w:rsidP="00073E9C">
            <w:pPr>
              <w:keepNext/>
              <w:keepLines/>
              <w:spacing w:before="40" w:after="40"/>
              <w:rPr>
                <w:rFonts w:ascii="Arial Narrow" w:hAnsi="Arial Narrow"/>
                <w:b/>
                <w:sz w:val="20"/>
                <w:szCs w:val="20"/>
              </w:rPr>
            </w:pPr>
            <w:r w:rsidRPr="00C83538">
              <w:rPr>
                <w:rFonts w:ascii="Arial Narrow" w:hAnsi="Arial Narrow"/>
                <w:b/>
                <w:sz w:val="20"/>
                <w:szCs w:val="20"/>
              </w:rPr>
              <w:t xml:space="preserve">Institutions </w:t>
            </w:r>
          </w:p>
        </w:tc>
        <w:tc>
          <w:tcPr>
            <w:tcW w:w="718" w:type="pct"/>
            <w:shd w:val="clear" w:color="auto" w:fill="CDD7D9"/>
          </w:tcPr>
          <w:p w14:paraId="351CEF92" w14:textId="77777777" w:rsidR="00073E9C" w:rsidRPr="00C83538" w:rsidRDefault="00073E9C" w:rsidP="00073E9C">
            <w:pPr>
              <w:keepNext/>
              <w:keepLines/>
              <w:spacing w:before="40" w:after="40"/>
              <w:rPr>
                <w:rFonts w:ascii="Arial Narrow" w:hAnsi="Arial Narrow"/>
                <w:b/>
                <w:sz w:val="20"/>
                <w:szCs w:val="20"/>
              </w:rPr>
            </w:pPr>
          </w:p>
        </w:tc>
        <w:tc>
          <w:tcPr>
            <w:tcW w:w="718" w:type="pct"/>
            <w:shd w:val="clear" w:color="auto" w:fill="CDD7D9"/>
          </w:tcPr>
          <w:p w14:paraId="321F7348" w14:textId="77777777" w:rsidR="00073E9C" w:rsidRPr="00C83538" w:rsidRDefault="00073E9C" w:rsidP="00073E9C">
            <w:pPr>
              <w:keepNext/>
              <w:keepLines/>
              <w:spacing w:before="40" w:after="40"/>
              <w:rPr>
                <w:rFonts w:ascii="Arial Narrow" w:hAnsi="Arial Narrow"/>
                <w:b/>
                <w:sz w:val="20"/>
                <w:szCs w:val="20"/>
              </w:rPr>
            </w:pPr>
          </w:p>
        </w:tc>
        <w:tc>
          <w:tcPr>
            <w:tcW w:w="715" w:type="pct"/>
            <w:shd w:val="clear" w:color="auto" w:fill="CDD7D9"/>
          </w:tcPr>
          <w:p w14:paraId="7B965051" w14:textId="77777777" w:rsidR="00073E9C" w:rsidRPr="00C83538" w:rsidRDefault="00073E9C" w:rsidP="00073E9C">
            <w:pPr>
              <w:keepNext/>
              <w:keepLines/>
              <w:spacing w:before="40" w:after="40"/>
              <w:rPr>
                <w:rFonts w:ascii="Arial Narrow" w:hAnsi="Arial Narrow"/>
                <w:b/>
                <w:sz w:val="20"/>
                <w:szCs w:val="20"/>
              </w:rPr>
            </w:pPr>
          </w:p>
        </w:tc>
        <w:tc>
          <w:tcPr>
            <w:tcW w:w="713" w:type="pct"/>
            <w:shd w:val="clear" w:color="auto" w:fill="CDD7D9"/>
          </w:tcPr>
          <w:p w14:paraId="50943859" w14:textId="77777777" w:rsidR="00073E9C" w:rsidRPr="00C83538" w:rsidRDefault="00073E9C" w:rsidP="00073E9C">
            <w:pPr>
              <w:keepNext/>
              <w:keepLines/>
              <w:spacing w:before="40" w:after="40"/>
              <w:rPr>
                <w:rFonts w:ascii="Arial Narrow" w:hAnsi="Arial Narrow"/>
                <w:b/>
                <w:sz w:val="20"/>
                <w:szCs w:val="20"/>
              </w:rPr>
            </w:pPr>
          </w:p>
        </w:tc>
        <w:tc>
          <w:tcPr>
            <w:tcW w:w="708" w:type="pct"/>
            <w:shd w:val="clear" w:color="auto" w:fill="CDD7D9"/>
          </w:tcPr>
          <w:p w14:paraId="61429129" w14:textId="77777777" w:rsidR="00073E9C" w:rsidRPr="00C83538" w:rsidRDefault="00073E9C" w:rsidP="00073E9C">
            <w:pPr>
              <w:keepNext/>
              <w:keepLines/>
              <w:spacing w:before="40" w:after="40"/>
              <w:rPr>
                <w:rFonts w:ascii="Arial Narrow" w:hAnsi="Arial Narrow"/>
                <w:b/>
                <w:sz w:val="20"/>
                <w:szCs w:val="20"/>
              </w:rPr>
            </w:pPr>
          </w:p>
        </w:tc>
      </w:tr>
      <w:tr w:rsidR="00073E9C" w:rsidRPr="00C83538" w14:paraId="2A69CDE5" w14:textId="77777777" w:rsidTr="00073E9C">
        <w:tc>
          <w:tcPr>
            <w:tcW w:w="1428" w:type="pct"/>
            <w:shd w:val="clear" w:color="auto" w:fill="FFFFFF" w:themeFill="background1"/>
            <w:vAlign w:val="center"/>
          </w:tcPr>
          <w:p w14:paraId="776F964C" w14:textId="77777777" w:rsidR="00073E9C" w:rsidRPr="00C83538" w:rsidRDefault="00073E9C" w:rsidP="00073E9C">
            <w:pPr>
              <w:keepNext/>
              <w:keepLines/>
              <w:spacing w:before="40" w:after="40"/>
              <w:rPr>
                <w:rFonts w:ascii="Arial Narrow" w:hAnsi="Arial Narrow"/>
                <w:sz w:val="20"/>
                <w:szCs w:val="20"/>
              </w:rPr>
            </w:pPr>
            <w:r w:rsidRPr="00C83538">
              <w:rPr>
                <w:rFonts w:ascii="Arial Narrow" w:hAnsi="Arial Narrow"/>
                <w:sz w:val="20"/>
                <w:szCs w:val="20"/>
              </w:rPr>
              <w:t xml:space="preserve">   Echo Glen </w:t>
            </w:r>
          </w:p>
        </w:tc>
        <w:tc>
          <w:tcPr>
            <w:tcW w:w="718" w:type="pct"/>
            <w:shd w:val="clear" w:color="auto" w:fill="FFFFFF" w:themeFill="background1"/>
          </w:tcPr>
          <w:p w14:paraId="0EE5DCCB"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$41,400.00</w:t>
            </w:r>
          </w:p>
          <w:p w14:paraId="235422E7"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(47)</w:t>
            </w:r>
          </w:p>
        </w:tc>
        <w:tc>
          <w:tcPr>
            <w:tcW w:w="718" w:type="pct"/>
            <w:shd w:val="clear" w:color="auto" w:fill="FFFFFF" w:themeFill="background1"/>
          </w:tcPr>
          <w:p w14:paraId="6DCBB282"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$38,316</w:t>
            </w:r>
          </w:p>
          <w:p w14:paraId="3A8C2714"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(20)</w:t>
            </w:r>
          </w:p>
        </w:tc>
        <w:tc>
          <w:tcPr>
            <w:tcW w:w="715" w:type="pct"/>
            <w:shd w:val="clear" w:color="auto" w:fill="FFFFFF" w:themeFill="background1"/>
          </w:tcPr>
          <w:p w14:paraId="2DC3FBDD"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$54,527.50</w:t>
            </w:r>
          </w:p>
          <w:p w14:paraId="52A21FB5"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(50)</w:t>
            </w:r>
          </w:p>
        </w:tc>
        <w:tc>
          <w:tcPr>
            <w:tcW w:w="713" w:type="pct"/>
            <w:shd w:val="clear" w:color="auto" w:fill="FFFFFF" w:themeFill="background1"/>
          </w:tcPr>
          <w:p w14:paraId="30A7351A"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$56,396.00</w:t>
            </w:r>
          </w:p>
          <w:p w14:paraId="19ACF1D3"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(7)</w:t>
            </w:r>
          </w:p>
        </w:tc>
        <w:tc>
          <w:tcPr>
            <w:tcW w:w="708" w:type="pct"/>
            <w:shd w:val="clear" w:color="auto" w:fill="FFFFFF" w:themeFill="background1"/>
          </w:tcPr>
          <w:p w14:paraId="1AC5FB27"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$44,282</w:t>
            </w:r>
          </w:p>
          <w:p w14:paraId="3840D64B"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(130)</w:t>
            </w:r>
          </w:p>
        </w:tc>
      </w:tr>
      <w:tr w:rsidR="00073E9C" w:rsidRPr="00C83538" w14:paraId="34071228" w14:textId="77777777" w:rsidTr="00073E9C">
        <w:trPr>
          <w:cnfStyle w:val="000000100000" w:firstRow="0" w:lastRow="0" w:firstColumn="0" w:lastColumn="0" w:oddVBand="0" w:evenVBand="0" w:oddHBand="1" w:evenHBand="0" w:firstRowFirstColumn="0" w:firstRowLastColumn="0" w:lastRowFirstColumn="0" w:lastRowLastColumn="0"/>
        </w:trPr>
        <w:tc>
          <w:tcPr>
            <w:tcW w:w="1428" w:type="pct"/>
            <w:shd w:val="clear" w:color="auto" w:fill="FFFFFF" w:themeFill="background1"/>
            <w:vAlign w:val="center"/>
          </w:tcPr>
          <w:p w14:paraId="380C8B15" w14:textId="77777777" w:rsidR="00073E9C" w:rsidRPr="00C83538" w:rsidRDefault="00073E9C" w:rsidP="00073E9C">
            <w:pPr>
              <w:keepNext/>
              <w:keepLines/>
              <w:spacing w:before="40" w:after="40"/>
              <w:rPr>
                <w:rFonts w:ascii="Arial Narrow" w:hAnsi="Arial Narrow"/>
                <w:sz w:val="20"/>
                <w:szCs w:val="20"/>
              </w:rPr>
            </w:pPr>
            <w:r w:rsidRPr="00C83538">
              <w:rPr>
                <w:rFonts w:ascii="Arial Narrow" w:hAnsi="Arial Narrow"/>
                <w:sz w:val="20"/>
                <w:szCs w:val="20"/>
              </w:rPr>
              <w:t xml:space="preserve">   Green Hill </w:t>
            </w:r>
          </w:p>
        </w:tc>
        <w:tc>
          <w:tcPr>
            <w:tcW w:w="718" w:type="pct"/>
            <w:shd w:val="clear" w:color="auto" w:fill="FFFFFF" w:themeFill="background1"/>
          </w:tcPr>
          <w:p w14:paraId="544063A5"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$39,564.00</w:t>
            </w:r>
          </w:p>
          <w:p w14:paraId="453B8190"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(87)</w:t>
            </w:r>
          </w:p>
        </w:tc>
        <w:tc>
          <w:tcPr>
            <w:tcW w:w="718" w:type="pct"/>
            <w:shd w:val="clear" w:color="auto" w:fill="FFFFFF" w:themeFill="background1"/>
          </w:tcPr>
          <w:p w14:paraId="16E65C3D"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$38,945.00</w:t>
            </w:r>
          </w:p>
          <w:p w14:paraId="1E6D4B5B"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(29)</w:t>
            </w:r>
          </w:p>
        </w:tc>
        <w:tc>
          <w:tcPr>
            <w:tcW w:w="715" w:type="pct"/>
            <w:shd w:val="clear" w:color="auto" w:fill="FFFFFF" w:themeFill="background1"/>
          </w:tcPr>
          <w:p w14:paraId="61F0A890"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$51,306.00</w:t>
            </w:r>
          </w:p>
          <w:p w14:paraId="687F9997"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(52)</w:t>
            </w:r>
          </w:p>
        </w:tc>
        <w:tc>
          <w:tcPr>
            <w:tcW w:w="713" w:type="pct"/>
            <w:shd w:val="clear" w:color="auto" w:fill="FFFFFF" w:themeFill="background1"/>
          </w:tcPr>
          <w:p w14:paraId="02342AAC"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$58,691.00</w:t>
            </w:r>
          </w:p>
          <w:p w14:paraId="2655C2C8"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(8)</w:t>
            </w:r>
          </w:p>
        </w:tc>
        <w:tc>
          <w:tcPr>
            <w:tcW w:w="708" w:type="pct"/>
            <w:shd w:val="clear" w:color="auto" w:fill="FFFFFF" w:themeFill="background1"/>
          </w:tcPr>
          <w:p w14:paraId="431E3246"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$43,344</w:t>
            </w:r>
          </w:p>
          <w:p w14:paraId="787B7A13"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(181)</w:t>
            </w:r>
          </w:p>
        </w:tc>
      </w:tr>
      <w:tr w:rsidR="00073E9C" w:rsidRPr="00C83538" w14:paraId="24D0EA81" w14:textId="77777777" w:rsidTr="00073E9C">
        <w:tc>
          <w:tcPr>
            <w:tcW w:w="1428" w:type="pct"/>
            <w:shd w:val="clear" w:color="auto" w:fill="FFFFFF" w:themeFill="background1"/>
            <w:vAlign w:val="center"/>
          </w:tcPr>
          <w:p w14:paraId="0E5047B3" w14:textId="77777777" w:rsidR="00073E9C" w:rsidRPr="00C83538" w:rsidRDefault="00073E9C" w:rsidP="00073E9C">
            <w:pPr>
              <w:keepNext/>
              <w:keepLines/>
              <w:spacing w:before="40" w:after="40"/>
              <w:rPr>
                <w:rFonts w:ascii="Arial Narrow" w:hAnsi="Arial Narrow"/>
                <w:sz w:val="20"/>
                <w:szCs w:val="20"/>
              </w:rPr>
            </w:pPr>
            <w:r w:rsidRPr="00C83538">
              <w:rPr>
                <w:rFonts w:ascii="Arial Narrow" w:hAnsi="Arial Narrow"/>
                <w:sz w:val="20"/>
                <w:szCs w:val="20"/>
              </w:rPr>
              <w:t xml:space="preserve">   Naselle </w:t>
            </w:r>
          </w:p>
        </w:tc>
        <w:tc>
          <w:tcPr>
            <w:tcW w:w="718" w:type="pct"/>
            <w:shd w:val="clear" w:color="auto" w:fill="FFFFFF" w:themeFill="background1"/>
          </w:tcPr>
          <w:p w14:paraId="38DB5639"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$37,480.00</w:t>
            </w:r>
          </w:p>
          <w:p w14:paraId="5187AB63"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(23)</w:t>
            </w:r>
          </w:p>
        </w:tc>
        <w:tc>
          <w:tcPr>
            <w:tcW w:w="718" w:type="pct"/>
            <w:shd w:val="clear" w:color="auto" w:fill="FFFFFF" w:themeFill="background1"/>
          </w:tcPr>
          <w:p w14:paraId="5CC6D745"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$44,400.00</w:t>
            </w:r>
          </w:p>
          <w:p w14:paraId="533D57E5"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(11)</w:t>
            </w:r>
          </w:p>
        </w:tc>
        <w:tc>
          <w:tcPr>
            <w:tcW w:w="715" w:type="pct"/>
            <w:shd w:val="clear" w:color="auto" w:fill="FFFFFF" w:themeFill="background1"/>
          </w:tcPr>
          <w:p w14:paraId="7361C042"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$50,292.00</w:t>
            </w:r>
          </w:p>
          <w:p w14:paraId="08199C8A"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(22)</w:t>
            </w:r>
          </w:p>
        </w:tc>
        <w:tc>
          <w:tcPr>
            <w:tcW w:w="713" w:type="pct"/>
            <w:shd w:val="clear" w:color="auto" w:fill="FFFFFF" w:themeFill="background1"/>
          </w:tcPr>
          <w:p w14:paraId="599717A6"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$55,536.00</w:t>
            </w:r>
          </w:p>
          <w:p w14:paraId="14731A04"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(4)</w:t>
            </w:r>
          </w:p>
        </w:tc>
        <w:tc>
          <w:tcPr>
            <w:tcW w:w="708" w:type="pct"/>
            <w:shd w:val="clear" w:color="auto" w:fill="FFFFFF" w:themeFill="background1"/>
          </w:tcPr>
          <w:p w14:paraId="1EB9D5B6"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$45,486</w:t>
            </w:r>
          </w:p>
          <w:p w14:paraId="5A485AD1"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(62)</w:t>
            </w:r>
          </w:p>
        </w:tc>
      </w:tr>
      <w:tr w:rsidR="00073E9C" w:rsidRPr="00C83538" w14:paraId="7BD7D6FB" w14:textId="77777777" w:rsidTr="00073E9C">
        <w:trPr>
          <w:cnfStyle w:val="000000100000" w:firstRow="0" w:lastRow="0" w:firstColumn="0" w:lastColumn="0" w:oddVBand="0" w:evenVBand="0" w:oddHBand="1" w:evenHBand="0" w:firstRowFirstColumn="0" w:firstRowLastColumn="0" w:lastRowFirstColumn="0" w:lastRowLastColumn="0"/>
        </w:trPr>
        <w:tc>
          <w:tcPr>
            <w:tcW w:w="1428" w:type="pct"/>
            <w:shd w:val="clear" w:color="auto" w:fill="CDD7D9"/>
          </w:tcPr>
          <w:p w14:paraId="7DC123E3" w14:textId="77777777" w:rsidR="00073E9C" w:rsidRPr="00C83538" w:rsidRDefault="00073E9C" w:rsidP="00073E9C">
            <w:pPr>
              <w:keepNext/>
              <w:keepLines/>
              <w:spacing w:before="40" w:after="40"/>
              <w:rPr>
                <w:rFonts w:ascii="Arial Narrow" w:hAnsi="Arial Narrow"/>
                <w:b/>
                <w:sz w:val="20"/>
                <w:szCs w:val="20"/>
              </w:rPr>
            </w:pPr>
            <w:r w:rsidRPr="00C83538">
              <w:rPr>
                <w:rFonts w:ascii="Arial Narrow" w:hAnsi="Arial Narrow"/>
                <w:b/>
                <w:sz w:val="20"/>
                <w:szCs w:val="20"/>
              </w:rPr>
              <w:t xml:space="preserve">Community Facilities </w:t>
            </w:r>
          </w:p>
        </w:tc>
        <w:tc>
          <w:tcPr>
            <w:tcW w:w="718" w:type="pct"/>
            <w:shd w:val="clear" w:color="auto" w:fill="CDD7D9"/>
          </w:tcPr>
          <w:p w14:paraId="758AB12D" w14:textId="77777777" w:rsidR="00073E9C" w:rsidRPr="00C83538" w:rsidRDefault="00073E9C" w:rsidP="00073E9C">
            <w:pPr>
              <w:keepNext/>
              <w:keepLines/>
              <w:spacing w:before="40" w:after="40"/>
              <w:rPr>
                <w:rFonts w:ascii="Arial Narrow" w:hAnsi="Arial Narrow"/>
                <w:sz w:val="20"/>
                <w:szCs w:val="20"/>
              </w:rPr>
            </w:pPr>
          </w:p>
        </w:tc>
        <w:tc>
          <w:tcPr>
            <w:tcW w:w="718" w:type="pct"/>
            <w:shd w:val="clear" w:color="auto" w:fill="CDD7D9"/>
          </w:tcPr>
          <w:p w14:paraId="64BBF2F9" w14:textId="77777777" w:rsidR="00073E9C" w:rsidRPr="00C83538" w:rsidRDefault="00073E9C" w:rsidP="00073E9C">
            <w:pPr>
              <w:keepNext/>
              <w:keepLines/>
              <w:spacing w:before="40" w:after="40"/>
              <w:rPr>
                <w:rFonts w:ascii="Arial Narrow" w:hAnsi="Arial Narrow"/>
                <w:sz w:val="20"/>
                <w:szCs w:val="20"/>
              </w:rPr>
            </w:pPr>
          </w:p>
        </w:tc>
        <w:tc>
          <w:tcPr>
            <w:tcW w:w="715" w:type="pct"/>
            <w:shd w:val="clear" w:color="auto" w:fill="CDD7D9"/>
          </w:tcPr>
          <w:p w14:paraId="19651C64" w14:textId="77777777" w:rsidR="00073E9C" w:rsidRPr="00C83538" w:rsidRDefault="00073E9C" w:rsidP="00073E9C">
            <w:pPr>
              <w:keepNext/>
              <w:keepLines/>
              <w:spacing w:before="40" w:after="40"/>
              <w:rPr>
                <w:rFonts w:ascii="Arial Narrow" w:hAnsi="Arial Narrow"/>
                <w:sz w:val="20"/>
                <w:szCs w:val="20"/>
              </w:rPr>
            </w:pPr>
          </w:p>
        </w:tc>
        <w:tc>
          <w:tcPr>
            <w:tcW w:w="713" w:type="pct"/>
            <w:shd w:val="clear" w:color="auto" w:fill="CDD7D9"/>
          </w:tcPr>
          <w:p w14:paraId="56FEEB50" w14:textId="77777777" w:rsidR="00073E9C" w:rsidRPr="00C83538" w:rsidRDefault="00073E9C" w:rsidP="00073E9C">
            <w:pPr>
              <w:keepNext/>
              <w:keepLines/>
              <w:spacing w:before="40" w:after="40"/>
              <w:rPr>
                <w:rFonts w:ascii="Arial Narrow" w:hAnsi="Arial Narrow"/>
                <w:sz w:val="20"/>
                <w:szCs w:val="20"/>
              </w:rPr>
            </w:pPr>
          </w:p>
        </w:tc>
        <w:tc>
          <w:tcPr>
            <w:tcW w:w="708" w:type="pct"/>
            <w:shd w:val="clear" w:color="auto" w:fill="CDD7D9"/>
          </w:tcPr>
          <w:p w14:paraId="0C9644BE" w14:textId="77777777" w:rsidR="00073E9C" w:rsidRPr="008F0919" w:rsidRDefault="00073E9C" w:rsidP="00073E9C">
            <w:pPr>
              <w:keepNext/>
              <w:keepLines/>
              <w:spacing w:before="40" w:after="40"/>
              <w:rPr>
                <w:rFonts w:ascii="Arial Narrow" w:hAnsi="Arial Narrow"/>
                <w:sz w:val="20"/>
                <w:szCs w:val="20"/>
              </w:rPr>
            </w:pPr>
          </w:p>
        </w:tc>
      </w:tr>
      <w:tr w:rsidR="00073E9C" w:rsidRPr="00C83538" w14:paraId="00091D30" w14:textId="77777777" w:rsidTr="00073E9C">
        <w:tc>
          <w:tcPr>
            <w:tcW w:w="1428" w:type="pct"/>
            <w:shd w:val="clear" w:color="auto" w:fill="FFFFFF" w:themeFill="background1"/>
            <w:vAlign w:val="center"/>
          </w:tcPr>
          <w:p w14:paraId="225F5099" w14:textId="77777777" w:rsidR="00073E9C" w:rsidRPr="00C83538" w:rsidRDefault="00073E9C" w:rsidP="00073E9C">
            <w:pPr>
              <w:keepNext/>
              <w:keepLines/>
              <w:spacing w:before="40" w:after="40"/>
              <w:rPr>
                <w:rFonts w:ascii="Arial Narrow" w:hAnsi="Arial Narrow"/>
                <w:sz w:val="20"/>
                <w:szCs w:val="20"/>
              </w:rPr>
            </w:pPr>
            <w:r w:rsidRPr="00C83538">
              <w:rPr>
                <w:rFonts w:ascii="Arial Narrow" w:hAnsi="Arial Narrow"/>
                <w:sz w:val="20"/>
                <w:szCs w:val="20"/>
              </w:rPr>
              <w:t xml:space="preserve">   All </w:t>
            </w:r>
            <w:r>
              <w:rPr>
                <w:rFonts w:ascii="Arial Narrow" w:hAnsi="Arial Narrow"/>
                <w:sz w:val="20"/>
                <w:szCs w:val="20"/>
              </w:rPr>
              <w:t xml:space="preserve">Community </w:t>
            </w:r>
            <w:r w:rsidRPr="00C83538">
              <w:rPr>
                <w:rFonts w:ascii="Arial Narrow" w:hAnsi="Arial Narrow"/>
                <w:sz w:val="20"/>
                <w:szCs w:val="20"/>
              </w:rPr>
              <w:t xml:space="preserve">Facilities </w:t>
            </w:r>
          </w:p>
        </w:tc>
        <w:tc>
          <w:tcPr>
            <w:tcW w:w="718" w:type="pct"/>
            <w:shd w:val="clear" w:color="auto" w:fill="FFFFFF" w:themeFill="background1"/>
          </w:tcPr>
          <w:p w14:paraId="3DA3C956"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$37,478.00</w:t>
            </w:r>
          </w:p>
          <w:p w14:paraId="4F6FB438"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(80)</w:t>
            </w:r>
          </w:p>
        </w:tc>
        <w:tc>
          <w:tcPr>
            <w:tcW w:w="718" w:type="pct"/>
            <w:shd w:val="clear" w:color="auto" w:fill="FFFFFF" w:themeFill="background1"/>
          </w:tcPr>
          <w:p w14:paraId="0B61A93B"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$45,540.00</w:t>
            </w:r>
          </w:p>
          <w:p w14:paraId="3CA5EA97"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(17)</w:t>
            </w:r>
          </w:p>
        </w:tc>
        <w:tc>
          <w:tcPr>
            <w:tcW w:w="715" w:type="pct"/>
            <w:shd w:val="clear" w:color="auto" w:fill="FFFFFF" w:themeFill="background1"/>
          </w:tcPr>
          <w:p w14:paraId="44257880"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$54,072.00</w:t>
            </w:r>
          </w:p>
          <w:p w14:paraId="6C8C9193"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(26)</w:t>
            </w:r>
          </w:p>
        </w:tc>
        <w:tc>
          <w:tcPr>
            <w:tcW w:w="713" w:type="pct"/>
            <w:shd w:val="clear" w:color="auto" w:fill="FFFFFF" w:themeFill="background1"/>
          </w:tcPr>
          <w:p w14:paraId="67B9B4C1"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$56,844.00</w:t>
            </w:r>
          </w:p>
          <w:p w14:paraId="5A582FCC" w14:textId="77777777" w:rsidR="00073E9C" w:rsidRPr="00C83538" w:rsidRDefault="00073E9C" w:rsidP="00073E9C">
            <w:pPr>
              <w:keepNext/>
              <w:keepLines/>
              <w:spacing w:before="40" w:after="40"/>
              <w:jc w:val="center"/>
              <w:rPr>
                <w:rFonts w:ascii="Arial Narrow" w:hAnsi="Arial Narrow"/>
                <w:sz w:val="20"/>
                <w:szCs w:val="20"/>
              </w:rPr>
            </w:pPr>
            <w:r w:rsidRPr="00C83538">
              <w:rPr>
                <w:rFonts w:ascii="Arial Narrow" w:hAnsi="Arial Narrow"/>
                <w:sz w:val="20"/>
                <w:szCs w:val="20"/>
              </w:rPr>
              <w:t>(7)</w:t>
            </w:r>
          </w:p>
        </w:tc>
        <w:tc>
          <w:tcPr>
            <w:tcW w:w="708" w:type="pct"/>
            <w:shd w:val="clear" w:color="auto" w:fill="FFFFFF" w:themeFill="background1"/>
          </w:tcPr>
          <w:p w14:paraId="042E7D3B"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$42,261</w:t>
            </w:r>
          </w:p>
          <w:p w14:paraId="0686E4ED" w14:textId="77777777" w:rsidR="00073E9C" w:rsidRPr="008F0919" w:rsidRDefault="00073E9C" w:rsidP="00073E9C">
            <w:pPr>
              <w:keepNext/>
              <w:keepLines/>
              <w:spacing w:before="40" w:after="40"/>
              <w:jc w:val="center"/>
              <w:rPr>
                <w:rFonts w:ascii="Arial Narrow" w:hAnsi="Arial Narrow"/>
                <w:sz w:val="20"/>
                <w:szCs w:val="20"/>
              </w:rPr>
            </w:pPr>
            <w:r w:rsidRPr="008F0919">
              <w:rPr>
                <w:rFonts w:ascii="Arial Narrow" w:hAnsi="Arial Narrow"/>
                <w:sz w:val="20"/>
                <w:szCs w:val="20"/>
              </w:rPr>
              <w:t>(130)</w:t>
            </w:r>
          </w:p>
        </w:tc>
      </w:tr>
      <w:tr w:rsidR="00073E9C" w:rsidRPr="00C83538" w14:paraId="24BF064A" w14:textId="77777777" w:rsidTr="00073E9C">
        <w:trPr>
          <w:cnfStyle w:val="000000100000" w:firstRow="0" w:lastRow="0" w:firstColumn="0" w:lastColumn="0" w:oddVBand="0" w:evenVBand="0" w:oddHBand="1" w:evenHBand="0" w:firstRowFirstColumn="0" w:firstRowLastColumn="0" w:lastRowFirstColumn="0" w:lastRowLastColumn="0"/>
        </w:trPr>
        <w:tc>
          <w:tcPr>
            <w:tcW w:w="1428" w:type="pct"/>
            <w:shd w:val="clear" w:color="auto" w:fill="A6A6A6" w:themeFill="background1" w:themeFillShade="A6"/>
          </w:tcPr>
          <w:p w14:paraId="78B159AE" w14:textId="77777777" w:rsidR="00073E9C" w:rsidRPr="00C83538" w:rsidRDefault="00073E9C" w:rsidP="00073E9C">
            <w:pPr>
              <w:keepNext/>
              <w:keepLines/>
              <w:spacing w:before="40" w:after="40"/>
              <w:rPr>
                <w:rFonts w:ascii="Arial Narrow" w:hAnsi="Arial Narrow"/>
                <w:b/>
                <w:sz w:val="20"/>
                <w:szCs w:val="20"/>
              </w:rPr>
            </w:pPr>
            <w:r w:rsidRPr="00C83538">
              <w:rPr>
                <w:rFonts w:ascii="Arial Narrow" w:hAnsi="Arial Narrow"/>
                <w:b/>
                <w:sz w:val="20"/>
                <w:szCs w:val="20"/>
              </w:rPr>
              <w:t xml:space="preserve">Overall JR </w:t>
            </w:r>
          </w:p>
        </w:tc>
        <w:tc>
          <w:tcPr>
            <w:tcW w:w="718" w:type="pct"/>
            <w:shd w:val="clear" w:color="auto" w:fill="A6A6A6" w:themeFill="background1" w:themeFillShade="A6"/>
          </w:tcPr>
          <w:p w14:paraId="46CA5E99" w14:textId="77777777" w:rsidR="00073E9C" w:rsidRPr="00C83538" w:rsidRDefault="00073E9C" w:rsidP="00073E9C">
            <w:pPr>
              <w:keepNext/>
              <w:keepLines/>
              <w:spacing w:before="40" w:after="40"/>
              <w:jc w:val="center"/>
              <w:rPr>
                <w:rFonts w:ascii="Arial Narrow" w:hAnsi="Arial Narrow"/>
                <w:b/>
                <w:sz w:val="20"/>
                <w:szCs w:val="20"/>
              </w:rPr>
            </w:pPr>
            <w:r w:rsidRPr="00C83538">
              <w:rPr>
                <w:rFonts w:ascii="Arial Narrow" w:hAnsi="Arial Narrow"/>
                <w:b/>
                <w:sz w:val="20"/>
                <w:szCs w:val="20"/>
              </w:rPr>
              <w:t>$38,440.00</w:t>
            </w:r>
          </w:p>
        </w:tc>
        <w:tc>
          <w:tcPr>
            <w:tcW w:w="718" w:type="pct"/>
            <w:shd w:val="clear" w:color="auto" w:fill="A6A6A6" w:themeFill="background1" w:themeFillShade="A6"/>
          </w:tcPr>
          <w:p w14:paraId="5C9BFAE8" w14:textId="77777777" w:rsidR="00073E9C" w:rsidRPr="00C83538" w:rsidRDefault="00073E9C" w:rsidP="00073E9C">
            <w:pPr>
              <w:keepNext/>
              <w:keepLines/>
              <w:spacing w:before="40" w:after="40"/>
              <w:jc w:val="center"/>
              <w:rPr>
                <w:rFonts w:ascii="Arial Narrow" w:hAnsi="Arial Narrow"/>
                <w:b/>
                <w:sz w:val="20"/>
                <w:szCs w:val="20"/>
              </w:rPr>
            </w:pPr>
            <w:r w:rsidRPr="00C83538">
              <w:rPr>
                <w:rFonts w:ascii="Arial Narrow" w:hAnsi="Arial Narrow"/>
                <w:b/>
                <w:sz w:val="20"/>
                <w:szCs w:val="20"/>
              </w:rPr>
              <w:t>$40,219.00</w:t>
            </w:r>
          </w:p>
        </w:tc>
        <w:tc>
          <w:tcPr>
            <w:tcW w:w="715" w:type="pct"/>
            <w:shd w:val="clear" w:color="auto" w:fill="A6A6A6" w:themeFill="background1" w:themeFillShade="A6"/>
          </w:tcPr>
          <w:p w14:paraId="66F582A0" w14:textId="77777777" w:rsidR="00073E9C" w:rsidRPr="00C83538" w:rsidRDefault="00073E9C" w:rsidP="00073E9C">
            <w:pPr>
              <w:keepNext/>
              <w:keepLines/>
              <w:spacing w:before="40" w:after="40"/>
              <w:jc w:val="center"/>
              <w:rPr>
                <w:rFonts w:ascii="Arial Narrow" w:hAnsi="Arial Narrow"/>
                <w:b/>
                <w:sz w:val="20"/>
                <w:szCs w:val="20"/>
              </w:rPr>
            </w:pPr>
            <w:r w:rsidRPr="00C83538">
              <w:rPr>
                <w:rFonts w:ascii="Arial Narrow" w:hAnsi="Arial Narrow"/>
                <w:b/>
                <w:sz w:val="20"/>
                <w:szCs w:val="20"/>
              </w:rPr>
              <w:t>$53,774.50</w:t>
            </w:r>
          </w:p>
        </w:tc>
        <w:tc>
          <w:tcPr>
            <w:tcW w:w="713" w:type="pct"/>
            <w:shd w:val="clear" w:color="auto" w:fill="A6A6A6" w:themeFill="background1" w:themeFillShade="A6"/>
          </w:tcPr>
          <w:p w14:paraId="73A126FD" w14:textId="77777777" w:rsidR="00073E9C" w:rsidRPr="00C83538" w:rsidRDefault="00073E9C" w:rsidP="00073E9C">
            <w:pPr>
              <w:keepNext/>
              <w:keepLines/>
              <w:spacing w:before="40" w:after="40"/>
              <w:jc w:val="center"/>
              <w:rPr>
                <w:rFonts w:ascii="Arial Narrow" w:hAnsi="Arial Narrow"/>
                <w:b/>
                <w:sz w:val="20"/>
                <w:szCs w:val="20"/>
              </w:rPr>
            </w:pPr>
            <w:r w:rsidRPr="00C83538">
              <w:rPr>
                <w:rFonts w:ascii="Arial Narrow" w:hAnsi="Arial Narrow"/>
                <w:b/>
                <w:sz w:val="20"/>
                <w:szCs w:val="20"/>
              </w:rPr>
              <w:t>$56,844.00</w:t>
            </w:r>
          </w:p>
        </w:tc>
        <w:tc>
          <w:tcPr>
            <w:tcW w:w="708" w:type="pct"/>
            <w:shd w:val="clear" w:color="auto" w:fill="A6A6A6" w:themeFill="background1" w:themeFillShade="A6"/>
          </w:tcPr>
          <w:p w14:paraId="0861A336" w14:textId="77777777" w:rsidR="00073E9C" w:rsidRPr="00C83538" w:rsidRDefault="00073E9C" w:rsidP="00073E9C">
            <w:pPr>
              <w:keepNext/>
              <w:keepLines/>
              <w:spacing w:before="40" w:after="40"/>
              <w:jc w:val="center"/>
              <w:rPr>
                <w:rFonts w:ascii="Arial Narrow" w:hAnsi="Arial Narrow"/>
                <w:b/>
                <w:sz w:val="20"/>
                <w:szCs w:val="20"/>
              </w:rPr>
            </w:pPr>
            <w:r w:rsidRPr="00C83538">
              <w:rPr>
                <w:rFonts w:ascii="Arial Narrow" w:hAnsi="Arial Narrow"/>
                <w:b/>
                <w:sz w:val="20"/>
                <w:szCs w:val="20"/>
              </w:rPr>
              <w:t>$44,005.95</w:t>
            </w:r>
          </w:p>
        </w:tc>
      </w:tr>
    </w:tbl>
    <w:bookmarkEnd w:id="69"/>
    <w:p w14:paraId="4F611D26" w14:textId="77777777" w:rsidR="00C83538" w:rsidRPr="00C83538" w:rsidRDefault="00C83538" w:rsidP="008F0919">
      <w:pPr>
        <w:keepNext/>
        <w:keepLines/>
        <w:spacing w:before="0"/>
        <w:rPr>
          <w:i/>
          <w:sz w:val="18"/>
          <w:szCs w:val="18"/>
        </w:rPr>
      </w:pPr>
      <w:r w:rsidRPr="00C83538">
        <w:rPr>
          <w:i/>
          <w:sz w:val="18"/>
          <w:szCs w:val="18"/>
          <w:vertAlign w:val="superscript"/>
        </w:rPr>
        <w:t>1</w:t>
      </w:r>
      <w:r w:rsidRPr="00C83538">
        <w:rPr>
          <w:i/>
          <w:sz w:val="18"/>
          <w:szCs w:val="18"/>
        </w:rPr>
        <w:t xml:space="preserve"> Overall Facility includes the JRSO2s and Security Managers, who were omitted from </w:t>
      </w:r>
      <w:r w:rsidR="00BE7698">
        <w:rPr>
          <w:i/>
          <w:sz w:val="18"/>
          <w:szCs w:val="18"/>
        </w:rPr>
        <w:t xml:space="preserve">Exhibit 4-17 </w:t>
      </w:r>
      <w:r w:rsidRPr="00C83538">
        <w:rPr>
          <w:i/>
          <w:sz w:val="18"/>
          <w:szCs w:val="18"/>
        </w:rPr>
        <w:t xml:space="preserve">due to the small sample size and our desire to maintain confidentiality of the salary records. </w:t>
      </w:r>
      <w:r w:rsidR="008F0919">
        <w:rPr>
          <w:i/>
          <w:sz w:val="18"/>
          <w:szCs w:val="18"/>
        </w:rPr>
        <w:t xml:space="preserve">For that reason, </w:t>
      </w:r>
      <w:r w:rsidR="00BE7698">
        <w:rPr>
          <w:i/>
          <w:sz w:val="18"/>
          <w:szCs w:val="18"/>
        </w:rPr>
        <w:t xml:space="preserve">there are more </w:t>
      </w:r>
      <w:r w:rsidR="008F0919">
        <w:rPr>
          <w:i/>
          <w:sz w:val="18"/>
          <w:szCs w:val="18"/>
        </w:rPr>
        <w:t xml:space="preserve">total records in this </w:t>
      </w:r>
      <w:r w:rsidR="00BE7698">
        <w:rPr>
          <w:i/>
          <w:sz w:val="18"/>
          <w:szCs w:val="18"/>
        </w:rPr>
        <w:t>exhibit</w:t>
      </w:r>
      <w:r w:rsidR="008F0919">
        <w:rPr>
          <w:i/>
          <w:sz w:val="18"/>
          <w:szCs w:val="18"/>
        </w:rPr>
        <w:t xml:space="preserve">. </w:t>
      </w:r>
    </w:p>
    <w:p w14:paraId="5BA81398" w14:textId="77777777" w:rsidR="00C83538" w:rsidRPr="00C83538" w:rsidRDefault="00C83538" w:rsidP="00C83538">
      <w:r w:rsidRPr="00955C6C">
        <w:t>Looking acr</w:t>
      </w:r>
      <w:r w:rsidR="00B76926" w:rsidRPr="00955C6C">
        <w:t xml:space="preserve">oss the information in </w:t>
      </w:r>
      <w:r w:rsidR="00AE63DD" w:rsidRPr="00955C6C">
        <w:t xml:space="preserve">Exhibit </w:t>
      </w:r>
      <w:r w:rsidR="006F7241">
        <w:t>5</w:t>
      </w:r>
      <w:r w:rsidR="00AE63DD" w:rsidRPr="00955C6C">
        <w:t>-</w:t>
      </w:r>
      <w:r w:rsidR="00A05906">
        <w:t>21</w:t>
      </w:r>
      <w:r w:rsidRPr="00955C6C">
        <w:t xml:space="preserve">, the largest discrepancy in median salary across the facilities was in the JRCA job classification. </w:t>
      </w:r>
      <w:r w:rsidR="00D70EFE">
        <w:t>T</w:t>
      </w:r>
      <w:r w:rsidRPr="00955C6C">
        <w:t xml:space="preserve">he community facilities have </w:t>
      </w:r>
      <w:r w:rsidR="00955C6C">
        <w:t xml:space="preserve">the </w:t>
      </w:r>
      <w:r w:rsidRPr="00955C6C">
        <w:t>highest paid JRCAs and the median salar</w:t>
      </w:r>
      <w:r w:rsidR="009C044E" w:rsidRPr="00955C6C">
        <w:t>y for these staff members is 19</w:t>
      </w:r>
      <w:r w:rsidR="004962BA" w:rsidRPr="00955C6C">
        <w:t xml:space="preserve">% </w:t>
      </w:r>
      <w:r w:rsidR="009C044E" w:rsidRPr="00955C6C">
        <w:t>and 17</w:t>
      </w:r>
      <w:r w:rsidR="004962BA" w:rsidRPr="00955C6C">
        <w:t xml:space="preserve">% </w:t>
      </w:r>
      <w:r w:rsidRPr="00955C6C">
        <w:t>greater than JRCAs at Echo Glen and Green Hill, respectively. Naselle also has a significantly higher median salary for JRCAs than Echo Glen and Green Hill, which may be a fairer comparison as all three are institutions.</w:t>
      </w:r>
      <w:r w:rsidRPr="00C83538">
        <w:t xml:space="preserve"> </w:t>
      </w:r>
    </w:p>
    <w:p w14:paraId="5A04916C" w14:textId="77777777" w:rsidR="00C83538" w:rsidRPr="00C83538" w:rsidRDefault="00C83538" w:rsidP="00C83538">
      <w:r w:rsidRPr="00C83538">
        <w:t>Median salaries</w:t>
      </w:r>
      <w:r w:rsidR="00FF29BA">
        <w:t xml:space="preserve"> </w:t>
      </w:r>
      <w:r w:rsidRPr="00C83538">
        <w:t xml:space="preserve">were </w:t>
      </w:r>
      <w:r w:rsidR="00FF29BA">
        <w:t xml:space="preserve">more </w:t>
      </w:r>
      <w:r w:rsidRPr="00C83538">
        <w:t>consistent across the facilities for all other job classifications.</w:t>
      </w:r>
      <w:r w:rsidR="00FF29BA">
        <w:t xml:space="preserve"> Much of the variation between the facilities results from the tenure of staff in each job classification. There is no data to suggest pay inequity across the facilities, at least in nominal (not adjusted for cost of living) dollars. </w:t>
      </w:r>
    </w:p>
    <w:p w14:paraId="7C4BC8F4" w14:textId="77777777" w:rsidR="00C83538" w:rsidRPr="00C32C1A" w:rsidRDefault="00C83538" w:rsidP="00A51B6F">
      <w:pPr>
        <w:pStyle w:val="Heading3"/>
        <w:numPr>
          <w:ilvl w:val="2"/>
          <w:numId w:val="18"/>
        </w:numPr>
        <w:ind w:left="720"/>
      </w:pPr>
      <w:bookmarkStart w:id="70" w:name="_Toc531597511"/>
      <w:r w:rsidRPr="00C32C1A">
        <w:t>Adjustments for Cost of Living</w:t>
      </w:r>
      <w:bookmarkEnd w:id="70"/>
      <w:r w:rsidRPr="00C32C1A">
        <w:t xml:space="preserve"> </w:t>
      </w:r>
    </w:p>
    <w:p w14:paraId="026927FD" w14:textId="77777777" w:rsidR="00C83538" w:rsidRPr="00C83538" w:rsidRDefault="00C83538" w:rsidP="00C83538">
      <w:r w:rsidRPr="00C83538">
        <w:t>To understand the differences in salaries in real dollars, we</w:t>
      </w:r>
      <w:r w:rsidR="00955C6C">
        <w:t xml:space="preserve"> </w:t>
      </w:r>
      <w:r w:rsidRPr="00C83538">
        <w:t xml:space="preserve">adjusted the </w:t>
      </w:r>
      <w:r w:rsidR="00955C6C">
        <w:t xml:space="preserve">salary </w:t>
      </w:r>
      <w:r w:rsidRPr="00C83538">
        <w:t>data to account for the cost of living in various parts of Washington State. We initially conducted this analysis with the Regional Price Parities (RPP), produced by the U.S. Bureau of Economic Analysis. The RPPs “measure the differences in price levels across states and metropolitan areas for a given year and are expressed as a percentage of the overall national price level…RPPs cover all consumption goods and services, including rents.</w:t>
      </w:r>
      <w:r w:rsidR="00955C6C">
        <w:t>”</w:t>
      </w:r>
      <w:r w:rsidRPr="00C83538">
        <w:rPr>
          <w:vertAlign w:val="superscript"/>
        </w:rPr>
        <w:footnoteReference w:id="94"/>
      </w:r>
      <w:r w:rsidRPr="00C83538">
        <w:t xml:space="preserve"> However, the most current RPPs reflect 2016 prices and, based on </w:t>
      </w:r>
      <w:r w:rsidR="00694186">
        <w:t>discussions</w:t>
      </w:r>
      <w:r w:rsidR="00694186" w:rsidRPr="00C83538">
        <w:t xml:space="preserve"> </w:t>
      </w:r>
      <w:r w:rsidRPr="00C83538">
        <w:t>with JR, we felt</w:t>
      </w:r>
      <w:r w:rsidR="00694186" w:rsidRPr="00C83538">
        <w:t xml:space="preserve"> </w:t>
      </w:r>
      <w:r w:rsidRPr="00C83538">
        <w:t xml:space="preserve">they did not accurately capture the true cost of living in the King County area. </w:t>
      </w:r>
    </w:p>
    <w:p w14:paraId="172FC564" w14:textId="77777777" w:rsidR="00C83538" w:rsidRPr="00C83538" w:rsidRDefault="00C83538" w:rsidP="00C83538">
      <w:r w:rsidRPr="00C83538">
        <w:t xml:space="preserve">In lieu of the RPPs, we used cost of living data from the National Cost of Living Index (COLI), which is produced by the Council for Community and Economic Research (C2ER), a leading non-profit organization that conducts national, state, and local-level labor market analysis. The COLI provides cost of living estimates for local areas based on </w:t>
      </w:r>
      <w:r w:rsidR="00073E9C">
        <w:t>factors,</w:t>
      </w:r>
      <w:r w:rsidR="00694186" w:rsidRPr="00C83538">
        <w:t xml:space="preserve"> </w:t>
      </w:r>
      <w:r w:rsidRPr="00C83538">
        <w:t>includ</w:t>
      </w:r>
      <w:r w:rsidR="00694186">
        <w:t>ing</w:t>
      </w:r>
      <w:r w:rsidRPr="00C83538">
        <w:t xml:space="preserve"> housing, groceries, utilities, transportation and health care. </w:t>
      </w:r>
    </w:p>
    <w:p w14:paraId="1EB454D0" w14:textId="77777777" w:rsidR="00C83538" w:rsidRPr="00C83538" w:rsidRDefault="00C83538" w:rsidP="00C83538">
      <w:r w:rsidRPr="00C83538">
        <w:lastRenderedPageBreak/>
        <w:t xml:space="preserve">For Washington, the COLI includes individual adjustment factors </w:t>
      </w:r>
      <w:r w:rsidR="00FF29BA">
        <w:t xml:space="preserve">for </w:t>
      </w:r>
      <w:r w:rsidRPr="00C83538">
        <w:t xml:space="preserve">Moses Lake, Olympia, Richland, Seattle, Tacoma, and Yakima. The factors are expressed relative to the national average of 100%. For example, </w:t>
      </w:r>
      <w:r w:rsidR="00955C6C">
        <w:t xml:space="preserve">the </w:t>
      </w:r>
      <w:r w:rsidRPr="00C83538">
        <w:t>Seattle composite index is 148.8, indicating that the costs of living in Seattle are 48.8</w:t>
      </w:r>
      <w:r w:rsidR="004962BA">
        <w:t xml:space="preserve">% </w:t>
      </w:r>
      <w:r w:rsidRPr="00C83538">
        <w:t xml:space="preserve">greater than </w:t>
      </w:r>
      <w:r w:rsidR="00955C6C">
        <w:t xml:space="preserve">the costs of </w:t>
      </w:r>
      <w:r w:rsidRPr="00C83538">
        <w:t xml:space="preserve">living in the </w:t>
      </w:r>
      <w:r w:rsidR="00955C6C">
        <w:t>“</w:t>
      </w:r>
      <w:r w:rsidRPr="00C83538">
        <w:t>average</w:t>
      </w:r>
      <w:r w:rsidR="00955C6C">
        <w:t>” American</w:t>
      </w:r>
      <w:r w:rsidRPr="00C83538">
        <w:t xml:space="preserve"> city. Similarly, the composite number for Yakima is 93.8, indicat</w:t>
      </w:r>
      <w:r w:rsidR="00955C6C">
        <w:t>ing</w:t>
      </w:r>
      <w:r w:rsidR="00694186" w:rsidRPr="00C83538">
        <w:t xml:space="preserve"> </w:t>
      </w:r>
      <w:r w:rsidRPr="00C83538">
        <w:t>its cost of living is 6.2</w:t>
      </w:r>
      <w:r w:rsidR="004962BA">
        <w:t xml:space="preserve">% </w:t>
      </w:r>
      <w:r w:rsidRPr="00C83538">
        <w:t xml:space="preserve">less than the average American city. The factors used for this analysis represent the cost of living during </w:t>
      </w:r>
      <w:r w:rsidR="00224CD0">
        <w:t>the first quarter of</w:t>
      </w:r>
      <w:r w:rsidRPr="00C83538">
        <w:t xml:space="preserve"> 2018.</w:t>
      </w:r>
    </w:p>
    <w:p w14:paraId="072684FC" w14:textId="77777777" w:rsidR="00C83538" w:rsidRPr="00C83538" w:rsidRDefault="00AE63DD" w:rsidP="00C83538">
      <w:r w:rsidRPr="00955C6C">
        <w:t xml:space="preserve">Exhibit </w:t>
      </w:r>
      <w:r w:rsidR="006F7241">
        <w:t>5</w:t>
      </w:r>
      <w:r w:rsidRPr="00955C6C">
        <w:t>-</w:t>
      </w:r>
      <w:r w:rsidR="00A05906">
        <w:t>22</w:t>
      </w:r>
      <w:r w:rsidR="00A05906" w:rsidRPr="00955C6C">
        <w:t xml:space="preserve"> </w:t>
      </w:r>
      <w:r w:rsidR="00B76926" w:rsidRPr="00955C6C">
        <w:t>provides</w:t>
      </w:r>
      <w:r w:rsidR="00C83538" w:rsidRPr="00955C6C">
        <w:t xml:space="preserve"> the median salaries for each job classification, adjusted for the cost of living using the COLI.</w:t>
      </w:r>
      <w:r w:rsidR="00C83538" w:rsidRPr="00C83538">
        <w:t xml:space="preserve"> </w:t>
      </w:r>
    </w:p>
    <w:p w14:paraId="6BC86DB8" w14:textId="77777777" w:rsidR="00C83538" w:rsidRPr="00B76926" w:rsidRDefault="00AE63DD" w:rsidP="00B76926">
      <w:pPr>
        <w:pStyle w:val="Caption"/>
      </w:pPr>
      <w:bookmarkStart w:id="71" w:name="_Hlk521344847"/>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A05906">
        <w:rPr>
          <w:noProof/>
        </w:rPr>
        <w:t>22</w:t>
      </w:r>
      <w:r w:rsidR="00E251C1">
        <w:t>.</w:t>
      </w:r>
      <w:r w:rsidR="00081010">
        <w:t xml:space="preserve"> </w:t>
      </w:r>
      <w:r w:rsidR="00B76926">
        <w:t xml:space="preserve">Median Salaries Adjusted for Cost of Living in Metropolitan Statistical Area </w:t>
      </w:r>
    </w:p>
    <w:tbl>
      <w:tblPr>
        <w:tblStyle w:val="HyzerTable"/>
        <w:tblW w:w="5000" w:type="pct"/>
        <w:tblLook w:val="04A0" w:firstRow="1" w:lastRow="0" w:firstColumn="1" w:lastColumn="0" w:noHBand="0" w:noVBand="1"/>
      </w:tblPr>
      <w:tblGrid>
        <w:gridCol w:w="1260"/>
        <w:gridCol w:w="1273"/>
        <w:gridCol w:w="857"/>
        <w:gridCol w:w="1990"/>
        <w:gridCol w:w="1990"/>
        <w:gridCol w:w="1990"/>
      </w:tblGrid>
      <w:tr w:rsidR="000E297A" w:rsidRPr="00C83538" w14:paraId="16ECDFA9" w14:textId="77777777" w:rsidTr="000E297A">
        <w:trPr>
          <w:cnfStyle w:val="100000000000" w:firstRow="1" w:lastRow="0" w:firstColumn="0" w:lastColumn="0" w:oddVBand="0" w:evenVBand="0" w:oddHBand="0" w:evenHBand="0" w:firstRowFirstColumn="0" w:firstRowLastColumn="0" w:lastRowFirstColumn="0" w:lastRowLastColumn="0"/>
          <w:tblHeader/>
        </w:trPr>
        <w:tc>
          <w:tcPr>
            <w:tcW w:w="673" w:type="pct"/>
          </w:tcPr>
          <w:p w14:paraId="03261233" w14:textId="77777777" w:rsidR="000E297A" w:rsidRPr="00C83538" w:rsidRDefault="000E297A" w:rsidP="000E297A">
            <w:pPr>
              <w:spacing w:before="40" w:after="40"/>
              <w:jc w:val="center"/>
              <w:rPr>
                <w:rFonts w:ascii="Arial Narrow" w:hAnsi="Arial Narrow" w:cs="Arial"/>
                <w:b/>
                <w:color w:val="FFFFFF"/>
                <w:sz w:val="22"/>
              </w:rPr>
            </w:pPr>
            <w:bookmarkStart w:id="72" w:name="_Hlk521248798"/>
            <w:r w:rsidRPr="1FF1B213">
              <w:rPr>
                <w:rFonts w:ascii="Arial Narrow" w:eastAsia="Arial Narrow" w:hAnsi="Arial Narrow" w:cs="Arial Narrow"/>
                <w:b/>
                <w:color w:val="FFFFFF" w:themeColor="background1"/>
                <w:sz w:val="22"/>
                <w:szCs w:val="22"/>
              </w:rPr>
              <w:t>Location</w:t>
            </w:r>
          </w:p>
        </w:tc>
        <w:tc>
          <w:tcPr>
            <w:tcW w:w="680" w:type="pct"/>
          </w:tcPr>
          <w:p w14:paraId="6694E6CC" w14:textId="77777777" w:rsidR="000E297A" w:rsidRPr="00C83538" w:rsidRDefault="000E297A" w:rsidP="000E297A">
            <w:pPr>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Facilities </w:t>
            </w:r>
          </w:p>
        </w:tc>
        <w:tc>
          <w:tcPr>
            <w:tcW w:w="458" w:type="pct"/>
          </w:tcPr>
          <w:p w14:paraId="796709C2" w14:textId="77777777" w:rsidR="000E297A" w:rsidRPr="00C83538" w:rsidRDefault="000E297A" w:rsidP="000E297A">
            <w:pPr>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COLI </w:t>
            </w:r>
          </w:p>
        </w:tc>
        <w:tc>
          <w:tcPr>
            <w:tcW w:w="1063" w:type="pct"/>
          </w:tcPr>
          <w:p w14:paraId="00EE4CAB" w14:textId="77777777" w:rsidR="000E297A" w:rsidRPr="1FF1B213" w:rsidRDefault="000E297A" w:rsidP="000E297A">
            <w:pPr>
              <w:spacing w:before="40" w:after="40"/>
              <w:jc w:val="center"/>
              <w:rPr>
                <w:rFonts w:ascii="Arial Narrow" w:eastAsia="Arial Narrow" w:hAnsi="Arial Narrow" w:cs="Arial Narrow"/>
                <w:b/>
                <w:color w:val="FFFFFF" w:themeColor="background1"/>
                <w:sz w:val="22"/>
                <w:szCs w:val="22"/>
              </w:rPr>
            </w:pPr>
            <w:r w:rsidRPr="1FF1B213">
              <w:rPr>
                <w:rFonts w:ascii="Arial Narrow" w:eastAsia="Arial Narrow" w:hAnsi="Arial Narrow" w:cs="Arial Narrow"/>
                <w:b/>
                <w:color w:val="FFFFFF" w:themeColor="background1"/>
                <w:sz w:val="22"/>
                <w:szCs w:val="22"/>
              </w:rPr>
              <w:t>JRSO</w:t>
            </w:r>
            <w:r w:rsidR="00224CD0">
              <w:rPr>
                <w:rFonts w:ascii="Arial Narrow" w:eastAsia="Arial Narrow" w:hAnsi="Arial Narrow" w:cs="Arial Narrow"/>
                <w:b/>
                <w:color w:val="FFFFFF" w:themeColor="background1"/>
                <w:sz w:val="22"/>
                <w:szCs w:val="22"/>
              </w:rPr>
              <w:t xml:space="preserve"> </w:t>
            </w:r>
            <w:r w:rsidRPr="1FF1B213">
              <w:rPr>
                <w:rFonts w:ascii="Arial Narrow" w:eastAsia="Arial Narrow" w:hAnsi="Arial Narrow" w:cs="Arial Narrow"/>
                <w:b/>
                <w:color w:val="FFFFFF" w:themeColor="background1"/>
                <w:sz w:val="22"/>
                <w:szCs w:val="22"/>
              </w:rPr>
              <w:t>1</w:t>
            </w:r>
          </w:p>
        </w:tc>
        <w:tc>
          <w:tcPr>
            <w:tcW w:w="1063" w:type="pct"/>
          </w:tcPr>
          <w:p w14:paraId="50FFF2E5" w14:textId="77777777" w:rsidR="000E297A" w:rsidRPr="00C83538" w:rsidRDefault="000E297A" w:rsidP="000E297A">
            <w:pPr>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JRCA</w:t>
            </w:r>
          </w:p>
        </w:tc>
        <w:tc>
          <w:tcPr>
            <w:tcW w:w="1063" w:type="pct"/>
          </w:tcPr>
          <w:p w14:paraId="06160C92" w14:textId="77777777" w:rsidR="000E297A" w:rsidRPr="00C83538" w:rsidRDefault="000E297A" w:rsidP="000E297A">
            <w:pPr>
              <w:spacing w:before="40" w:after="4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JRRC</w:t>
            </w:r>
          </w:p>
        </w:tc>
      </w:tr>
      <w:tr w:rsidR="000E297A" w:rsidRPr="00C83538" w14:paraId="235E7C78" w14:textId="77777777" w:rsidTr="000E297A">
        <w:trPr>
          <w:cnfStyle w:val="000000100000" w:firstRow="0" w:lastRow="0" w:firstColumn="0" w:lastColumn="0" w:oddVBand="0" w:evenVBand="0" w:oddHBand="1" w:evenHBand="0" w:firstRowFirstColumn="0" w:firstRowLastColumn="0" w:lastRowFirstColumn="0" w:lastRowLastColumn="0"/>
        </w:trPr>
        <w:tc>
          <w:tcPr>
            <w:tcW w:w="673" w:type="pct"/>
            <w:vAlign w:val="center"/>
          </w:tcPr>
          <w:p w14:paraId="184D06BA"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Seattle</w:t>
            </w:r>
          </w:p>
        </w:tc>
        <w:tc>
          <w:tcPr>
            <w:tcW w:w="680" w:type="pct"/>
            <w:vAlign w:val="center"/>
          </w:tcPr>
          <w:p w14:paraId="5E07C71D"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Echo Glen and Woodinville</w:t>
            </w:r>
          </w:p>
        </w:tc>
        <w:tc>
          <w:tcPr>
            <w:tcW w:w="458" w:type="pct"/>
            <w:vAlign w:val="center"/>
          </w:tcPr>
          <w:p w14:paraId="6B6E908E"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148.8</w:t>
            </w:r>
          </w:p>
        </w:tc>
        <w:tc>
          <w:tcPr>
            <w:tcW w:w="1063" w:type="pct"/>
            <w:vAlign w:val="center"/>
          </w:tcPr>
          <w:p w14:paraId="0BAC7C71"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$27,033</w:t>
            </w:r>
          </w:p>
        </w:tc>
        <w:tc>
          <w:tcPr>
            <w:tcW w:w="1063" w:type="pct"/>
            <w:vAlign w:val="center"/>
          </w:tcPr>
          <w:p w14:paraId="732EC168" w14:textId="77777777" w:rsidR="000E297A" w:rsidRPr="00955C6C" w:rsidRDefault="000E297A" w:rsidP="000E297A">
            <w:pPr>
              <w:spacing w:before="40" w:after="40"/>
              <w:jc w:val="center"/>
              <w:rPr>
                <w:rFonts w:ascii="Arial Narrow" w:hAnsi="Arial Narrow"/>
                <w:color w:val="FF0000"/>
                <w:sz w:val="20"/>
                <w:szCs w:val="20"/>
              </w:rPr>
            </w:pPr>
            <w:r w:rsidRPr="00C83538">
              <w:rPr>
                <w:rFonts w:ascii="Arial Narrow" w:hAnsi="Arial Narrow"/>
                <w:sz w:val="20"/>
                <w:szCs w:val="20"/>
              </w:rPr>
              <w:t>$26,731</w:t>
            </w:r>
          </w:p>
        </w:tc>
        <w:tc>
          <w:tcPr>
            <w:tcW w:w="1063" w:type="pct"/>
            <w:vAlign w:val="center"/>
          </w:tcPr>
          <w:p w14:paraId="63BEA21F" w14:textId="77777777" w:rsidR="000E297A" w:rsidRPr="00955C6C" w:rsidRDefault="000E297A" w:rsidP="000E297A">
            <w:pPr>
              <w:spacing w:before="40" w:after="40"/>
              <w:jc w:val="center"/>
              <w:rPr>
                <w:rFonts w:ascii="Arial Narrow" w:hAnsi="Arial Narrow"/>
                <w:color w:val="FF0000"/>
                <w:sz w:val="20"/>
                <w:szCs w:val="20"/>
              </w:rPr>
            </w:pPr>
            <w:r w:rsidRPr="00C83538">
              <w:rPr>
                <w:rFonts w:ascii="Arial Narrow" w:hAnsi="Arial Narrow"/>
                <w:sz w:val="20"/>
                <w:szCs w:val="20"/>
              </w:rPr>
              <w:t>$34,783</w:t>
            </w:r>
          </w:p>
        </w:tc>
      </w:tr>
      <w:tr w:rsidR="000E297A" w:rsidRPr="00C83538" w14:paraId="00B42DC4" w14:textId="77777777" w:rsidTr="000E297A">
        <w:tc>
          <w:tcPr>
            <w:tcW w:w="673" w:type="pct"/>
            <w:vAlign w:val="center"/>
          </w:tcPr>
          <w:p w14:paraId="7AD9CF12"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Tacoma</w:t>
            </w:r>
          </w:p>
        </w:tc>
        <w:tc>
          <w:tcPr>
            <w:tcW w:w="680" w:type="pct"/>
            <w:vAlign w:val="center"/>
          </w:tcPr>
          <w:p w14:paraId="10E9F0AF"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 xml:space="preserve">Oakridge </w:t>
            </w:r>
          </w:p>
        </w:tc>
        <w:tc>
          <w:tcPr>
            <w:tcW w:w="458" w:type="pct"/>
            <w:vAlign w:val="center"/>
          </w:tcPr>
          <w:p w14:paraId="79C328E3"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108.2</w:t>
            </w:r>
          </w:p>
        </w:tc>
        <w:tc>
          <w:tcPr>
            <w:tcW w:w="1063" w:type="pct"/>
            <w:vAlign w:val="center"/>
          </w:tcPr>
          <w:p w14:paraId="4F0478F6"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$33,260</w:t>
            </w:r>
          </w:p>
        </w:tc>
        <w:tc>
          <w:tcPr>
            <w:tcW w:w="1063" w:type="pct"/>
            <w:vAlign w:val="center"/>
          </w:tcPr>
          <w:p w14:paraId="79A14FCD"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$39,638</w:t>
            </w:r>
          </w:p>
        </w:tc>
        <w:tc>
          <w:tcPr>
            <w:tcW w:w="1063" w:type="pct"/>
            <w:vAlign w:val="center"/>
          </w:tcPr>
          <w:p w14:paraId="3C7F74E4"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$48,896</w:t>
            </w:r>
          </w:p>
        </w:tc>
      </w:tr>
      <w:tr w:rsidR="000E297A" w:rsidRPr="00C83538" w14:paraId="652BAA8A" w14:textId="77777777" w:rsidTr="000E297A">
        <w:trPr>
          <w:cnfStyle w:val="000000100000" w:firstRow="0" w:lastRow="0" w:firstColumn="0" w:lastColumn="0" w:oddVBand="0" w:evenVBand="0" w:oddHBand="1" w:evenHBand="0" w:firstRowFirstColumn="0" w:firstRowLastColumn="0" w:lastRowFirstColumn="0" w:lastRowLastColumn="0"/>
        </w:trPr>
        <w:tc>
          <w:tcPr>
            <w:tcW w:w="673" w:type="pct"/>
            <w:vAlign w:val="center"/>
          </w:tcPr>
          <w:p w14:paraId="1B4C7100"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 xml:space="preserve">Olympia </w:t>
            </w:r>
          </w:p>
        </w:tc>
        <w:tc>
          <w:tcPr>
            <w:tcW w:w="680" w:type="pct"/>
            <w:vAlign w:val="center"/>
          </w:tcPr>
          <w:p w14:paraId="5E97DAB3"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Green Hill, Touchstone</w:t>
            </w:r>
          </w:p>
        </w:tc>
        <w:tc>
          <w:tcPr>
            <w:tcW w:w="458" w:type="pct"/>
            <w:vAlign w:val="center"/>
          </w:tcPr>
          <w:p w14:paraId="02ADF83C"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103.8</w:t>
            </w:r>
          </w:p>
        </w:tc>
        <w:tc>
          <w:tcPr>
            <w:tcW w:w="1063" w:type="pct"/>
            <w:vAlign w:val="center"/>
          </w:tcPr>
          <w:p w14:paraId="6718C081"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$38,192</w:t>
            </w:r>
          </w:p>
        </w:tc>
        <w:tc>
          <w:tcPr>
            <w:tcW w:w="1063" w:type="pct"/>
            <w:vAlign w:val="center"/>
          </w:tcPr>
          <w:p w14:paraId="3B9E033C"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$40,140</w:t>
            </w:r>
          </w:p>
        </w:tc>
        <w:tc>
          <w:tcPr>
            <w:tcW w:w="1063" w:type="pct"/>
            <w:vAlign w:val="center"/>
          </w:tcPr>
          <w:p w14:paraId="37EEF4A2"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$48,804</w:t>
            </w:r>
          </w:p>
        </w:tc>
      </w:tr>
      <w:tr w:rsidR="000E297A" w:rsidRPr="00C83538" w14:paraId="76EDEADA" w14:textId="77777777" w:rsidTr="000E297A">
        <w:tc>
          <w:tcPr>
            <w:tcW w:w="673" w:type="pct"/>
            <w:vAlign w:val="center"/>
          </w:tcPr>
          <w:p w14:paraId="573A591B"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Kennewick-Richland</w:t>
            </w:r>
          </w:p>
        </w:tc>
        <w:tc>
          <w:tcPr>
            <w:tcW w:w="680" w:type="pct"/>
            <w:vAlign w:val="center"/>
          </w:tcPr>
          <w:p w14:paraId="74794D01"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Twin Rivers</w:t>
            </w:r>
          </w:p>
        </w:tc>
        <w:tc>
          <w:tcPr>
            <w:tcW w:w="458" w:type="pct"/>
            <w:vAlign w:val="center"/>
          </w:tcPr>
          <w:p w14:paraId="6C8C044A"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96.8</w:t>
            </w:r>
          </w:p>
        </w:tc>
        <w:tc>
          <w:tcPr>
            <w:tcW w:w="1063" w:type="pct"/>
            <w:vAlign w:val="center"/>
          </w:tcPr>
          <w:p w14:paraId="528D7E7F"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$37,940</w:t>
            </w:r>
          </w:p>
        </w:tc>
        <w:tc>
          <w:tcPr>
            <w:tcW w:w="1063" w:type="pct"/>
            <w:vAlign w:val="center"/>
          </w:tcPr>
          <w:p w14:paraId="193AB278"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$38,715</w:t>
            </w:r>
          </w:p>
        </w:tc>
        <w:tc>
          <w:tcPr>
            <w:tcW w:w="1063" w:type="pct"/>
            <w:vAlign w:val="center"/>
          </w:tcPr>
          <w:p w14:paraId="7BDD6162"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$56,947</w:t>
            </w:r>
          </w:p>
        </w:tc>
      </w:tr>
      <w:tr w:rsidR="000E297A" w:rsidRPr="00C83538" w14:paraId="7EB20940" w14:textId="77777777" w:rsidTr="000E297A">
        <w:trPr>
          <w:cnfStyle w:val="000000100000" w:firstRow="0" w:lastRow="0" w:firstColumn="0" w:lastColumn="0" w:oddVBand="0" w:evenVBand="0" w:oddHBand="1" w:evenHBand="0" w:firstRowFirstColumn="0" w:firstRowLastColumn="0" w:lastRowFirstColumn="0" w:lastRowLastColumn="0"/>
        </w:trPr>
        <w:tc>
          <w:tcPr>
            <w:tcW w:w="673" w:type="pct"/>
            <w:vAlign w:val="center"/>
          </w:tcPr>
          <w:p w14:paraId="2057AFF3"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Yakima</w:t>
            </w:r>
          </w:p>
        </w:tc>
        <w:tc>
          <w:tcPr>
            <w:tcW w:w="680" w:type="pct"/>
            <w:vAlign w:val="center"/>
          </w:tcPr>
          <w:p w14:paraId="5F05AF67"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 xml:space="preserve">Ridgeview, Parke Creek </w:t>
            </w:r>
          </w:p>
        </w:tc>
        <w:tc>
          <w:tcPr>
            <w:tcW w:w="458" w:type="pct"/>
            <w:vAlign w:val="center"/>
          </w:tcPr>
          <w:p w14:paraId="7826F01C" w14:textId="77777777" w:rsidR="000E297A" w:rsidRPr="00C83538" w:rsidRDefault="000E297A" w:rsidP="000E297A">
            <w:pPr>
              <w:spacing w:before="40" w:after="40"/>
              <w:jc w:val="center"/>
              <w:rPr>
                <w:rFonts w:ascii="Arial Narrow" w:hAnsi="Arial Narrow"/>
                <w:sz w:val="20"/>
                <w:szCs w:val="20"/>
              </w:rPr>
            </w:pPr>
            <w:r>
              <w:rPr>
                <w:rFonts w:ascii="Arial Narrow" w:hAnsi="Arial Narrow"/>
                <w:sz w:val="20"/>
                <w:szCs w:val="20"/>
              </w:rPr>
              <w:t>93.8</w:t>
            </w:r>
          </w:p>
        </w:tc>
        <w:tc>
          <w:tcPr>
            <w:tcW w:w="1063" w:type="pct"/>
            <w:vAlign w:val="center"/>
          </w:tcPr>
          <w:p w14:paraId="08D65F61"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$38,891</w:t>
            </w:r>
          </w:p>
        </w:tc>
        <w:tc>
          <w:tcPr>
            <w:tcW w:w="1063" w:type="pct"/>
            <w:vAlign w:val="center"/>
          </w:tcPr>
          <w:p w14:paraId="2315D3CC"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$44,806</w:t>
            </w:r>
          </w:p>
        </w:tc>
        <w:tc>
          <w:tcPr>
            <w:tcW w:w="1063" w:type="pct"/>
            <w:vAlign w:val="center"/>
          </w:tcPr>
          <w:p w14:paraId="176AFE7F"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$52,200</w:t>
            </w:r>
          </w:p>
        </w:tc>
      </w:tr>
      <w:tr w:rsidR="000E297A" w:rsidRPr="00C83538" w14:paraId="0F6148DA" w14:textId="77777777" w:rsidTr="000E297A">
        <w:tc>
          <w:tcPr>
            <w:tcW w:w="673" w:type="pct"/>
            <w:vAlign w:val="center"/>
          </w:tcPr>
          <w:p w14:paraId="0F19E885"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 xml:space="preserve">Moses Lake </w:t>
            </w:r>
          </w:p>
        </w:tc>
        <w:tc>
          <w:tcPr>
            <w:tcW w:w="680" w:type="pct"/>
            <w:vAlign w:val="center"/>
          </w:tcPr>
          <w:p w14:paraId="6FF9EAFD"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 xml:space="preserve">Canyon View, Sunrise </w:t>
            </w:r>
          </w:p>
        </w:tc>
        <w:tc>
          <w:tcPr>
            <w:tcW w:w="458" w:type="pct"/>
            <w:vAlign w:val="center"/>
          </w:tcPr>
          <w:p w14:paraId="61B8E059"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95.2</w:t>
            </w:r>
          </w:p>
        </w:tc>
        <w:tc>
          <w:tcPr>
            <w:tcW w:w="1063" w:type="pct"/>
            <w:vAlign w:val="center"/>
          </w:tcPr>
          <w:p w14:paraId="0C839AAA"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$41,303</w:t>
            </w:r>
          </w:p>
        </w:tc>
        <w:tc>
          <w:tcPr>
            <w:tcW w:w="1063" w:type="pct"/>
            <w:vAlign w:val="center"/>
          </w:tcPr>
          <w:p w14:paraId="2FD1278D"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$49,619</w:t>
            </w:r>
          </w:p>
        </w:tc>
        <w:tc>
          <w:tcPr>
            <w:tcW w:w="1063" w:type="pct"/>
            <w:vAlign w:val="center"/>
          </w:tcPr>
          <w:p w14:paraId="05E7241E"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$54,199</w:t>
            </w:r>
          </w:p>
        </w:tc>
      </w:tr>
      <w:tr w:rsidR="000E297A" w:rsidRPr="00C83538" w14:paraId="5EA7DDBE" w14:textId="77777777" w:rsidTr="000E297A">
        <w:trPr>
          <w:cnfStyle w:val="000000100000" w:firstRow="0" w:lastRow="0" w:firstColumn="0" w:lastColumn="0" w:oddVBand="0" w:evenVBand="0" w:oddHBand="1" w:evenHBand="0" w:firstRowFirstColumn="0" w:firstRowLastColumn="0" w:lastRowFirstColumn="0" w:lastRowLastColumn="0"/>
        </w:trPr>
        <w:tc>
          <w:tcPr>
            <w:tcW w:w="673" w:type="pct"/>
            <w:vAlign w:val="center"/>
          </w:tcPr>
          <w:p w14:paraId="22347E48" w14:textId="77777777" w:rsidR="000E297A" w:rsidRPr="00C83538" w:rsidRDefault="000E297A" w:rsidP="000E297A">
            <w:pPr>
              <w:spacing w:before="40" w:after="40"/>
              <w:rPr>
                <w:rFonts w:ascii="Arial Narrow" w:hAnsi="Arial Narrow"/>
                <w:sz w:val="20"/>
                <w:szCs w:val="20"/>
              </w:rPr>
            </w:pPr>
            <w:r w:rsidRPr="00C83538">
              <w:rPr>
                <w:rFonts w:ascii="Arial Narrow" w:hAnsi="Arial Narrow"/>
                <w:sz w:val="20"/>
                <w:szCs w:val="20"/>
              </w:rPr>
              <w:t>Not within a COLI adjusted area)</w:t>
            </w:r>
          </w:p>
        </w:tc>
        <w:tc>
          <w:tcPr>
            <w:tcW w:w="680" w:type="pct"/>
            <w:vAlign w:val="center"/>
          </w:tcPr>
          <w:p w14:paraId="52DD54A4"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 xml:space="preserve">Naselle </w:t>
            </w:r>
          </w:p>
        </w:tc>
        <w:tc>
          <w:tcPr>
            <w:tcW w:w="458" w:type="pct"/>
            <w:vAlign w:val="center"/>
          </w:tcPr>
          <w:p w14:paraId="1004F22B"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100.0</w:t>
            </w:r>
          </w:p>
        </w:tc>
        <w:tc>
          <w:tcPr>
            <w:tcW w:w="1063" w:type="pct"/>
            <w:vAlign w:val="center"/>
          </w:tcPr>
          <w:p w14:paraId="28CB2640"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$37,545</w:t>
            </w:r>
          </w:p>
        </w:tc>
        <w:tc>
          <w:tcPr>
            <w:tcW w:w="1063" w:type="pct"/>
            <w:vAlign w:val="center"/>
          </w:tcPr>
          <w:p w14:paraId="14873BCC"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$42,666</w:t>
            </w:r>
          </w:p>
        </w:tc>
        <w:tc>
          <w:tcPr>
            <w:tcW w:w="1063" w:type="pct"/>
            <w:vAlign w:val="center"/>
          </w:tcPr>
          <w:p w14:paraId="230DACB8" w14:textId="77777777" w:rsidR="000E297A" w:rsidRPr="00C83538" w:rsidRDefault="000E297A" w:rsidP="000E297A">
            <w:pPr>
              <w:spacing w:before="40" w:after="40"/>
              <w:jc w:val="center"/>
              <w:rPr>
                <w:rFonts w:ascii="Arial Narrow" w:hAnsi="Arial Narrow"/>
                <w:sz w:val="20"/>
                <w:szCs w:val="20"/>
              </w:rPr>
            </w:pPr>
            <w:r w:rsidRPr="00C83538">
              <w:rPr>
                <w:rFonts w:ascii="Arial Narrow" w:hAnsi="Arial Narrow"/>
                <w:sz w:val="20"/>
                <w:szCs w:val="20"/>
              </w:rPr>
              <w:t>$50,581</w:t>
            </w:r>
          </w:p>
        </w:tc>
      </w:tr>
    </w:tbl>
    <w:bookmarkEnd w:id="71"/>
    <w:bookmarkEnd w:id="72"/>
    <w:p w14:paraId="68F2A620" w14:textId="77777777" w:rsidR="00B76926" w:rsidRPr="006174F9" w:rsidRDefault="00C83538" w:rsidP="00B76926">
      <w:r w:rsidRPr="007E3712">
        <w:t xml:space="preserve">As seen in </w:t>
      </w:r>
      <w:r w:rsidR="00AE63DD" w:rsidRPr="007E3712">
        <w:t xml:space="preserve">Exhibit </w:t>
      </w:r>
      <w:r w:rsidR="006F7241">
        <w:t>5</w:t>
      </w:r>
      <w:r w:rsidR="00AE63DD" w:rsidRPr="007E3712">
        <w:t>-</w:t>
      </w:r>
      <w:r w:rsidR="00A05906">
        <w:t>22</w:t>
      </w:r>
      <w:r w:rsidRPr="007E3712">
        <w:t xml:space="preserve">, there are discrepancies in salary levels when viewed in real dollars. </w:t>
      </w:r>
      <w:r w:rsidR="000E297A">
        <w:t xml:space="preserve">In particular, </w:t>
      </w:r>
      <w:r w:rsidR="007E3712">
        <w:t xml:space="preserve">staff </w:t>
      </w:r>
      <w:r w:rsidR="00FF29BA" w:rsidRPr="007E3712">
        <w:t xml:space="preserve">working in facilities </w:t>
      </w:r>
      <w:r w:rsidR="000E297A">
        <w:t xml:space="preserve">located in King County </w:t>
      </w:r>
      <w:r w:rsidR="00FF29BA" w:rsidRPr="007E3712">
        <w:t>are paid less than their counterparts living and working in other areas of the state. This is true across all job classifications, as the Seattle-adjacent facilities are at the bottom range of every pay category</w:t>
      </w:r>
      <w:r w:rsidR="00B76926" w:rsidRPr="007E3712">
        <w:t xml:space="preserve">. </w:t>
      </w:r>
      <w:r w:rsidR="00466639" w:rsidRPr="007E3712">
        <w:t xml:space="preserve">This is consistent with </w:t>
      </w:r>
      <w:r w:rsidR="00B76926" w:rsidRPr="007E3712">
        <w:t xml:space="preserve">what we heard in </w:t>
      </w:r>
      <w:r w:rsidR="00466639" w:rsidRPr="007E3712">
        <w:t xml:space="preserve">the interviews conducted during the site visits. </w:t>
      </w:r>
      <w:r w:rsidR="00B76926" w:rsidRPr="007E3712">
        <w:t xml:space="preserve">In interviews at Echo Glen, we heard of staff having to make choices between going to the doctor and buying food; not being able to </w:t>
      </w:r>
      <w:r w:rsidR="00B76926" w:rsidRPr="006174F9">
        <w:t xml:space="preserve">afford to get their cavities filled for years, and even having to live in their car due to the high cost of rent. </w:t>
      </w:r>
    </w:p>
    <w:p w14:paraId="3FDC0D3D" w14:textId="77777777" w:rsidR="000E7B1E" w:rsidRPr="006174F9" w:rsidRDefault="000E7B1E" w:rsidP="00B76926">
      <w:pPr>
        <w:pStyle w:val="Heading3"/>
        <w:rPr>
          <w:color w:val="auto"/>
        </w:rPr>
      </w:pPr>
      <w:bookmarkStart w:id="73" w:name="_Toc531597512"/>
      <w:r w:rsidRPr="006174F9">
        <w:rPr>
          <w:color w:val="auto"/>
        </w:rPr>
        <w:t>Satisfaction with Salary</w:t>
      </w:r>
      <w:bookmarkEnd w:id="73"/>
    </w:p>
    <w:p w14:paraId="77F4C169" w14:textId="77777777" w:rsidR="000E7B1E" w:rsidRDefault="000E7B1E" w:rsidP="00C070A1">
      <w:pPr>
        <w:rPr>
          <w:b/>
        </w:rPr>
      </w:pPr>
      <w:r w:rsidRPr="006174F9">
        <w:t xml:space="preserve">Positions working in corrections have </w:t>
      </w:r>
      <w:r>
        <w:t xml:space="preserve">been “notoriously” associated with low pay. In general, the organizational literature has found a link between staff satisfaction with pay and turnover intent. That is, the lower the satisfaction with pay, the higher the turnover intent. </w:t>
      </w:r>
    </w:p>
    <w:p w14:paraId="03ACDAB3" w14:textId="77777777" w:rsidR="00C82078" w:rsidRPr="00C82078" w:rsidRDefault="00C82078" w:rsidP="00C82078">
      <w:pPr>
        <w:pStyle w:val="PullQuote"/>
        <w:framePr w:wrap="around" w:hAnchor="page" w:x="7709" w:y="1"/>
        <w:rPr>
          <w:i/>
        </w:rPr>
      </w:pPr>
      <w:r w:rsidRPr="00C82078">
        <w:t>“</w:t>
      </w:r>
      <w:r w:rsidRPr="00C82078">
        <w:rPr>
          <w:i/>
        </w:rPr>
        <w:t>I work 55 hours a week and I have to pick up overtime shifts to make a living paycheck.”</w:t>
      </w:r>
    </w:p>
    <w:p w14:paraId="194EBAC1" w14:textId="77777777" w:rsidR="00C82078" w:rsidRPr="00C82078" w:rsidRDefault="00C82078" w:rsidP="00C82078">
      <w:pPr>
        <w:pStyle w:val="PullQuote"/>
        <w:framePr w:wrap="around" w:hAnchor="page" w:x="7709" w:y="1"/>
        <w:rPr>
          <w:i/>
        </w:rPr>
      </w:pPr>
      <w:r w:rsidRPr="00C82078">
        <w:rPr>
          <w:i/>
        </w:rPr>
        <w:t>“I try to do 2 shifts of overtime per week just to make ends meet.”</w:t>
      </w:r>
    </w:p>
    <w:p w14:paraId="7C5F3AA7" w14:textId="77777777" w:rsidR="00C82078" w:rsidRPr="00C82078" w:rsidRDefault="00C82078" w:rsidP="00C82078">
      <w:pPr>
        <w:pStyle w:val="PullQuote"/>
        <w:framePr w:wrap="around" w:hAnchor="page" w:x="7709" w:y="1"/>
        <w:jc w:val="right"/>
      </w:pPr>
      <w:r w:rsidRPr="00C82078">
        <w:t>— Staff</w:t>
      </w:r>
    </w:p>
    <w:p w14:paraId="6C5A0FE0" w14:textId="77777777" w:rsidR="000E7B1E" w:rsidRDefault="000E7B1E" w:rsidP="00DD5FC6">
      <w:r w:rsidRPr="007E3712">
        <w:t xml:space="preserve">Using a five-point Likert scale, staff were asked, “How satisfied are you with your salary?’” and “How satisfied are you with your benefits?” As shown in </w:t>
      </w:r>
      <w:r w:rsidR="00AE63DD" w:rsidRPr="007E3712">
        <w:t xml:space="preserve">Exhibit </w:t>
      </w:r>
      <w:r w:rsidR="006F7241">
        <w:t>5</w:t>
      </w:r>
      <w:r w:rsidR="00AE63DD" w:rsidRPr="007E3712">
        <w:t>-</w:t>
      </w:r>
      <w:r w:rsidR="00A05906">
        <w:t>23</w:t>
      </w:r>
      <w:r w:rsidRPr="007E3712">
        <w:t xml:space="preserve">, almost all the staff at Echo Glen are “very </w:t>
      </w:r>
      <w:r w:rsidR="005456CD" w:rsidRPr="007E3712">
        <w:t>dissatisfied</w:t>
      </w:r>
      <w:r w:rsidRPr="007E3712">
        <w:t>” or “dissatisfied” with their salary.</w:t>
      </w:r>
      <w:r w:rsidR="00C82078" w:rsidRPr="007E3712">
        <w:t xml:space="preserve"> </w:t>
      </w:r>
      <w:r w:rsidRPr="007E3712">
        <w:t xml:space="preserve">Almost three-quarters of the staff at Green </w:t>
      </w:r>
      <w:r w:rsidRPr="007E3712">
        <w:lastRenderedPageBreak/>
        <w:t xml:space="preserve">Hill (71.3%) and Naselle (69.2% ) are “very dissatisfied” or “dissatisfied” with their salary. Fewer staff at the community facilities (55.2%) are “very </w:t>
      </w:r>
      <w:r w:rsidR="005456CD" w:rsidRPr="007E3712">
        <w:t>dissatisfied</w:t>
      </w:r>
      <w:r w:rsidRPr="007E3712">
        <w:t>” or “</w:t>
      </w:r>
      <w:r w:rsidR="005456CD" w:rsidRPr="007E3712">
        <w:t>dissatisfied</w:t>
      </w:r>
      <w:r w:rsidRPr="007E3712">
        <w:t>” with their salary.</w:t>
      </w:r>
    </w:p>
    <w:p w14:paraId="56200447" w14:textId="77777777" w:rsidR="000E7B1E" w:rsidRPr="003716E6" w:rsidRDefault="00AE63DD" w:rsidP="000E7B1E">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A05906">
        <w:rPr>
          <w:noProof/>
        </w:rPr>
        <w:t>23</w:t>
      </w:r>
      <w:r w:rsidR="00E251C1">
        <w:t>.</w:t>
      </w:r>
      <w:r w:rsidR="00081010">
        <w:t xml:space="preserve"> </w:t>
      </w:r>
      <w:r w:rsidR="000E7B1E">
        <w:t>Satisfaction with Salary by Facility</w:t>
      </w:r>
    </w:p>
    <w:tbl>
      <w:tblPr>
        <w:tblStyle w:val="HyzerTable"/>
        <w:tblW w:w="5000" w:type="pct"/>
        <w:tblLook w:val="0420" w:firstRow="1" w:lastRow="0" w:firstColumn="0" w:lastColumn="0" w:noHBand="0" w:noVBand="1"/>
      </w:tblPr>
      <w:tblGrid>
        <w:gridCol w:w="2706"/>
        <w:gridCol w:w="1511"/>
        <w:gridCol w:w="1516"/>
        <w:gridCol w:w="1050"/>
        <w:gridCol w:w="1121"/>
        <w:gridCol w:w="1456"/>
      </w:tblGrid>
      <w:tr w:rsidR="000E7B1E" w:rsidRPr="00CD1826" w14:paraId="18D325E2" w14:textId="77777777" w:rsidTr="007E3712">
        <w:trPr>
          <w:cnfStyle w:val="100000000000" w:firstRow="1" w:lastRow="0" w:firstColumn="0" w:lastColumn="0" w:oddVBand="0" w:evenVBand="0" w:oddHBand="0" w:evenHBand="0" w:firstRowFirstColumn="0" w:firstRowLastColumn="0" w:lastRowFirstColumn="0" w:lastRowLastColumn="0"/>
          <w:trHeight w:val="438"/>
        </w:trPr>
        <w:tc>
          <w:tcPr>
            <w:tcW w:w="1445" w:type="pct"/>
          </w:tcPr>
          <w:p w14:paraId="2550F408" w14:textId="77777777" w:rsidR="000E7B1E" w:rsidRPr="007E3712" w:rsidRDefault="000E7B1E" w:rsidP="00F168E8">
            <w:pPr>
              <w:pStyle w:val="tableheaderwhite"/>
              <w:spacing w:beforeLines="20" w:before="48" w:afterLines="20" w:after="48"/>
              <w:rPr>
                <w:sz w:val="22"/>
              </w:rPr>
            </w:pPr>
            <w:r w:rsidRPr="1FF1B213">
              <w:rPr>
                <w:sz w:val="22"/>
                <w:szCs w:val="22"/>
              </w:rPr>
              <w:t>Facility</w:t>
            </w:r>
          </w:p>
        </w:tc>
        <w:tc>
          <w:tcPr>
            <w:tcW w:w="807" w:type="pct"/>
          </w:tcPr>
          <w:p w14:paraId="2DAEA163" w14:textId="77777777" w:rsidR="000E7B1E" w:rsidRPr="007E3712" w:rsidRDefault="000E7B1E" w:rsidP="00F168E8">
            <w:pPr>
              <w:pStyle w:val="tableheaderwhite"/>
              <w:spacing w:beforeLines="20" w:before="48" w:afterLines="20" w:after="48"/>
              <w:rPr>
                <w:sz w:val="22"/>
              </w:rPr>
            </w:pPr>
            <w:r w:rsidRPr="1FF1B213">
              <w:rPr>
                <w:sz w:val="22"/>
                <w:szCs w:val="22"/>
              </w:rPr>
              <w:t>Very Dissatisfied</w:t>
            </w:r>
          </w:p>
        </w:tc>
        <w:tc>
          <w:tcPr>
            <w:tcW w:w="810" w:type="pct"/>
          </w:tcPr>
          <w:p w14:paraId="1F721B93" w14:textId="77777777" w:rsidR="000E7B1E" w:rsidRPr="007E3712" w:rsidRDefault="000E7B1E" w:rsidP="00F168E8">
            <w:pPr>
              <w:pStyle w:val="tableheaderwhite"/>
              <w:spacing w:beforeLines="20" w:before="48" w:afterLines="20" w:after="48"/>
              <w:rPr>
                <w:sz w:val="22"/>
              </w:rPr>
            </w:pPr>
            <w:r w:rsidRPr="1FF1B213">
              <w:rPr>
                <w:sz w:val="22"/>
                <w:szCs w:val="22"/>
              </w:rPr>
              <w:t>Dissatisfied</w:t>
            </w:r>
          </w:p>
        </w:tc>
        <w:tc>
          <w:tcPr>
            <w:tcW w:w="561" w:type="pct"/>
          </w:tcPr>
          <w:p w14:paraId="77988A40" w14:textId="77777777" w:rsidR="000E7B1E" w:rsidRPr="007E3712" w:rsidRDefault="000E7B1E" w:rsidP="00F168E8">
            <w:pPr>
              <w:pStyle w:val="tableheaderwhite"/>
              <w:spacing w:beforeLines="20" w:before="48" w:afterLines="20" w:after="48"/>
              <w:rPr>
                <w:sz w:val="22"/>
              </w:rPr>
            </w:pPr>
            <w:r w:rsidRPr="1FF1B213">
              <w:rPr>
                <w:sz w:val="22"/>
                <w:szCs w:val="22"/>
              </w:rPr>
              <w:t>Neutral</w:t>
            </w:r>
          </w:p>
        </w:tc>
        <w:tc>
          <w:tcPr>
            <w:tcW w:w="599" w:type="pct"/>
          </w:tcPr>
          <w:p w14:paraId="31FCADC4" w14:textId="77777777" w:rsidR="000E7B1E" w:rsidRPr="007E3712" w:rsidRDefault="000E7B1E" w:rsidP="00F168E8">
            <w:pPr>
              <w:pStyle w:val="tableheaderwhite"/>
              <w:spacing w:beforeLines="20" w:before="48" w:afterLines="20" w:after="48"/>
              <w:rPr>
                <w:sz w:val="22"/>
              </w:rPr>
            </w:pPr>
            <w:r w:rsidRPr="1FF1B213">
              <w:rPr>
                <w:sz w:val="22"/>
                <w:szCs w:val="22"/>
              </w:rPr>
              <w:t>Satisfied</w:t>
            </w:r>
          </w:p>
        </w:tc>
        <w:tc>
          <w:tcPr>
            <w:tcW w:w="778" w:type="pct"/>
          </w:tcPr>
          <w:p w14:paraId="45A2FD10" w14:textId="77777777" w:rsidR="000E7B1E" w:rsidRPr="007E3712" w:rsidRDefault="000E7B1E" w:rsidP="00F168E8">
            <w:pPr>
              <w:pStyle w:val="tableheaderwhite"/>
              <w:spacing w:beforeLines="20" w:before="48" w:afterLines="20" w:after="48"/>
              <w:rPr>
                <w:sz w:val="22"/>
              </w:rPr>
            </w:pPr>
            <w:r w:rsidRPr="1FF1B213">
              <w:rPr>
                <w:sz w:val="22"/>
                <w:szCs w:val="22"/>
              </w:rPr>
              <w:t>Very Satisfied</w:t>
            </w:r>
          </w:p>
        </w:tc>
      </w:tr>
      <w:tr w:rsidR="000E7B1E" w:rsidRPr="00466480" w14:paraId="460CEDE5" w14:textId="77777777" w:rsidTr="007E3712">
        <w:trPr>
          <w:cnfStyle w:val="000000100000" w:firstRow="0" w:lastRow="0" w:firstColumn="0" w:lastColumn="0" w:oddVBand="0" w:evenVBand="0" w:oddHBand="1" w:evenHBand="0" w:firstRowFirstColumn="0" w:firstRowLastColumn="0" w:lastRowFirstColumn="0" w:lastRowLastColumn="0"/>
        </w:trPr>
        <w:tc>
          <w:tcPr>
            <w:tcW w:w="1445" w:type="pct"/>
          </w:tcPr>
          <w:p w14:paraId="7761051F" w14:textId="77777777" w:rsidR="000E7B1E" w:rsidRPr="00CD1826" w:rsidRDefault="000E7B1E" w:rsidP="00F168E8">
            <w:pPr>
              <w:pStyle w:val="TableTextRight"/>
              <w:jc w:val="left"/>
            </w:pPr>
            <w:r w:rsidRPr="004A5C18">
              <w:rPr>
                <w:b/>
              </w:rPr>
              <w:t>Echo Glen</w:t>
            </w:r>
            <w:r>
              <w:rPr>
                <w:b/>
              </w:rPr>
              <w:t xml:space="preserve"> (n=27)</w:t>
            </w:r>
          </w:p>
        </w:tc>
        <w:tc>
          <w:tcPr>
            <w:tcW w:w="807" w:type="pct"/>
          </w:tcPr>
          <w:p w14:paraId="600E750A" w14:textId="77777777" w:rsidR="000E7B1E" w:rsidRPr="00DD1E1F" w:rsidRDefault="000E7B1E" w:rsidP="00F168E8">
            <w:pPr>
              <w:pStyle w:val="tabletextcenter"/>
              <w:rPr>
                <w:rStyle w:val="TableTextBold"/>
              </w:rPr>
            </w:pPr>
            <w:r w:rsidRPr="00DD1E1F">
              <w:t>81.5%</w:t>
            </w:r>
          </w:p>
        </w:tc>
        <w:tc>
          <w:tcPr>
            <w:tcW w:w="810" w:type="pct"/>
          </w:tcPr>
          <w:p w14:paraId="25ACE75D" w14:textId="77777777" w:rsidR="000E7B1E" w:rsidRPr="00DD1E1F" w:rsidRDefault="000E7B1E" w:rsidP="00F168E8">
            <w:pPr>
              <w:pStyle w:val="tabletextcenter"/>
              <w:rPr>
                <w:rStyle w:val="TableTextBold"/>
              </w:rPr>
            </w:pPr>
            <w:r w:rsidRPr="00DD1E1F">
              <w:t>7.4%</w:t>
            </w:r>
          </w:p>
        </w:tc>
        <w:tc>
          <w:tcPr>
            <w:tcW w:w="561" w:type="pct"/>
          </w:tcPr>
          <w:p w14:paraId="75348F62" w14:textId="77777777" w:rsidR="000E7B1E" w:rsidRPr="00DD1E1F" w:rsidRDefault="000E7B1E" w:rsidP="00F168E8">
            <w:pPr>
              <w:pStyle w:val="tabletextcenter"/>
              <w:rPr>
                <w:rStyle w:val="TableTextBold"/>
              </w:rPr>
            </w:pPr>
            <w:r w:rsidRPr="00DD1E1F">
              <w:t>3.7%</w:t>
            </w:r>
          </w:p>
        </w:tc>
        <w:tc>
          <w:tcPr>
            <w:tcW w:w="599" w:type="pct"/>
          </w:tcPr>
          <w:p w14:paraId="7C6D9012" w14:textId="77777777" w:rsidR="000E7B1E" w:rsidRPr="00DD1E1F" w:rsidRDefault="000E7B1E" w:rsidP="00F168E8">
            <w:pPr>
              <w:pStyle w:val="tabletextcenter"/>
              <w:rPr>
                <w:rStyle w:val="TableTextBold"/>
              </w:rPr>
            </w:pPr>
            <w:r w:rsidRPr="00DD1E1F">
              <w:t>7.4%</w:t>
            </w:r>
          </w:p>
        </w:tc>
        <w:tc>
          <w:tcPr>
            <w:tcW w:w="778" w:type="pct"/>
          </w:tcPr>
          <w:p w14:paraId="123CEAEB" w14:textId="77777777" w:rsidR="000E7B1E" w:rsidRPr="00DD1E1F" w:rsidRDefault="000E7B1E" w:rsidP="00F168E8">
            <w:pPr>
              <w:pStyle w:val="tabletextcenter"/>
              <w:rPr>
                <w:rStyle w:val="TableTextBold"/>
              </w:rPr>
            </w:pPr>
            <w:r w:rsidRPr="00DD1E1F">
              <w:t>0.0%</w:t>
            </w:r>
          </w:p>
        </w:tc>
      </w:tr>
      <w:tr w:rsidR="000E7B1E" w:rsidRPr="00466480" w14:paraId="6512DE7F" w14:textId="77777777" w:rsidTr="007E3712">
        <w:trPr>
          <w:trHeight w:val="265"/>
        </w:trPr>
        <w:tc>
          <w:tcPr>
            <w:tcW w:w="1445" w:type="pct"/>
          </w:tcPr>
          <w:p w14:paraId="790F50B1" w14:textId="77777777" w:rsidR="000E7B1E" w:rsidRPr="00507F7B" w:rsidRDefault="000E7B1E" w:rsidP="00F168E8">
            <w:pPr>
              <w:pStyle w:val="TableTextBoldRight"/>
              <w:jc w:val="left"/>
              <w:rPr>
                <w:rStyle w:val="TableTextBold"/>
              </w:rPr>
            </w:pPr>
            <w:r>
              <w:t>Green Hill (n=73)</w:t>
            </w:r>
          </w:p>
        </w:tc>
        <w:tc>
          <w:tcPr>
            <w:tcW w:w="807" w:type="pct"/>
          </w:tcPr>
          <w:p w14:paraId="5B9782B8" w14:textId="77777777" w:rsidR="000E7B1E" w:rsidRPr="00DD1E1F" w:rsidRDefault="000E7B1E" w:rsidP="00F168E8">
            <w:pPr>
              <w:pStyle w:val="tabletextcenter"/>
            </w:pPr>
            <w:r w:rsidRPr="00DD1E1F">
              <w:t>32.9%</w:t>
            </w:r>
          </w:p>
        </w:tc>
        <w:tc>
          <w:tcPr>
            <w:tcW w:w="810" w:type="pct"/>
          </w:tcPr>
          <w:p w14:paraId="5E7EC6C0" w14:textId="77777777" w:rsidR="000E7B1E" w:rsidRPr="00DD1E1F" w:rsidRDefault="000E7B1E" w:rsidP="00F168E8">
            <w:pPr>
              <w:pStyle w:val="tabletextcenter"/>
            </w:pPr>
            <w:r w:rsidRPr="00DD1E1F">
              <w:t>38.4%</w:t>
            </w:r>
          </w:p>
        </w:tc>
        <w:tc>
          <w:tcPr>
            <w:tcW w:w="561" w:type="pct"/>
          </w:tcPr>
          <w:p w14:paraId="409BA1E5" w14:textId="77777777" w:rsidR="000E7B1E" w:rsidRPr="00DD1E1F" w:rsidRDefault="000E7B1E" w:rsidP="00F168E8">
            <w:pPr>
              <w:pStyle w:val="tabletextcenter"/>
            </w:pPr>
            <w:r w:rsidRPr="00DD1E1F">
              <w:t>15.1%</w:t>
            </w:r>
          </w:p>
        </w:tc>
        <w:tc>
          <w:tcPr>
            <w:tcW w:w="599" w:type="pct"/>
          </w:tcPr>
          <w:p w14:paraId="2D9EA87B" w14:textId="77777777" w:rsidR="000E7B1E" w:rsidRPr="00DD1E1F" w:rsidRDefault="000E7B1E" w:rsidP="00F168E8">
            <w:pPr>
              <w:pStyle w:val="tabletextcenter"/>
            </w:pPr>
            <w:r w:rsidRPr="00DD1E1F">
              <w:t>13.7%</w:t>
            </w:r>
          </w:p>
        </w:tc>
        <w:tc>
          <w:tcPr>
            <w:tcW w:w="778" w:type="pct"/>
          </w:tcPr>
          <w:p w14:paraId="3AB24BCE" w14:textId="77777777" w:rsidR="000E7B1E" w:rsidRPr="00DD1E1F" w:rsidRDefault="000E7B1E" w:rsidP="00F168E8">
            <w:pPr>
              <w:pStyle w:val="tabletextcenter"/>
            </w:pPr>
            <w:r w:rsidRPr="00DD1E1F">
              <w:t>0.0%</w:t>
            </w:r>
          </w:p>
        </w:tc>
      </w:tr>
      <w:tr w:rsidR="000E7B1E" w:rsidRPr="00466480" w14:paraId="05D9EB70" w14:textId="77777777" w:rsidTr="007E3712">
        <w:trPr>
          <w:cnfStyle w:val="000000100000" w:firstRow="0" w:lastRow="0" w:firstColumn="0" w:lastColumn="0" w:oddVBand="0" w:evenVBand="0" w:oddHBand="1" w:evenHBand="0" w:firstRowFirstColumn="0" w:firstRowLastColumn="0" w:lastRowFirstColumn="0" w:lastRowLastColumn="0"/>
        </w:trPr>
        <w:tc>
          <w:tcPr>
            <w:tcW w:w="1445" w:type="pct"/>
          </w:tcPr>
          <w:p w14:paraId="1FEEA4FA" w14:textId="77777777" w:rsidR="000E7B1E" w:rsidRPr="00CD1826" w:rsidRDefault="000E7B1E" w:rsidP="00F168E8">
            <w:pPr>
              <w:pStyle w:val="TableText"/>
            </w:pPr>
            <w:r>
              <w:rPr>
                <w:b/>
              </w:rPr>
              <w:t>Naselle (n=26)</w:t>
            </w:r>
          </w:p>
        </w:tc>
        <w:tc>
          <w:tcPr>
            <w:tcW w:w="807" w:type="pct"/>
          </w:tcPr>
          <w:p w14:paraId="213BC172" w14:textId="77777777" w:rsidR="000E7B1E" w:rsidRPr="00DD1E1F" w:rsidRDefault="000E7B1E" w:rsidP="00F168E8">
            <w:pPr>
              <w:pStyle w:val="tabletextcenter"/>
            </w:pPr>
            <w:r w:rsidRPr="00DD1E1F">
              <w:t>34.6%</w:t>
            </w:r>
          </w:p>
        </w:tc>
        <w:tc>
          <w:tcPr>
            <w:tcW w:w="810" w:type="pct"/>
          </w:tcPr>
          <w:p w14:paraId="0C78F5DA" w14:textId="77777777" w:rsidR="000E7B1E" w:rsidRPr="00DD1E1F" w:rsidRDefault="000E7B1E" w:rsidP="00F168E8">
            <w:pPr>
              <w:pStyle w:val="tabletextcenter"/>
            </w:pPr>
            <w:r w:rsidRPr="00DD1E1F">
              <w:t>34.6%</w:t>
            </w:r>
          </w:p>
        </w:tc>
        <w:tc>
          <w:tcPr>
            <w:tcW w:w="561" w:type="pct"/>
          </w:tcPr>
          <w:p w14:paraId="177C71F5" w14:textId="77777777" w:rsidR="000E7B1E" w:rsidRPr="00DD1E1F" w:rsidRDefault="000E7B1E" w:rsidP="00F168E8">
            <w:pPr>
              <w:pStyle w:val="tabletextcenter"/>
            </w:pPr>
            <w:r w:rsidRPr="00DD1E1F">
              <w:t>23.1%</w:t>
            </w:r>
          </w:p>
        </w:tc>
        <w:tc>
          <w:tcPr>
            <w:tcW w:w="599" w:type="pct"/>
          </w:tcPr>
          <w:p w14:paraId="1C2C7B9A" w14:textId="77777777" w:rsidR="000E7B1E" w:rsidRPr="00DD1E1F" w:rsidRDefault="000E7B1E" w:rsidP="00F168E8">
            <w:pPr>
              <w:pStyle w:val="tabletextcenter"/>
            </w:pPr>
            <w:r w:rsidRPr="00DD1E1F">
              <w:t>7.7%</w:t>
            </w:r>
          </w:p>
        </w:tc>
        <w:tc>
          <w:tcPr>
            <w:tcW w:w="778" w:type="pct"/>
          </w:tcPr>
          <w:p w14:paraId="718E943D" w14:textId="77777777" w:rsidR="000E7B1E" w:rsidRPr="00DD1E1F" w:rsidRDefault="000E7B1E" w:rsidP="00F168E8">
            <w:pPr>
              <w:pStyle w:val="tabletextcenter"/>
            </w:pPr>
            <w:r w:rsidRPr="00DD1E1F">
              <w:t>0.0%</w:t>
            </w:r>
          </w:p>
        </w:tc>
      </w:tr>
      <w:tr w:rsidR="000E7B1E" w:rsidRPr="00466480" w14:paraId="2C87A209" w14:textId="77777777" w:rsidTr="007E3712">
        <w:tc>
          <w:tcPr>
            <w:tcW w:w="1445" w:type="pct"/>
          </w:tcPr>
          <w:p w14:paraId="1429E428" w14:textId="77777777" w:rsidR="000E7B1E" w:rsidRPr="00CD1826" w:rsidRDefault="000E7B1E" w:rsidP="00F168E8">
            <w:pPr>
              <w:pStyle w:val="TableText"/>
            </w:pPr>
            <w:r w:rsidRPr="004A5C18">
              <w:rPr>
                <w:b/>
              </w:rPr>
              <w:t>Community Facilities</w:t>
            </w:r>
            <w:r>
              <w:rPr>
                <w:b/>
              </w:rPr>
              <w:t xml:space="preserve"> (n=29)</w:t>
            </w:r>
          </w:p>
        </w:tc>
        <w:tc>
          <w:tcPr>
            <w:tcW w:w="807" w:type="pct"/>
          </w:tcPr>
          <w:p w14:paraId="26229C6A" w14:textId="77777777" w:rsidR="000E7B1E" w:rsidRPr="00DD1E1F" w:rsidRDefault="000E7B1E" w:rsidP="00F168E8">
            <w:pPr>
              <w:pStyle w:val="tabletextcenter"/>
            </w:pPr>
            <w:r w:rsidRPr="00DD1E1F">
              <w:t>13.8%</w:t>
            </w:r>
          </w:p>
        </w:tc>
        <w:tc>
          <w:tcPr>
            <w:tcW w:w="810" w:type="pct"/>
          </w:tcPr>
          <w:p w14:paraId="18D745BC" w14:textId="77777777" w:rsidR="000E7B1E" w:rsidRPr="00DD1E1F" w:rsidRDefault="000E7B1E" w:rsidP="00F168E8">
            <w:pPr>
              <w:pStyle w:val="tabletextcenter"/>
            </w:pPr>
            <w:r w:rsidRPr="00DD1E1F">
              <w:t>41.4%</w:t>
            </w:r>
          </w:p>
        </w:tc>
        <w:tc>
          <w:tcPr>
            <w:tcW w:w="561" w:type="pct"/>
          </w:tcPr>
          <w:p w14:paraId="159AEBC1" w14:textId="77777777" w:rsidR="000E7B1E" w:rsidRPr="00DD1E1F" w:rsidRDefault="000E7B1E" w:rsidP="00F168E8">
            <w:pPr>
              <w:pStyle w:val="tabletextcenter"/>
            </w:pPr>
            <w:r w:rsidRPr="00DD1E1F">
              <w:t>27.6%</w:t>
            </w:r>
          </w:p>
        </w:tc>
        <w:tc>
          <w:tcPr>
            <w:tcW w:w="599" w:type="pct"/>
          </w:tcPr>
          <w:p w14:paraId="73531643" w14:textId="77777777" w:rsidR="000E7B1E" w:rsidRPr="00DD1E1F" w:rsidRDefault="000E7B1E" w:rsidP="00F168E8">
            <w:pPr>
              <w:pStyle w:val="tabletextcenter"/>
            </w:pPr>
            <w:r w:rsidRPr="00DD1E1F">
              <w:t>13.8%</w:t>
            </w:r>
          </w:p>
        </w:tc>
        <w:tc>
          <w:tcPr>
            <w:tcW w:w="778" w:type="pct"/>
          </w:tcPr>
          <w:p w14:paraId="558A0FA9" w14:textId="77777777" w:rsidR="000E7B1E" w:rsidRPr="00DD1E1F" w:rsidRDefault="000E7B1E" w:rsidP="00F168E8">
            <w:pPr>
              <w:pStyle w:val="tabletextcenter"/>
            </w:pPr>
            <w:r w:rsidRPr="00DD1E1F">
              <w:t>3.4%</w:t>
            </w:r>
          </w:p>
        </w:tc>
      </w:tr>
    </w:tbl>
    <w:p w14:paraId="6A5FEC5D" w14:textId="77777777" w:rsidR="00FF29BA" w:rsidRPr="002130A2" w:rsidRDefault="00FF29BA" w:rsidP="00716021">
      <w:pPr>
        <w:pStyle w:val="Heading3"/>
      </w:pPr>
      <w:bookmarkStart w:id="74" w:name="_Toc531597513"/>
      <w:r w:rsidRPr="002130A2">
        <w:t xml:space="preserve">Comparison with </w:t>
      </w:r>
      <w:r w:rsidR="00F34C1F">
        <w:t xml:space="preserve">Similar Jobs at </w:t>
      </w:r>
      <w:r w:rsidRPr="002130A2">
        <w:t>Other State Agencies</w:t>
      </w:r>
      <w:bookmarkEnd w:id="74"/>
      <w:r w:rsidRPr="002130A2">
        <w:t xml:space="preserve"> </w:t>
      </w:r>
    </w:p>
    <w:p w14:paraId="7CFB955B" w14:textId="77777777" w:rsidR="00FF29BA" w:rsidRPr="00FF29BA" w:rsidRDefault="00FF29BA" w:rsidP="00FF29BA">
      <w:r w:rsidRPr="00FF29BA">
        <w:t xml:space="preserve">During interviews with staff and managers, we consistently heard that the </w:t>
      </w:r>
      <w:r w:rsidR="004A2474" w:rsidRPr="00FF29BA">
        <w:t>J</w:t>
      </w:r>
      <w:r w:rsidR="00224CD0">
        <w:t>uvenile Rehabilitation Residential Counselor (J</w:t>
      </w:r>
      <w:r w:rsidR="004A2474" w:rsidRPr="00FF29BA">
        <w:t>R</w:t>
      </w:r>
      <w:r w:rsidR="004A2474">
        <w:t>RC</w:t>
      </w:r>
      <w:r w:rsidR="00224CD0">
        <w:t>)</w:t>
      </w:r>
      <w:r w:rsidRPr="00FF29BA">
        <w:t xml:space="preserve">, </w:t>
      </w:r>
      <w:r w:rsidR="00224CD0">
        <w:t>Juvenile Rehabilitation Counselor Assistant (</w:t>
      </w:r>
      <w:r w:rsidRPr="00FF29BA">
        <w:t>JR</w:t>
      </w:r>
      <w:r w:rsidR="004A2474">
        <w:t>CA</w:t>
      </w:r>
      <w:r w:rsidR="00224CD0">
        <w:t>)</w:t>
      </w:r>
      <w:r w:rsidRPr="00FF29BA">
        <w:t xml:space="preserve"> and J</w:t>
      </w:r>
      <w:r w:rsidR="00224CD0">
        <w:t>uvenile Rehabilitation Security Officer 1 (J</w:t>
      </w:r>
      <w:r w:rsidRPr="00FF29BA">
        <w:t xml:space="preserve">RSO </w:t>
      </w:r>
      <w:r w:rsidR="00224CD0">
        <w:t xml:space="preserve">1) </w:t>
      </w:r>
      <w:r w:rsidRPr="00FF29BA">
        <w:t>positions are similar to jobs held by state employees in other parts of DSHS or in other state agencies, yet JR staff receive lower pay. Many indicated this is a primary reason to search for and accept employment outside of JR</w:t>
      </w:r>
      <w:r w:rsidR="004C75A6">
        <w:t xml:space="preserve">. </w:t>
      </w:r>
      <w:r w:rsidRPr="00FF29BA">
        <w:t>To understand the extent to which this is true, we compared the JR</w:t>
      </w:r>
      <w:r w:rsidR="004A2474">
        <w:t>RC</w:t>
      </w:r>
      <w:r w:rsidRPr="00FF29BA">
        <w:t>, JR</w:t>
      </w:r>
      <w:r w:rsidR="004A2474">
        <w:t>CA</w:t>
      </w:r>
      <w:r w:rsidRPr="00FF29BA">
        <w:t>, and JRSO</w:t>
      </w:r>
      <w:r w:rsidR="004177C7">
        <w:t xml:space="preserve"> 1</w:t>
      </w:r>
      <w:r w:rsidRPr="00FF29BA">
        <w:t xml:space="preserve"> job classifications with other positions in DSHS and other agencies. The following sections present this comparison. </w:t>
      </w:r>
    </w:p>
    <w:p w14:paraId="5A9DC1A3" w14:textId="77777777" w:rsidR="00FF29BA" w:rsidRPr="00DD5FC6" w:rsidRDefault="00FF29BA" w:rsidP="00F34C1F">
      <w:pPr>
        <w:pStyle w:val="Heading4"/>
        <w:rPr>
          <w:color w:val="000000" w:themeColor="text1"/>
        </w:rPr>
      </w:pPr>
      <w:r w:rsidRPr="00DD5FC6">
        <w:rPr>
          <w:color w:val="000000" w:themeColor="text1"/>
        </w:rPr>
        <w:t>Comparisons of JR</w:t>
      </w:r>
      <w:r w:rsidR="004A2474" w:rsidRPr="00DD5FC6">
        <w:rPr>
          <w:color w:val="000000" w:themeColor="text1"/>
        </w:rPr>
        <w:t>RC</w:t>
      </w:r>
      <w:r w:rsidRPr="00DD5FC6">
        <w:rPr>
          <w:color w:val="000000" w:themeColor="text1"/>
        </w:rPr>
        <w:t>/JR</w:t>
      </w:r>
      <w:r w:rsidR="004A2474" w:rsidRPr="00DD5FC6">
        <w:rPr>
          <w:color w:val="000000" w:themeColor="text1"/>
        </w:rPr>
        <w:t>CA</w:t>
      </w:r>
      <w:r w:rsidRPr="00DD5FC6">
        <w:rPr>
          <w:color w:val="000000" w:themeColor="text1"/>
        </w:rPr>
        <w:t xml:space="preserve"> with Social Services Specialists </w:t>
      </w:r>
      <w:r w:rsidR="00F34C1F" w:rsidRPr="00DD5FC6">
        <w:rPr>
          <w:color w:val="000000" w:themeColor="text1"/>
        </w:rPr>
        <w:t>(SSS)</w:t>
      </w:r>
    </w:p>
    <w:p w14:paraId="711A7489" w14:textId="77777777" w:rsidR="00FF29BA" w:rsidRPr="00FF29BA" w:rsidRDefault="00FF29BA" w:rsidP="00FF29BA">
      <w:r w:rsidRPr="00FF29BA">
        <w:t xml:space="preserve">The </w:t>
      </w:r>
      <w:r w:rsidR="00A530E8">
        <w:t>JR</w:t>
      </w:r>
      <w:r w:rsidR="004A2474">
        <w:t>RC</w:t>
      </w:r>
      <w:r w:rsidR="00A530E8" w:rsidRPr="00FF29BA">
        <w:t xml:space="preserve"> </w:t>
      </w:r>
      <w:r w:rsidRPr="00FF29BA">
        <w:t>and JR</w:t>
      </w:r>
      <w:r w:rsidR="004A2474">
        <w:t>CA</w:t>
      </w:r>
      <w:r w:rsidRPr="00FF29BA">
        <w:t xml:space="preserve"> job classification are listed in the Social Services category of jobs. We repeatedly heard from staff that similar social service jobs are available in other DSHS administrations. Many interviewees cited the Children’s Administ</w:t>
      </w:r>
      <w:r w:rsidR="00224CD0">
        <w:t xml:space="preserve">ration as one where staff often </w:t>
      </w:r>
      <w:r w:rsidRPr="00FF29BA">
        <w:t>seek employment before or after leaving JR.</w:t>
      </w:r>
    </w:p>
    <w:p w14:paraId="1EF5A24F" w14:textId="77777777" w:rsidR="00FF29BA" w:rsidRPr="00FF29BA" w:rsidRDefault="00FF29BA" w:rsidP="00FF29BA">
      <w:r w:rsidRPr="00FF29BA">
        <w:t>We reviewed numerous jobs in the Social Services category to identify those with similar responsibilities, education and experience requirements, and serving similar populations. We conducted an initial scan of job</w:t>
      </w:r>
      <w:r w:rsidR="00A530E8">
        <w:t>s</w:t>
      </w:r>
      <w:r w:rsidRPr="00FF29BA">
        <w:t xml:space="preserve"> including Classification Counselors, Corrections Mental Health Counselor, Corrections Specialists, Institutional Counselor, Rehabilitation Counselor, and Social Services Specialists. </w:t>
      </w:r>
    </w:p>
    <w:p w14:paraId="506071F6" w14:textId="77777777" w:rsidR="00FF29BA" w:rsidRPr="00FF29BA" w:rsidRDefault="00FF29BA" w:rsidP="00FF29BA">
      <w:r w:rsidRPr="00FF29BA">
        <w:t xml:space="preserve">Most of the positions reviewed have similarities with the </w:t>
      </w:r>
      <w:r w:rsidR="00A530E8">
        <w:t>JRRC and JRCA</w:t>
      </w:r>
      <w:r w:rsidRPr="00FF29BA">
        <w:t xml:space="preserve"> positions. In particular, the Corrections Mental Health Counselor job series has many of the same counseling responsibilities and </w:t>
      </w:r>
      <w:r w:rsidR="00A530E8">
        <w:t>JRRC/JRCAs</w:t>
      </w:r>
      <w:r w:rsidRPr="00FF29BA">
        <w:t xml:space="preserve">, but they do not require balancing the counseling work with general milieu management. Because of this – and because of the repeated mentions of the Children’s Administrative in the interview – we chose to examine the Social Services Specialist job series and its comparability to the </w:t>
      </w:r>
      <w:r w:rsidR="00A530E8">
        <w:t>JRRC and JRCA</w:t>
      </w:r>
      <w:r w:rsidRPr="00FF29BA">
        <w:t xml:space="preserve"> positions. </w:t>
      </w:r>
    </w:p>
    <w:p w14:paraId="1F00CC3A" w14:textId="77777777" w:rsidR="00FF29BA" w:rsidRDefault="00FF29BA" w:rsidP="00FF29BA">
      <w:r w:rsidRPr="00FF29BA">
        <w:t>Social Services Specialists (SSS) is a job series used extensively in the Children’s Administration, Aging and Long-Term Support Administration, and the Economic Services Administration. The exact duties of the position depend upon which Administration is hiring</w:t>
      </w:r>
      <w:r w:rsidR="004C75A6">
        <w:t xml:space="preserve">. </w:t>
      </w:r>
      <w:r w:rsidRPr="00FF29BA">
        <w:t xml:space="preserve">Within the series there are four job class titles – Social Services Specialists 1-4. We reviewed all of the job class titles within the series, with a primary focus on the position requirements for the Children’s Administration. </w:t>
      </w:r>
    </w:p>
    <w:p w14:paraId="7CA78916" w14:textId="77777777" w:rsidR="000E297A" w:rsidRPr="00DD5FC6" w:rsidRDefault="00224CD0" w:rsidP="000E297A">
      <w:pPr>
        <w:pStyle w:val="Heading5"/>
        <w:rPr>
          <w:b/>
          <w:color w:val="000000" w:themeColor="text1"/>
        </w:rPr>
      </w:pPr>
      <w:r>
        <w:rPr>
          <w:b/>
          <w:color w:val="000000" w:themeColor="text1"/>
        </w:rPr>
        <w:lastRenderedPageBreak/>
        <w:t>JRRC and SSS 2/SSS 3</w:t>
      </w:r>
    </w:p>
    <w:p w14:paraId="4242FDCA" w14:textId="77777777" w:rsidR="000E297A" w:rsidRPr="00FF29BA" w:rsidRDefault="000E297A" w:rsidP="000E297A">
      <w:r w:rsidRPr="008232E5">
        <w:t xml:space="preserve">We compared the JRRC position </w:t>
      </w:r>
      <w:r w:rsidR="0048589E">
        <w:t>with the SSS 2 and SSS 3</w:t>
      </w:r>
      <w:r w:rsidRPr="008232E5">
        <w:t xml:space="preserve"> positions. Exhibit </w:t>
      </w:r>
      <w:r w:rsidR="006F7241">
        <w:t>5</w:t>
      </w:r>
      <w:r w:rsidRPr="008232E5">
        <w:t>-</w:t>
      </w:r>
      <w:r w:rsidR="00A05906">
        <w:t>24</w:t>
      </w:r>
      <w:r w:rsidR="00A05906" w:rsidRPr="008232E5">
        <w:t xml:space="preserve"> </w:t>
      </w:r>
      <w:r w:rsidRPr="008232E5">
        <w:t>presents the comparison.</w:t>
      </w:r>
      <w:r w:rsidRPr="00FF29BA">
        <w:t xml:space="preserve"> </w:t>
      </w:r>
    </w:p>
    <w:p w14:paraId="1F0EFE55" w14:textId="77777777" w:rsidR="000E297A" w:rsidRPr="00103E42" w:rsidRDefault="000E297A" w:rsidP="000E297A">
      <w:pPr>
        <w:pStyle w:val="Caption"/>
        <w:keepLines/>
      </w:pPr>
      <w:r>
        <w:t xml:space="preserve">Exhibit </w:t>
      </w:r>
      <w:r>
        <w:rPr>
          <w:noProof/>
        </w:rPr>
        <w:fldChar w:fldCharType="begin"/>
      </w:r>
      <w:r>
        <w:rPr>
          <w:noProof/>
        </w:rPr>
        <w:instrText xml:space="preserve"> STYLEREF 1 \s </w:instrText>
      </w:r>
      <w:r>
        <w:rPr>
          <w:noProof/>
        </w:rPr>
        <w:fldChar w:fldCharType="separate"/>
      </w:r>
      <w:r w:rsidR="00FD2536">
        <w:rPr>
          <w:noProof/>
        </w:rPr>
        <w:t>5</w:t>
      </w:r>
      <w:r>
        <w:rPr>
          <w:noProof/>
        </w:rPr>
        <w:fldChar w:fldCharType="end"/>
      </w:r>
      <w:r>
        <w:noBreakHyphen/>
      </w:r>
      <w:r w:rsidR="00A05906">
        <w:rPr>
          <w:noProof/>
        </w:rPr>
        <w:t>24</w:t>
      </w:r>
      <w:r>
        <w:t xml:space="preserve">. JRRC and SSS Comparison </w:t>
      </w:r>
    </w:p>
    <w:tbl>
      <w:tblPr>
        <w:tblStyle w:val="HyzerTable1"/>
        <w:tblW w:w="5000" w:type="pct"/>
        <w:tblLook w:val="0420" w:firstRow="1" w:lastRow="0" w:firstColumn="0" w:lastColumn="0" w:noHBand="0" w:noVBand="1"/>
      </w:tblPr>
      <w:tblGrid>
        <w:gridCol w:w="1549"/>
        <w:gridCol w:w="2772"/>
        <w:gridCol w:w="2789"/>
        <w:gridCol w:w="2250"/>
      </w:tblGrid>
      <w:tr w:rsidR="000E297A" w:rsidRPr="00FF29BA" w14:paraId="6353EE32" w14:textId="77777777" w:rsidTr="001C5462">
        <w:trPr>
          <w:cnfStyle w:val="100000000000" w:firstRow="1" w:lastRow="0" w:firstColumn="0" w:lastColumn="0" w:oddVBand="0" w:evenVBand="0" w:oddHBand="0" w:evenHBand="0" w:firstRowFirstColumn="0" w:firstRowLastColumn="0" w:lastRowFirstColumn="0" w:lastRowLastColumn="0"/>
          <w:trHeight w:val="501"/>
          <w:tblHeader/>
        </w:trPr>
        <w:tc>
          <w:tcPr>
            <w:tcW w:w="827" w:type="pct"/>
          </w:tcPr>
          <w:p w14:paraId="1D3FD574" w14:textId="77777777" w:rsidR="000E297A" w:rsidRPr="00FF29BA" w:rsidRDefault="000E297A" w:rsidP="001C5462">
            <w:pPr>
              <w:keepNext/>
              <w:keepLines/>
              <w:spacing w:after="0"/>
              <w:jc w:val="center"/>
              <w:rPr>
                <w:rFonts w:ascii="Arial Narrow" w:hAnsi="Arial Narrow" w:cs="Arial"/>
                <w:b/>
                <w:color w:val="FFFFFF"/>
              </w:rPr>
            </w:pPr>
          </w:p>
        </w:tc>
        <w:tc>
          <w:tcPr>
            <w:tcW w:w="1481" w:type="pct"/>
          </w:tcPr>
          <w:p w14:paraId="34EC7D10" w14:textId="77777777" w:rsidR="000E297A" w:rsidRPr="008232E5" w:rsidRDefault="000E297A" w:rsidP="001C5462">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JRRC</w:t>
            </w:r>
          </w:p>
        </w:tc>
        <w:tc>
          <w:tcPr>
            <w:tcW w:w="1490" w:type="pct"/>
          </w:tcPr>
          <w:p w14:paraId="6F8691F2" w14:textId="77777777" w:rsidR="000E297A" w:rsidRPr="008232E5" w:rsidRDefault="000E297A" w:rsidP="00224CD0">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Social Services </w:t>
            </w:r>
            <w:r w:rsidRPr="1FF1B213">
              <w:rPr>
                <w:rFonts w:ascii="Arial Narrow,Arial" w:eastAsia="Arial Narrow,Arial" w:hAnsi="Arial Narrow,Arial" w:cs="Arial Narrow,Arial"/>
                <w:b/>
                <w:color w:val="FFFFFF" w:themeColor="background1"/>
                <w:sz w:val="22"/>
                <w:szCs w:val="22"/>
              </w:rPr>
              <w:t xml:space="preserve">        </w:t>
            </w:r>
            <w:r w:rsidRPr="1FF1B213">
              <w:rPr>
                <w:rFonts w:ascii="Arial Narrow" w:eastAsia="Arial Narrow" w:hAnsi="Arial Narrow" w:cs="Arial Narrow"/>
                <w:b/>
                <w:color w:val="FFFFFF" w:themeColor="background1"/>
                <w:sz w:val="22"/>
                <w:szCs w:val="22"/>
              </w:rPr>
              <w:t xml:space="preserve">      Specialist </w:t>
            </w:r>
            <w:r w:rsidR="00224CD0">
              <w:rPr>
                <w:rFonts w:ascii="Arial Narrow" w:eastAsia="Arial Narrow" w:hAnsi="Arial Narrow" w:cs="Arial Narrow"/>
                <w:b/>
                <w:color w:val="FFFFFF" w:themeColor="background1"/>
                <w:sz w:val="22"/>
                <w:szCs w:val="22"/>
              </w:rPr>
              <w:t xml:space="preserve"> 2</w:t>
            </w:r>
          </w:p>
        </w:tc>
        <w:tc>
          <w:tcPr>
            <w:tcW w:w="1202" w:type="pct"/>
          </w:tcPr>
          <w:p w14:paraId="1899E787" w14:textId="77777777" w:rsidR="000E297A" w:rsidRPr="008232E5" w:rsidRDefault="000E297A" w:rsidP="00224CD0">
            <w:pPr>
              <w:keepNext/>
              <w:keepLines/>
              <w:spacing w:before="20" w:after="2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Social Services Specialist</w:t>
            </w:r>
            <w:r w:rsidR="00224CD0">
              <w:rPr>
                <w:rFonts w:ascii="Arial Narrow" w:eastAsia="Arial Narrow" w:hAnsi="Arial Narrow" w:cs="Arial Narrow"/>
                <w:b/>
                <w:color w:val="FFFFFF" w:themeColor="background1"/>
                <w:sz w:val="22"/>
                <w:szCs w:val="22"/>
              </w:rPr>
              <w:t xml:space="preserve"> 3</w:t>
            </w:r>
          </w:p>
        </w:tc>
      </w:tr>
      <w:tr w:rsidR="000E297A" w:rsidRPr="00FF29BA" w14:paraId="11602EC7" w14:textId="77777777" w:rsidTr="001C5462">
        <w:trPr>
          <w:cnfStyle w:val="000000100000" w:firstRow="0" w:lastRow="0" w:firstColumn="0" w:lastColumn="0" w:oddVBand="0" w:evenVBand="0" w:oddHBand="1" w:evenHBand="0" w:firstRowFirstColumn="0" w:firstRowLastColumn="0" w:lastRowFirstColumn="0" w:lastRowLastColumn="0"/>
        </w:trPr>
        <w:tc>
          <w:tcPr>
            <w:tcW w:w="827" w:type="pct"/>
            <w:vAlign w:val="center"/>
          </w:tcPr>
          <w:p w14:paraId="25E5F14C" w14:textId="77777777" w:rsidR="000E297A" w:rsidRPr="00FF29BA" w:rsidRDefault="000E297A" w:rsidP="001C5462">
            <w:pPr>
              <w:keepNext/>
              <w:keepLines/>
              <w:spacing w:before="40" w:after="40"/>
              <w:rPr>
                <w:rFonts w:ascii="Arial Narrow" w:hAnsi="Arial Narrow"/>
                <w:b/>
                <w:sz w:val="20"/>
                <w:szCs w:val="20"/>
              </w:rPr>
            </w:pPr>
            <w:r w:rsidRPr="00FF29BA">
              <w:rPr>
                <w:rFonts w:ascii="Arial Narrow" w:hAnsi="Arial Narrow"/>
                <w:b/>
                <w:sz w:val="20"/>
                <w:szCs w:val="20"/>
              </w:rPr>
              <w:t xml:space="preserve">Occupational Category </w:t>
            </w:r>
          </w:p>
        </w:tc>
        <w:tc>
          <w:tcPr>
            <w:tcW w:w="1481" w:type="pct"/>
            <w:vAlign w:val="center"/>
          </w:tcPr>
          <w:p w14:paraId="0166B120" w14:textId="77777777" w:rsidR="000E297A" w:rsidRPr="00FF29BA" w:rsidRDefault="000E297A" w:rsidP="001C5462">
            <w:pPr>
              <w:keepNext/>
              <w:keepLines/>
              <w:spacing w:before="40" w:after="40"/>
              <w:contextualSpacing/>
              <w:rPr>
                <w:rFonts w:ascii="Arial Narrow" w:hAnsi="Arial Narrow"/>
                <w:sz w:val="20"/>
                <w:szCs w:val="20"/>
              </w:rPr>
            </w:pPr>
            <w:r w:rsidRPr="00FF29BA">
              <w:rPr>
                <w:rFonts w:ascii="Arial Narrow" w:hAnsi="Arial Narrow"/>
                <w:sz w:val="20"/>
                <w:szCs w:val="20"/>
              </w:rPr>
              <w:t xml:space="preserve">Social Services </w:t>
            </w:r>
          </w:p>
        </w:tc>
        <w:tc>
          <w:tcPr>
            <w:tcW w:w="1490" w:type="pct"/>
            <w:vAlign w:val="center"/>
          </w:tcPr>
          <w:p w14:paraId="5BA5DB29" w14:textId="77777777" w:rsidR="000E297A" w:rsidRPr="00FF29BA" w:rsidRDefault="000E297A" w:rsidP="001C5462">
            <w:pPr>
              <w:keepNext/>
              <w:keepLines/>
              <w:spacing w:before="40" w:after="40"/>
              <w:contextualSpacing/>
              <w:rPr>
                <w:rFonts w:ascii="Arial Narrow" w:hAnsi="Arial Narrow"/>
                <w:sz w:val="20"/>
                <w:szCs w:val="20"/>
              </w:rPr>
            </w:pPr>
            <w:r w:rsidRPr="00FF29BA">
              <w:rPr>
                <w:rFonts w:ascii="Arial Narrow" w:hAnsi="Arial Narrow"/>
                <w:sz w:val="20"/>
                <w:szCs w:val="20"/>
              </w:rPr>
              <w:t>Social Services</w:t>
            </w:r>
          </w:p>
        </w:tc>
        <w:tc>
          <w:tcPr>
            <w:tcW w:w="1202" w:type="pct"/>
            <w:vAlign w:val="center"/>
          </w:tcPr>
          <w:p w14:paraId="04D59921" w14:textId="77777777" w:rsidR="000E297A" w:rsidRPr="00FF29BA" w:rsidRDefault="000E297A" w:rsidP="001C5462">
            <w:pPr>
              <w:keepNext/>
              <w:keepLines/>
              <w:spacing w:before="40" w:after="40"/>
              <w:contextualSpacing/>
              <w:rPr>
                <w:rFonts w:ascii="Arial Narrow" w:hAnsi="Arial Narrow"/>
                <w:sz w:val="20"/>
                <w:szCs w:val="20"/>
              </w:rPr>
            </w:pPr>
            <w:r w:rsidRPr="00FF29BA">
              <w:rPr>
                <w:rFonts w:ascii="Arial Narrow" w:hAnsi="Arial Narrow"/>
                <w:sz w:val="20"/>
                <w:szCs w:val="20"/>
              </w:rPr>
              <w:t>Social Services</w:t>
            </w:r>
          </w:p>
        </w:tc>
      </w:tr>
      <w:tr w:rsidR="000E297A" w:rsidRPr="00FF29BA" w14:paraId="73F2B3C4" w14:textId="77777777" w:rsidTr="001C5462">
        <w:tc>
          <w:tcPr>
            <w:tcW w:w="827" w:type="pct"/>
            <w:vAlign w:val="center"/>
          </w:tcPr>
          <w:p w14:paraId="31EF4D14" w14:textId="77777777" w:rsidR="000E297A" w:rsidRPr="00FF29BA" w:rsidRDefault="000E297A" w:rsidP="001C5462">
            <w:pPr>
              <w:keepNext/>
              <w:keepLines/>
              <w:spacing w:before="40" w:after="40"/>
              <w:rPr>
                <w:rFonts w:ascii="Arial Narrow" w:hAnsi="Arial Narrow"/>
                <w:b/>
                <w:sz w:val="20"/>
                <w:szCs w:val="20"/>
              </w:rPr>
            </w:pPr>
            <w:r w:rsidRPr="00FF29BA">
              <w:rPr>
                <w:rFonts w:ascii="Arial Narrow" w:hAnsi="Arial Narrow"/>
                <w:b/>
                <w:sz w:val="20"/>
                <w:szCs w:val="20"/>
              </w:rPr>
              <w:t>Supervisory Responsibility?</w:t>
            </w:r>
          </w:p>
        </w:tc>
        <w:tc>
          <w:tcPr>
            <w:tcW w:w="1481" w:type="pct"/>
            <w:vAlign w:val="center"/>
          </w:tcPr>
          <w:p w14:paraId="446CC85D" w14:textId="77777777" w:rsidR="000E297A" w:rsidRPr="00FF29BA" w:rsidRDefault="000E297A" w:rsidP="001C5462">
            <w:pPr>
              <w:keepNext/>
              <w:keepLines/>
              <w:spacing w:before="40" w:after="40"/>
              <w:contextualSpacing/>
              <w:rPr>
                <w:rFonts w:ascii="Arial Narrow" w:hAnsi="Arial Narrow"/>
                <w:sz w:val="20"/>
                <w:szCs w:val="20"/>
              </w:rPr>
            </w:pPr>
            <w:r w:rsidRPr="00FF29BA">
              <w:rPr>
                <w:rFonts w:ascii="Arial Narrow" w:hAnsi="Arial Narrow"/>
                <w:sz w:val="20"/>
                <w:szCs w:val="20"/>
              </w:rPr>
              <w:t xml:space="preserve">No </w:t>
            </w:r>
          </w:p>
        </w:tc>
        <w:tc>
          <w:tcPr>
            <w:tcW w:w="1490" w:type="pct"/>
            <w:vAlign w:val="center"/>
          </w:tcPr>
          <w:p w14:paraId="1C4F784C" w14:textId="77777777" w:rsidR="000E297A" w:rsidRPr="00FF29BA" w:rsidRDefault="000E297A" w:rsidP="001C5462">
            <w:pPr>
              <w:keepNext/>
              <w:keepLines/>
              <w:spacing w:before="40" w:after="40"/>
              <w:contextualSpacing/>
              <w:rPr>
                <w:rFonts w:ascii="Arial Narrow" w:hAnsi="Arial Narrow"/>
                <w:sz w:val="20"/>
                <w:szCs w:val="20"/>
              </w:rPr>
            </w:pPr>
            <w:r w:rsidRPr="00FF29BA">
              <w:rPr>
                <w:rFonts w:ascii="Arial Narrow" w:hAnsi="Arial Narrow"/>
                <w:sz w:val="20"/>
                <w:szCs w:val="20"/>
              </w:rPr>
              <w:t xml:space="preserve">No </w:t>
            </w:r>
          </w:p>
        </w:tc>
        <w:tc>
          <w:tcPr>
            <w:tcW w:w="1202" w:type="pct"/>
            <w:vAlign w:val="center"/>
          </w:tcPr>
          <w:p w14:paraId="2FC6AD4A" w14:textId="77777777" w:rsidR="000E297A" w:rsidRPr="00FF29BA" w:rsidRDefault="000E297A" w:rsidP="001C5462">
            <w:pPr>
              <w:keepNext/>
              <w:keepLines/>
              <w:spacing w:before="40" w:after="40"/>
              <w:contextualSpacing/>
              <w:rPr>
                <w:rFonts w:ascii="Arial Narrow" w:hAnsi="Arial Narrow"/>
                <w:sz w:val="20"/>
                <w:szCs w:val="20"/>
              </w:rPr>
            </w:pPr>
            <w:r w:rsidRPr="00FF29BA">
              <w:rPr>
                <w:rFonts w:ascii="Arial Narrow" w:hAnsi="Arial Narrow"/>
                <w:sz w:val="20"/>
                <w:szCs w:val="20"/>
              </w:rPr>
              <w:t xml:space="preserve">No </w:t>
            </w:r>
          </w:p>
        </w:tc>
      </w:tr>
      <w:tr w:rsidR="000E297A" w:rsidRPr="00FF29BA" w14:paraId="3C444DF7" w14:textId="77777777" w:rsidTr="001C5462">
        <w:trPr>
          <w:cnfStyle w:val="000000100000" w:firstRow="0" w:lastRow="0" w:firstColumn="0" w:lastColumn="0" w:oddVBand="0" w:evenVBand="0" w:oddHBand="1" w:evenHBand="0" w:firstRowFirstColumn="0" w:firstRowLastColumn="0" w:lastRowFirstColumn="0" w:lastRowLastColumn="0"/>
        </w:trPr>
        <w:tc>
          <w:tcPr>
            <w:tcW w:w="827" w:type="pct"/>
            <w:vAlign w:val="center"/>
          </w:tcPr>
          <w:p w14:paraId="40E755C6"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 xml:space="preserve">Time in job prior to promotion within series </w:t>
            </w:r>
          </w:p>
        </w:tc>
        <w:tc>
          <w:tcPr>
            <w:tcW w:w="1481" w:type="pct"/>
            <w:vAlign w:val="center"/>
          </w:tcPr>
          <w:p w14:paraId="05D2523E" w14:textId="77777777" w:rsidR="000E297A" w:rsidRPr="00FF29BA" w:rsidRDefault="000E297A" w:rsidP="001C5462">
            <w:pPr>
              <w:keepNext/>
              <w:spacing w:before="40" w:after="40"/>
              <w:contextualSpacing/>
              <w:rPr>
                <w:rFonts w:ascii="Arial Narrow" w:hAnsi="Arial Narrow"/>
                <w:sz w:val="20"/>
                <w:szCs w:val="20"/>
              </w:rPr>
            </w:pPr>
            <w:r>
              <w:rPr>
                <w:rFonts w:ascii="Arial Narrow" w:hAnsi="Arial Narrow"/>
                <w:sz w:val="20"/>
                <w:szCs w:val="20"/>
              </w:rPr>
              <w:t>One</w:t>
            </w:r>
            <w:r w:rsidRPr="00FF29BA">
              <w:rPr>
                <w:rFonts w:ascii="Arial Narrow" w:hAnsi="Arial Narrow"/>
                <w:sz w:val="20"/>
                <w:szCs w:val="20"/>
              </w:rPr>
              <w:t xml:space="preserve"> year (0 years if candidate has a master’s degree in a relevant field) </w:t>
            </w:r>
          </w:p>
        </w:tc>
        <w:tc>
          <w:tcPr>
            <w:tcW w:w="1490" w:type="pct"/>
            <w:vAlign w:val="center"/>
          </w:tcPr>
          <w:p w14:paraId="70A9C8AC" w14:textId="77777777" w:rsidR="000E297A" w:rsidRPr="00FF29BA" w:rsidRDefault="000E297A" w:rsidP="001C5462">
            <w:pPr>
              <w:keepNext/>
              <w:spacing w:before="40" w:after="40"/>
              <w:contextualSpacing/>
              <w:rPr>
                <w:rFonts w:ascii="Arial Narrow" w:hAnsi="Arial Narrow"/>
                <w:sz w:val="20"/>
                <w:szCs w:val="20"/>
                <w:highlight w:val="yellow"/>
              </w:rPr>
            </w:pPr>
            <w:r w:rsidRPr="00FF29BA">
              <w:rPr>
                <w:rFonts w:ascii="Arial Narrow" w:hAnsi="Arial Narrow"/>
                <w:sz w:val="20"/>
                <w:szCs w:val="20"/>
              </w:rPr>
              <w:t xml:space="preserve">Minimum of 1 or 2 years, depending on education </w:t>
            </w:r>
          </w:p>
        </w:tc>
        <w:tc>
          <w:tcPr>
            <w:tcW w:w="1202" w:type="pct"/>
            <w:vAlign w:val="center"/>
          </w:tcPr>
          <w:p w14:paraId="3C845882" w14:textId="77777777" w:rsidR="000E297A" w:rsidRPr="00FF29BA" w:rsidRDefault="000E297A" w:rsidP="001C5462">
            <w:pPr>
              <w:keepNext/>
              <w:spacing w:before="40" w:after="40"/>
              <w:contextualSpacing/>
              <w:rPr>
                <w:rFonts w:ascii="Arial Narrow" w:hAnsi="Arial Narrow"/>
                <w:sz w:val="20"/>
                <w:szCs w:val="20"/>
              </w:rPr>
            </w:pPr>
          </w:p>
        </w:tc>
      </w:tr>
      <w:tr w:rsidR="000E297A" w:rsidRPr="00FF29BA" w14:paraId="4936D814" w14:textId="77777777" w:rsidTr="001C5462">
        <w:tc>
          <w:tcPr>
            <w:tcW w:w="827" w:type="pct"/>
          </w:tcPr>
          <w:p w14:paraId="236FD54C"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Desirable Qualifications</w:t>
            </w:r>
          </w:p>
        </w:tc>
        <w:tc>
          <w:tcPr>
            <w:tcW w:w="1481" w:type="pct"/>
          </w:tcPr>
          <w:p w14:paraId="145692EA" w14:textId="77777777" w:rsidR="000E297A" w:rsidRPr="00FF29BA" w:rsidRDefault="000E297A" w:rsidP="001C5462">
            <w:pPr>
              <w:pStyle w:val="TableBullet"/>
            </w:pPr>
            <w:r>
              <w:t>one</w:t>
            </w:r>
            <w:r w:rsidRPr="00FF29BA">
              <w:t xml:space="preserve"> year as a JRCA </w:t>
            </w:r>
          </w:p>
          <w:p w14:paraId="584EC75D" w14:textId="77777777" w:rsidR="000E297A" w:rsidRPr="00FF29BA" w:rsidRDefault="000E297A" w:rsidP="001C5462">
            <w:pPr>
              <w:pStyle w:val="TableBullet"/>
              <w:numPr>
                <w:ilvl w:val="0"/>
                <w:numId w:val="0"/>
              </w:numPr>
              <w:ind w:left="130"/>
              <w:jc w:val="center"/>
            </w:pPr>
            <w:r w:rsidRPr="00FF29BA">
              <w:t>OR</w:t>
            </w:r>
          </w:p>
          <w:p w14:paraId="61432901" w14:textId="77777777" w:rsidR="000E297A" w:rsidRPr="00FF29BA" w:rsidRDefault="000E297A" w:rsidP="001C5462">
            <w:pPr>
              <w:pStyle w:val="TableBullet"/>
            </w:pPr>
            <w:r w:rsidRPr="00FF29BA">
              <w:t xml:space="preserve">A Bachelor’s degree and </w:t>
            </w:r>
            <w:r>
              <w:t>one</w:t>
            </w:r>
            <w:r w:rsidRPr="00FF29BA">
              <w:t xml:space="preserve"> year of experience in casework, counseling, probation and parole, social services, etc</w:t>
            </w:r>
            <w:r>
              <w:t xml:space="preserve">. </w:t>
            </w:r>
          </w:p>
          <w:p w14:paraId="6888EC9E" w14:textId="77777777" w:rsidR="000E297A" w:rsidRPr="00FF29BA" w:rsidRDefault="000E297A" w:rsidP="001C5462">
            <w:pPr>
              <w:pStyle w:val="TableBullet"/>
            </w:pPr>
            <w:r w:rsidRPr="00FF29BA">
              <w:t xml:space="preserve">A Master’s degree in Psychology, Sociology, Social Work, Social Sciences or an allied field may substitute for the year of experience </w:t>
            </w:r>
          </w:p>
        </w:tc>
        <w:tc>
          <w:tcPr>
            <w:tcW w:w="1490" w:type="pct"/>
          </w:tcPr>
          <w:p w14:paraId="67EA60C2" w14:textId="77777777" w:rsidR="000E297A" w:rsidRPr="00FF29BA" w:rsidRDefault="000E297A" w:rsidP="001C5462">
            <w:pPr>
              <w:pStyle w:val="TableBullet"/>
            </w:pPr>
            <w:r>
              <w:t>Twelve</w:t>
            </w:r>
            <w:r w:rsidRPr="00FF29BA">
              <w:t xml:space="preserve"> months as an SSS1</w:t>
            </w:r>
          </w:p>
          <w:p w14:paraId="258ED9E1" w14:textId="77777777" w:rsidR="000E297A" w:rsidRPr="00FF29BA" w:rsidRDefault="000E297A" w:rsidP="001C5462">
            <w:pPr>
              <w:pStyle w:val="TableBullet"/>
              <w:numPr>
                <w:ilvl w:val="0"/>
                <w:numId w:val="0"/>
              </w:numPr>
              <w:ind w:left="130"/>
              <w:jc w:val="center"/>
            </w:pPr>
            <w:r w:rsidRPr="00FF29BA">
              <w:t>AND</w:t>
            </w:r>
          </w:p>
          <w:p w14:paraId="744959B0" w14:textId="77777777" w:rsidR="000E297A" w:rsidRPr="00FF29BA" w:rsidRDefault="000E297A" w:rsidP="001C5462">
            <w:pPr>
              <w:pStyle w:val="TableBullet"/>
            </w:pPr>
            <w:r w:rsidRPr="00FF29BA">
              <w:t xml:space="preserve">Completion of SSS training program </w:t>
            </w:r>
          </w:p>
          <w:p w14:paraId="3D02A3AF" w14:textId="77777777" w:rsidR="000E297A" w:rsidRPr="00FF29BA" w:rsidRDefault="000E297A" w:rsidP="001C5462">
            <w:pPr>
              <w:pStyle w:val="TableBullet"/>
              <w:numPr>
                <w:ilvl w:val="0"/>
                <w:numId w:val="0"/>
              </w:numPr>
              <w:ind w:left="130"/>
              <w:jc w:val="center"/>
            </w:pPr>
            <w:r w:rsidRPr="00FF29BA">
              <w:t>OR</w:t>
            </w:r>
          </w:p>
          <w:p w14:paraId="294E3609" w14:textId="77777777" w:rsidR="000E297A" w:rsidRPr="00FF29BA" w:rsidRDefault="000E297A" w:rsidP="001C5462">
            <w:pPr>
              <w:pStyle w:val="TableBullet"/>
            </w:pPr>
            <w:r w:rsidRPr="00FF29BA">
              <w:t xml:space="preserve">Master’s degree in social services or related field and </w:t>
            </w:r>
            <w:r>
              <w:t xml:space="preserve">one </w:t>
            </w:r>
            <w:r w:rsidRPr="00FF29BA">
              <w:t>year as an SSS1</w:t>
            </w:r>
          </w:p>
          <w:p w14:paraId="387BB95B" w14:textId="77777777" w:rsidR="000E297A" w:rsidRPr="00FF29BA" w:rsidRDefault="000E297A" w:rsidP="001C5462">
            <w:pPr>
              <w:pStyle w:val="TableBullet"/>
              <w:numPr>
                <w:ilvl w:val="0"/>
                <w:numId w:val="0"/>
              </w:numPr>
              <w:ind w:left="130"/>
              <w:jc w:val="center"/>
            </w:pPr>
            <w:r w:rsidRPr="00FF29BA">
              <w:t>OR</w:t>
            </w:r>
          </w:p>
          <w:p w14:paraId="7D82B9D6" w14:textId="77777777" w:rsidR="000E297A" w:rsidRPr="00FF29BA" w:rsidRDefault="000E297A" w:rsidP="001C5462">
            <w:pPr>
              <w:pStyle w:val="TableBullet"/>
            </w:pPr>
            <w:r w:rsidRPr="00FF29BA">
              <w:t xml:space="preserve">A Bachelor’s degree in social services or related and </w:t>
            </w:r>
            <w:r>
              <w:t>two</w:t>
            </w:r>
            <w:r w:rsidRPr="00FF29BA">
              <w:t xml:space="preserve"> years of paid experience comparable to an SSS1</w:t>
            </w:r>
          </w:p>
        </w:tc>
        <w:tc>
          <w:tcPr>
            <w:tcW w:w="1202" w:type="pct"/>
          </w:tcPr>
          <w:p w14:paraId="1B204885" w14:textId="77777777" w:rsidR="000E297A" w:rsidRPr="00FF29BA" w:rsidRDefault="000E297A" w:rsidP="001C5462">
            <w:pPr>
              <w:pStyle w:val="TableBullet"/>
            </w:pPr>
            <w:r>
              <w:t>Twelve</w:t>
            </w:r>
            <w:r w:rsidRPr="00FF29BA">
              <w:t xml:space="preserve"> months as SSS2</w:t>
            </w:r>
          </w:p>
          <w:p w14:paraId="408AE0DF" w14:textId="77777777" w:rsidR="000E297A" w:rsidRPr="00FF29BA" w:rsidRDefault="000E297A" w:rsidP="001C5462">
            <w:pPr>
              <w:pStyle w:val="TableBullet"/>
              <w:numPr>
                <w:ilvl w:val="0"/>
                <w:numId w:val="0"/>
              </w:numPr>
              <w:ind w:left="130"/>
              <w:jc w:val="center"/>
            </w:pPr>
            <w:r w:rsidRPr="00FF29BA">
              <w:t>OR</w:t>
            </w:r>
          </w:p>
          <w:p w14:paraId="2AE19A96" w14:textId="77777777" w:rsidR="000E297A" w:rsidRPr="00FF29BA" w:rsidRDefault="000E297A" w:rsidP="001C5462">
            <w:pPr>
              <w:pStyle w:val="TableBullet"/>
            </w:pPr>
            <w:r w:rsidRPr="00FF29BA">
              <w:t xml:space="preserve">Master’s degree in social services or related field and </w:t>
            </w:r>
            <w:r>
              <w:t>two</w:t>
            </w:r>
            <w:r w:rsidRPr="00FF29BA">
              <w:t xml:space="preserve"> years paid experience comparable to an SSI2</w:t>
            </w:r>
          </w:p>
          <w:p w14:paraId="2BF44296" w14:textId="77777777" w:rsidR="000E297A" w:rsidRPr="00FF29BA" w:rsidRDefault="000E297A" w:rsidP="001C5462">
            <w:pPr>
              <w:pStyle w:val="TableBullet"/>
              <w:numPr>
                <w:ilvl w:val="0"/>
                <w:numId w:val="0"/>
              </w:numPr>
              <w:ind w:left="130"/>
              <w:jc w:val="center"/>
            </w:pPr>
            <w:r w:rsidRPr="00FF29BA">
              <w:t>OR</w:t>
            </w:r>
          </w:p>
          <w:p w14:paraId="54AB4304" w14:textId="77777777" w:rsidR="000E297A" w:rsidRPr="00FF29BA" w:rsidRDefault="000E297A" w:rsidP="001C5462">
            <w:pPr>
              <w:pStyle w:val="TableBullet"/>
            </w:pPr>
            <w:r w:rsidRPr="00FF29BA">
              <w:t xml:space="preserve">Bachelor’s degree in social services or related and </w:t>
            </w:r>
            <w:r>
              <w:t>three</w:t>
            </w:r>
            <w:r w:rsidRPr="00FF29BA">
              <w:t xml:space="preserve"> years of experience comparable to an SSS2</w:t>
            </w:r>
          </w:p>
        </w:tc>
      </w:tr>
      <w:tr w:rsidR="000E297A" w:rsidRPr="00FF29BA" w14:paraId="6D4F97B9" w14:textId="77777777" w:rsidTr="001C5462">
        <w:trPr>
          <w:cnfStyle w:val="000000100000" w:firstRow="0" w:lastRow="0" w:firstColumn="0" w:lastColumn="0" w:oddVBand="0" w:evenVBand="0" w:oddHBand="1" w:evenHBand="0" w:firstRowFirstColumn="0" w:firstRowLastColumn="0" w:lastRowFirstColumn="0" w:lastRowLastColumn="0"/>
        </w:trPr>
        <w:tc>
          <w:tcPr>
            <w:tcW w:w="827" w:type="pct"/>
          </w:tcPr>
          <w:p w14:paraId="580C591F"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Key Responsibilities </w:t>
            </w:r>
          </w:p>
        </w:tc>
        <w:tc>
          <w:tcPr>
            <w:tcW w:w="1481" w:type="pct"/>
          </w:tcPr>
          <w:p w14:paraId="6CC3DCA4" w14:textId="77777777" w:rsidR="000E297A" w:rsidRPr="00FF29BA" w:rsidRDefault="000E297A" w:rsidP="001C5462">
            <w:pPr>
              <w:pStyle w:val="TableBullet"/>
            </w:pPr>
            <w:r w:rsidRPr="00FF29BA">
              <w:t xml:space="preserve">Manages and provides individualized counseling for up to four youth on caseload </w:t>
            </w:r>
          </w:p>
          <w:p w14:paraId="30F46C60" w14:textId="77777777" w:rsidR="000E297A" w:rsidRPr="00FF29BA" w:rsidRDefault="000E297A" w:rsidP="001C5462">
            <w:pPr>
              <w:pStyle w:val="TableBullet"/>
            </w:pPr>
            <w:r w:rsidRPr="00FF29BA">
              <w:t xml:space="preserve">Provide group and family counseling sessions, facilitates group treatment sessions, and works with youth to identify youth needs and either address through counseling or coordinate appropriate service providers </w:t>
            </w:r>
          </w:p>
          <w:p w14:paraId="2BEE6ED3" w14:textId="77777777" w:rsidR="000E297A" w:rsidRPr="00FF29BA" w:rsidRDefault="000E297A" w:rsidP="001C5462">
            <w:pPr>
              <w:pStyle w:val="TableBullet"/>
            </w:pPr>
            <w:r w:rsidRPr="00FF29BA">
              <w:t xml:space="preserve">Participates in Consultation Team Meetings to assess and discuss youth progress </w:t>
            </w:r>
          </w:p>
          <w:p w14:paraId="751E6738" w14:textId="77777777" w:rsidR="000E297A" w:rsidRPr="00FF29BA" w:rsidRDefault="000E297A" w:rsidP="001C5462">
            <w:pPr>
              <w:pStyle w:val="TableBullet"/>
            </w:pPr>
            <w:r w:rsidRPr="00FF29BA">
              <w:t>Serves as liaison between youth and family, courts, treatment providers, schools, employers, and other parties as necessary</w:t>
            </w:r>
          </w:p>
          <w:p w14:paraId="2A6AD5FE" w14:textId="77777777" w:rsidR="000E297A" w:rsidRPr="00FF29BA" w:rsidRDefault="000E297A" w:rsidP="001C5462">
            <w:pPr>
              <w:pStyle w:val="TableBullet"/>
            </w:pPr>
            <w:r w:rsidRPr="00FF29BA">
              <w:t xml:space="preserve">Ensures security of unit by tracking youth location, monitoring rooms, and conducting searches </w:t>
            </w:r>
          </w:p>
          <w:p w14:paraId="5FA0347C" w14:textId="77777777" w:rsidR="000E297A" w:rsidRPr="00FF29BA" w:rsidRDefault="000E297A" w:rsidP="001C5462">
            <w:pPr>
              <w:pStyle w:val="TableBullet"/>
            </w:pPr>
            <w:r w:rsidRPr="00FF29BA">
              <w:t xml:space="preserve">Supervises youth in daily living activities </w:t>
            </w:r>
          </w:p>
          <w:p w14:paraId="200A5044" w14:textId="77777777" w:rsidR="000E297A" w:rsidRPr="00FF29BA" w:rsidRDefault="000E297A" w:rsidP="001C5462">
            <w:pPr>
              <w:pStyle w:val="TableBullet"/>
            </w:pPr>
            <w:r w:rsidRPr="00FF29BA">
              <w:t xml:space="preserve">Maintains case documentation </w:t>
            </w:r>
          </w:p>
        </w:tc>
        <w:tc>
          <w:tcPr>
            <w:tcW w:w="1490" w:type="pct"/>
          </w:tcPr>
          <w:p w14:paraId="46B604AA" w14:textId="77777777" w:rsidR="000E297A" w:rsidRPr="00FF29BA" w:rsidRDefault="000E297A" w:rsidP="001C5462">
            <w:pPr>
              <w:pStyle w:val="TableBullet"/>
            </w:pPr>
            <w:r w:rsidRPr="00FF29BA">
              <w:t xml:space="preserve">Provide routine licensing functions that do not include recruitment or monitoring OR </w:t>
            </w:r>
          </w:p>
          <w:p w14:paraId="4FDDBDEE" w14:textId="77777777" w:rsidR="000E297A" w:rsidRPr="00FF29BA" w:rsidRDefault="000E297A" w:rsidP="001C5462">
            <w:pPr>
              <w:pStyle w:val="TableBullet"/>
            </w:pPr>
            <w:r w:rsidRPr="00FF29BA">
              <w:t>Provide risk assessment intake for CPS cases and recommend disposition (supervisory approval required) OR</w:t>
            </w:r>
          </w:p>
          <w:p w14:paraId="08CC3AF1" w14:textId="77777777" w:rsidR="000E297A" w:rsidRPr="00FF29BA" w:rsidRDefault="000E297A" w:rsidP="001C5462">
            <w:pPr>
              <w:pStyle w:val="TableBullet"/>
            </w:pPr>
            <w:r w:rsidRPr="00FF29BA">
              <w:t xml:space="preserve">Provide other </w:t>
            </w:r>
            <w:r w:rsidRPr="00FF29BA">
              <w:rPr>
                <w:b/>
              </w:rPr>
              <w:t>indirect</w:t>
            </w:r>
            <w:r w:rsidRPr="00FF29BA">
              <w:t xml:space="preserve"> services that include determining eligibility for out of home placement, providing case management, and monitoring contract social services agencies providing direct services    </w:t>
            </w:r>
          </w:p>
          <w:p w14:paraId="1DFDDD1C" w14:textId="77777777" w:rsidR="000E297A" w:rsidRPr="00FF29BA" w:rsidRDefault="000E297A" w:rsidP="001C5462">
            <w:pPr>
              <w:pStyle w:val="TableBullet"/>
            </w:pPr>
            <w:r w:rsidRPr="00FF29BA">
              <w:t>Participate in multidisciplinary case/team meetings</w:t>
            </w:r>
          </w:p>
          <w:p w14:paraId="2F183F6F" w14:textId="77777777" w:rsidR="000E297A" w:rsidRPr="00FF29BA" w:rsidRDefault="000E297A" w:rsidP="001C5462">
            <w:pPr>
              <w:pStyle w:val="TableBullet"/>
            </w:pPr>
            <w:r w:rsidRPr="00FF29BA">
              <w:t xml:space="preserve">Work with children and families to assist with family reunification, including conducting risk assessments, creating and monitoring service plans, prepare for court proceedings, and make referrals for therapeutic and counseling services. </w:t>
            </w:r>
          </w:p>
        </w:tc>
        <w:tc>
          <w:tcPr>
            <w:tcW w:w="1202" w:type="pct"/>
          </w:tcPr>
          <w:p w14:paraId="50464B02" w14:textId="77777777" w:rsidR="000E297A" w:rsidRPr="00FF29BA" w:rsidRDefault="000E297A" w:rsidP="001C5462">
            <w:pPr>
              <w:pStyle w:val="TableBullet"/>
            </w:pPr>
            <w:r w:rsidRPr="00FF29BA">
              <w:t>Similar to SSS</w:t>
            </w:r>
            <w:r>
              <w:t>2</w:t>
            </w:r>
            <w:r w:rsidRPr="00FF29BA">
              <w:t>, but case management responsibilities are expanded to include:</w:t>
            </w:r>
          </w:p>
          <w:p w14:paraId="33B862B8" w14:textId="77777777" w:rsidR="000E297A" w:rsidRPr="00FF29BA" w:rsidRDefault="000E297A" w:rsidP="001C5462">
            <w:pPr>
              <w:pStyle w:val="TableBullet"/>
              <w:ind w:left="287"/>
            </w:pPr>
            <w:r w:rsidRPr="00FF29BA">
              <w:t xml:space="preserve">Provide crisis counseling and interventions to children and families </w:t>
            </w:r>
          </w:p>
          <w:p w14:paraId="43B00243" w14:textId="77777777" w:rsidR="000E297A" w:rsidRPr="00FF29BA" w:rsidRDefault="000E297A" w:rsidP="001C5462">
            <w:pPr>
              <w:pStyle w:val="TableBullet"/>
              <w:ind w:left="287"/>
            </w:pPr>
            <w:r w:rsidRPr="00FF29BA">
              <w:t>Assess needs for out of home placements and counseling adults and children regarding the need for placement, separation of family members and loss trauma, and the steps for reunification</w:t>
            </w:r>
          </w:p>
          <w:p w14:paraId="5253A0E0" w14:textId="77777777" w:rsidR="000E297A" w:rsidRPr="00FF29BA" w:rsidRDefault="000E297A" w:rsidP="001C5462">
            <w:pPr>
              <w:pStyle w:val="TableBullet"/>
              <w:ind w:left="287"/>
            </w:pPr>
            <w:r w:rsidRPr="00FF29BA">
              <w:t xml:space="preserve">Provide permanency planning </w:t>
            </w:r>
          </w:p>
        </w:tc>
      </w:tr>
      <w:tr w:rsidR="000E297A" w:rsidRPr="00FF29BA" w14:paraId="4EA03080" w14:textId="77777777" w:rsidTr="004B3EAE">
        <w:trPr>
          <w:cantSplit/>
        </w:trPr>
        <w:tc>
          <w:tcPr>
            <w:tcW w:w="827" w:type="pct"/>
          </w:tcPr>
          <w:p w14:paraId="217C990F"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b/>
                <w:sz w:val="20"/>
                <w:szCs w:val="20"/>
              </w:rPr>
              <w:lastRenderedPageBreak/>
              <w:t xml:space="preserve">Case Management Responsibilities </w:t>
            </w:r>
          </w:p>
        </w:tc>
        <w:tc>
          <w:tcPr>
            <w:tcW w:w="1481" w:type="pct"/>
          </w:tcPr>
          <w:p w14:paraId="440889E0"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Typically, a maximum of 4 youth </w:t>
            </w:r>
          </w:p>
        </w:tc>
        <w:tc>
          <w:tcPr>
            <w:tcW w:w="1490" w:type="pct"/>
          </w:tcPr>
          <w:p w14:paraId="169E1D69"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Caseload sizes not available, but typically child welfare case workers will carry a much larger caseload as individual counseling is not a requirement </w:t>
            </w:r>
          </w:p>
        </w:tc>
        <w:tc>
          <w:tcPr>
            <w:tcW w:w="1202" w:type="pct"/>
          </w:tcPr>
          <w:p w14:paraId="4ADB001D"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Caseload sizes not available, but typically child welfare case workers will carry a much larger caseload as individual counseling is not a requirement</w:t>
            </w:r>
          </w:p>
        </w:tc>
      </w:tr>
      <w:tr w:rsidR="000E297A" w:rsidRPr="00FF29BA" w14:paraId="57EC8F38" w14:textId="77777777" w:rsidTr="001C5462">
        <w:trPr>
          <w:cnfStyle w:val="000000100000" w:firstRow="0" w:lastRow="0" w:firstColumn="0" w:lastColumn="0" w:oddVBand="0" w:evenVBand="0" w:oddHBand="1" w:evenHBand="0" w:firstRowFirstColumn="0" w:firstRowLastColumn="0" w:lastRowFirstColumn="0" w:lastRowLastColumn="0"/>
        </w:trPr>
        <w:tc>
          <w:tcPr>
            <w:tcW w:w="827" w:type="pct"/>
          </w:tcPr>
          <w:p w14:paraId="727181C7"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Conduct Group Counseling </w:t>
            </w:r>
          </w:p>
        </w:tc>
        <w:tc>
          <w:tcPr>
            <w:tcW w:w="1481" w:type="pct"/>
            <w:vAlign w:val="center"/>
          </w:tcPr>
          <w:p w14:paraId="078CA2FC"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Yes </w:t>
            </w:r>
          </w:p>
        </w:tc>
        <w:tc>
          <w:tcPr>
            <w:tcW w:w="1490" w:type="pct"/>
            <w:vAlign w:val="center"/>
          </w:tcPr>
          <w:p w14:paraId="39556268"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No </w:t>
            </w:r>
          </w:p>
        </w:tc>
        <w:tc>
          <w:tcPr>
            <w:tcW w:w="1202" w:type="pct"/>
            <w:vAlign w:val="center"/>
          </w:tcPr>
          <w:p w14:paraId="1BAD06DA"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No </w:t>
            </w:r>
          </w:p>
        </w:tc>
      </w:tr>
      <w:tr w:rsidR="000E297A" w:rsidRPr="00FF29BA" w14:paraId="612B22CC" w14:textId="77777777" w:rsidTr="001C5462">
        <w:tc>
          <w:tcPr>
            <w:tcW w:w="827" w:type="pct"/>
          </w:tcPr>
          <w:p w14:paraId="293F2FC3"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Conduct Individualized Counseling </w:t>
            </w:r>
          </w:p>
        </w:tc>
        <w:tc>
          <w:tcPr>
            <w:tcW w:w="1481" w:type="pct"/>
            <w:vAlign w:val="center"/>
          </w:tcPr>
          <w:p w14:paraId="78180C33"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Yes </w:t>
            </w:r>
          </w:p>
        </w:tc>
        <w:tc>
          <w:tcPr>
            <w:tcW w:w="1490" w:type="pct"/>
            <w:vAlign w:val="center"/>
          </w:tcPr>
          <w:p w14:paraId="4D9901DA"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No </w:t>
            </w:r>
          </w:p>
        </w:tc>
        <w:tc>
          <w:tcPr>
            <w:tcW w:w="1202" w:type="pct"/>
            <w:vAlign w:val="center"/>
          </w:tcPr>
          <w:p w14:paraId="01E8F5D2"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Yes </w:t>
            </w:r>
          </w:p>
        </w:tc>
      </w:tr>
      <w:tr w:rsidR="000E297A" w:rsidRPr="00FF29BA" w14:paraId="0FD581E5" w14:textId="77777777" w:rsidTr="001C5462">
        <w:trPr>
          <w:cnfStyle w:val="000000100000" w:firstRow="0" w:lastRow="0" w:firstColumn="0" w:lastColumn="0" w:oddVBand="0" w:evenVBand="0" w:oddHBand="1" w:evenHBand="0" w:firstRowFirstColumn="0" w:firstRowLastColumn="0" w:lastRowFirstColumn="0" w:lastRowLastColumn="0"/>
        </w:trPr>
        <w:tc>
          <w:tcPr>
            <w:tcW w:w="827" w:type="pct"/>
          </w:tcPr>
          <w:p w14:paraId="4EE2DE14"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Pay Range </w:t>
            </w:r>
          </w:p>
        </w:tc>
        <w:tc>
          <w:tcPr>
            <w:tcW w:w="1481" w:type="pct"/>
            <w:vAlign w:val="center"/>
          </w:tcPr>
          <w:p w14:paraId="706E7A4E"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sz w:val="20"/>
                <w:szCs w:val="20"/>
              </w:rPr>
              <w:t>Band 48: $42,060 – $56,580</w:t>
            </w:r>
          </w:p>
        </w:tc>
        <w:tc>
          <w:tcPr>
            <w:tcW w:w="1490" w:type="pct"/>
            <w:vAlign w:val="center"/>
          </w:tcPr>
          <w:p w14:paraId="595708C2"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sz w:val="20"/>
                <w:szCs w:val="20"/>
              </w:rPr>
              <w:t>Band 53: $47,532 – $64,008</w:t>
            </w:r>
          </w:p>
        </w:tc>
        <w:tc>
          <w:tcPr>
            <w:tcW w:w="1202" w:type="pct"/>
            <w:vAlign w:val="center"/>
          </w:tcPr>
          <w:p w14:paraId="7AF7CF38"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sz w:val="20"/>
                <w:szCs w:val="20"/>
              </w:rPr>
              <w:t>Band 55: $50,004 – $67,236</w:t>
            </w:r>
          </w:p>
        </w:tc>
      </w:tr>
      <w:tr w:rsidR="000E297A" w:rsidRPr="00FF29BA" w14:paraId="2CEC2E18" w14:textId="77777777" w:rsidTr="001C5462">
        <w:tc>
          <w:tcPr>
            <w:tcW w:w="827" w:type="pct"/>
          </w:tcPr>
          <w:p w14:paraId="0CE4ED0F" w14:textId="77777777" w:rsidR="00224CD0"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Pay Differential from JRRC </w:t>
            </w:r>
          </w:p>
          <w:p w14:paraId="45671B23"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(Step A)</w:t>
            </w:r>
          </w:p>
        </w:tc>
        <w:tc>
          <w:tcPr>
            <w:tcW w:w="1481" w:type="pct"/>
            <w:vAlign w:val="center"/>
          </w:tcPr>
          <w:p w14:paraId="1F88DA85"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sz w:val="20"/>
                <w:szCs w:val="20"/>
              </w:rPr>
              <w:t>--</w:t>
            </w:r>
          </w:p>
        </w:tc>
        <w:tc>
          <w:tcPr>
            <w:tcW w:w="1490" w:type="pct"/>
            <w:vAlign w:val="center"/>
          </w:tcPr>
          <w:p w14:paraId="6033DAC2"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sz w:val="20"/>
                <w:szCs w:val="20"/>
              </w:rPr>
              <w:t>+13.0%</w:t>
            </w:r>
          </w:p>
        </w:tc>
        <w:tc>
          <w:tcPr>
            <w:tcW w:w="1202" w:type="pct"/>
            <w:vAlign w:val="center"/>
          </w:tcPr>
          <w:p w14:paraId="405C3864" w14:textId="77777777" w:rsidR="000E297A" w:rsidRPr="00FF29BA" w:rsidRDefault="00224CD0" w:rsidP="001C5462">
            <w:pPr>
              <w:spacing w:before="40" w:after="40"/>
              <w:contextualSpacing/>
              <w:rPr>
                <w:rFonts w:ascii="Arial Narrow" w:hAnsi="Arial Narrow"/>
                <w:sz w:val="20"/>
                <w:szCs w:val="20"/>
              </w:rPr>
            </w:pPr>
            <w:r w:rsidRPr="00FF29BA">
              <w:rPr>
                <w:rFonts w:ascii="Arial Narrow" w:hAnsi="Arial Narrow"/>
                <w:sz w:val="20"/>
                <w:szCs w:val="20"/>
              </w:rPr>
              <w:t>+</w:t>
            </w:r>
            <w:r w:rsidR="000E297A" w:rsidRPr="00FF29BA">
              <w:rPr>
                <w:rFonts w:ascii="Arial Narrow" w:hAnsi="Arial Narrow"/>
                <w:sz w:val="20"/>
                <w:szCs w:val="20"/>
              </w:rPr>
              <w:t xml:space="preserve">18.9% </w:t>
            </w:r>
          </w:p>
        </w:tc>
      </w:tr>
    </w:tbl>
    <w:p w14:paraId="7BB1196B" w14:textId="77777777" w:rsidR="000E297A" w:rsidRPr="00FF29BA" w:rsidRDefault="000E297A" w:rsidP="000E297A">
      <w:r w:rsidRPr="00FF29BA">
        <w:t>The exhibit indicates that JRRC’s have a higher level of responsibility than both the SSS2 and 3 positions. JRRC’s provide individual and group counseling, whereas the SSS2s provide neither, and the SSS3s only provide individualized counseling. Again, JRRC’s also have the added responsibility of managing the milieu, supervising youth, and promoting safety in a 24/7 rehabilitative environment. However, SSS</w:t>
      </w:r>
      <w:r w:rsidR="00224CD0">
        <w:t xml:space="preserve"> 2</w:t>
      </w:r>
      <w:r w:rsidRPr="00FF29BA">
        <w:t xml:space="preserve"> and SSS</w:t>
      </w:r>
      <w:r w:rsidR="00224CD0">
        <w:t xml:space="preserve"> 3</w:t>
      </w:r>
      <w:r w:rsidRPr="00FF29BA">
        <w:t xml:space="preserve"> staff received a base salary that is 13.0</w:t>
      </w:r>
      <w:r>
        <w:t xml:space="preserve">% </w:t>
      </w:r>
      <w:r w:rsidRPr="00FF29BA">
        <w:t>and 18.9</w:t>
      </w:r>
      <w:r>
        <w:t xml:space="preserve">% </w:t>
      </w:r>
      <w:r w:rsidRPr="00FF29BA">
        <w:t xml:space="preserve">higher, respectively. </w:t>
      </w:r>
    </w:p>
    <w:p w14:paraId="542921BE" w14:textId="77777777" w:rsidR="000E297A" w:rsidRPr="00DD5FC6" w:rsidRDefault="000E297A" w:rsidP="000E297A">
      <w:pPr>
        <w:pStyle w:val="Heading5"/>
        <w:rPr>
          <w:b/>
        </w:rPr>
      </w:pPr>
      <w:r w:rsidRPr="00DD5FC6">
        <w:rPr>
          <w:b/>
        </w:rPr>
        <w:t xml:space="preserve">JRCA and SSS 1 </w:t>
      </w:r>
    </w:p>
    <w:p w14:paraId="49006A3D" w14:textId="77777777" w:rsidR="000E297A" w:rsidRPr="00FF29BA" w:rsidRDefault="000E297A" w:rsidP="000E297A">
      <w:r w:rsidRPr="00192A87">
        <w:t xml:space="preserve">The entry-level position within the SSS series is the SSS 1. Exhibit </w:t>
      </w:r>
      <w:r w:rsidR="006F7241">
        <w:t>5</w:t>
      </w:r>
      <w:r w:rsidRPr="00192A87">
        <w:t>-</w:t>
      </w:r>
      <w:r w:rsidR="00A05906">
        <w:t>25</w:t>
      </w:r>
      <w:r w:rsidR="00A05906" w:rsidRPr="00192A87">
        <w:t xml:space="preserve"> </w:t>
      </w:r>
      <w:r w:rsidRPr="00192A87">
        <w:t>presents the comparison of the SSS 1 and JRCA positions.</w:t>
      </w:r>
    </w:p>
    <w:p w14:paraId="2FF87570" w14:textId="77777777" w:rsidR="000E297A" w:rsidRPr="00103E42" w:rsidRDefault="000E297A" w:rsidP="000E297A">
      <w:pPr>
        <w:pStyle w:val="Caption"/>
      </w:pPr>
      <w:r>
        <w:t xml:space="preserve">Exhibit </w:t>
      </w:r>
      <w:r>
        <w:rPr>
          <w:noProof/>
        </w:rPr>
        <w:fldChar w:fldCharType="begin"/>
      </w:r>
      <w:r>
        <w:rPr>
          <w:noProof/>
        </w:rPr>
        <w:instrText xml:space="preserve"> STYLEREF 1 \s </w:instrText>
      </w:r>
      <w:r>
        <w:rPr>
          <w:noProof/>
        </w:rPr>
        <w:fldChar w:fldCharType="separate"/>
      </w:r>
      <w:r w:rsidR="00FD2536">
        <w:rPr>
          <w:noProof/>
        </w:rPr>
        <w:t>5</w:t>
      </w:r>
      <w:r>
        <w:rPr>
          <w:noProof/>
        </w:rPr>
        <w:fldChar w:fldCharType="end"/>
      </w:r>
      <w:r>
        <w:noBreakHyphen/>
      </w:r>
      <w:r w:rsidR="00A05906">
        <w:rPr>
          <w:noProof/>
        </w:rPr>
        <w:t>25</w:t>
      </w:r>
      <w:r>
        <w:t>. JRCA and SSS</w:t>
      </w:r>
      <w:r w:rsidR="006F7241">
        <w:t>1</w:t>
      </w:r>
      <w:r>
        <w:t xml:space="preserve"> Comparison</w:t>
      </w:r>
    </w:p>
    <w:tbl>
      <w:tblPr>
        <w:tblStyle w:val="HyzerTable1"/>
        <w:tblW w:w="5000" w:type="pct"/>
        <w:tblLook w:val="0420" w:firstRow="1" w:lastRow="0" w:firstColumn="0" w:lastColumn="0" w:noHBand="0" w:noVBand="1"/>
      </w:tblPr>
      <w:tblGrid>
        <w:gridCol w:w="2283"/>
        <w:gridCol w:w="3312"/>
        <w:gridCol w:w="3765"/>
      </w:tblGrid>
      <w:tr w:rsidR="000E297A" w:rsidRPr="00FF29BA" w14:paraId="1F1E2FAC" w14:textId="77777777" w:rsidTr="001C5462">
        <w:trPr>
          <w:cnfStyle w:val="100000000000" w:firstRow="1" w:lastRow="0" w:firstColumn="0" w:lastColumn="0" w:oddVBand="0" w:evenVBand="0" w:oddHBand="0" w:evenHBand="0" w:firstRowFirstColumn="0" w:firstRowLastColumn="0" w:lastRowFirstColumn="0" w:lastRowLastColumn="0"/>
          <w:trHeight w:val="501"/>
          <w:tblHeader/>
        </w:trPr>
        <w:tc>
          <w:tcPr>
            <w:tcW w:w="1220" w:type="pct"/>
          </w:tcPr>
          <w:p w14:paraId="69BE03E8" w14:textId="77777777" w:rsidR="000E297A" w:rsidRPr="00FF29BA" w:rsidRDefault="000E297A" w:rsidP="001C5462">
            <w:pPr>
              <w:spacing w:after="0"/>
              <w:jc w:val="center"/>
              <w:rPr>
                <w:rFonts w:ascii="Arial Narrow" w:hAnsi="Arial Narrow" w:cs="Arial"/>
                <w:b/>
                <w:color w:val="FFFFFF"/>
              </w:rPr>
            </w:pPr>
            <w:bookmarkStart w:id="75" w:name="_Hlk521325512"/>
          </w:p>
        </w:tc>
        <w:tc>
          <w:tcPr>
            <w:tcW w:w="1769" w:type="pct"/>
          </w:tcPr>
          <w:p w14:paraId="39A8BA4B" w14:textId="77777777" w:rsidR="000E297A" w:rsidRPr="008232E5" w:rsidRDefault="000E297A" w:rsidP="001C5462">
            <w:pPr>
              <w:spacing w:after="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JRCA</w:t>
            </w:r>
          </w:p>
        </w:tc>
        <w:tc>
          <w:tcPr>
            <w:tcW w:w="2011" w:type="pct"/>
          </w:tcPr>
          <w:p w14:paraId="18FF8F03" w14:textId="77777777" w:rsidR="000E297A" w:rsidRPr="008232E5" w:rsidRDefault="000E297A" w:rsidP="001C5462">
            <w:pPr>
              <w:spacing w:after="0"/>
              <w:jc w:val="center"/>
              <w:rPr>
                <w:rFonts w:ascii="Arial Narrow" w:hAnsi="Arial Narrow" w:cs="Arial"/>
                <w:b/>
                <w:color w:val="FFFFFF"/>
                <w:sz w:val="22"/>
              </w:rPr>
            </w:pPr>
            <w:r w:rsidRPr="1FF1B213">
              <w:rPr>
                <w:rFonts w:ascii="Arial Narrow" w:eastAsia="Arial Narrow" w:hAnsi="Arial Narrow" w:cs="Arial Narrow"/>
                <w:b/>
                <w:color w:val="FFFFFF" w:themeColor="background1"/>
                <w:sz w:val="22"/>
                <w:szCs w:val="22"/>
              </w:rPr>
              <w:t xml:space="preserve">Social Services Specialist 1 </w:t>
            </w:r>
          </w:p>
        </w:tc>
      </w:tr>
      <w:tr w:rsidR="000E297A" w:rsidRPr="00FF29BA" w14:paraId="5A28B301" w14:textId="77777777" w:rsidTr="001C5462">
        <w:trPr>
          <w:cnfStyle w:val="000000100000" w:firstRow="0" w:lastRow="0" w:firstColumn="0" w:lastColumn="0" w:oddVBand="0" w:evenVBand="0" w:oddHBand="1" w:evenHBand="0" w:firstRowFirstColumn="0" w:firstRowLastColumn="0" w:lastRowFirstColumn="0" w:lastRowLastColumn="0"/>
        </w:trPr>
        <w:tc>
          <w:tcPr>
            <w:tcW w:w="1220" w:type="pct"/>
            <w:vAlign w:val="center"/>
          </w:tcPr>
          <w:p w14:paraId="64179B32"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 xml:space="preserve">Occupational Category </w:t>
            </w:r>
          </w:p>
        </w:tc>
        <w:tc>
          <w:tcPr>
            <w:tcW w:w="1769" w:type="pct"/>
            <w:vAlign w:val="center"/>
          </w:tcPr>
          <w:p w14:paraId="78A9B277"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Social Services </w:t>
            </w:r>
          </w:p>
        </w:tc>
        <w:tc>
          <w:tcPr>
            <w:tcW w:w="2011" w:type="pct"/>
            <w:vAlign w:val="center"/>
          </w:tcPr>
          <w:p w14:paraId="21306F40"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Social Services</w:t>
            </w:r>
          </w:p>
        </w:tc>
      </w:tr>
      <w:tr w:rsidR="000E297A" w:rsidRPr="00FF29BA" w14:paraId="71A1D657" w14:textId="77777777" w:rsidTr="001C5462">
        <w:tc>
          <w:tcPr>
            <w:tcW w:w="1220" w:type="pct"/>
            <w:vAlign w:val="center"/>
          </w:tcPr>
          <w:p w14:paraId="66681583"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 xml:space="preserve">Classification </w:t>
            </w:r>
          </w:p>
        </w:tc>
        <w:tc>
          <w:tcPr>
            <w:tcW w:w="1769" w:type="pct"/>
            <w:vAlign w:val="center"/>
          </w:tcPr>
          <w:p w14:paraId="420E2EDD"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Entry level – may be designated as in-training  </w:t>
            </w:r>
          </w:p>
        </w:tc>
        <w:tc>
          <w:tcPr>
            <w:tcW w:w="2011" w:type="pct"/>
            <w:vAlign w:val="center"/>
          </w:tcPr>
          <w:p w14:paraId="352899D2"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Entry level, in-training </w:t>
            </w:r>
          </w:p>
        </w:tc>
      </w:tr>
      <w:tr w:rsidR="000E297A" w:rsidRPr="00FF29BA" w14:paraId="25F0A8C4" w14:textId="77777777" w:rsidTr="001C5462">
        <w:trPr>
          <w:cnfStyle w:val="000000100000" w:firstRow="0" w:lastRow="0" w:firstColumn="0" w:lastColumn="0" w:oddVBand="0" w:evenVBand="0" w:oddHBand="1" w:evenHBand="0" w:firstRowFirstColumn="0" w:firstRowLastColumn="0" w:lastRowFirstColumn="0" w:lastRowLastColumn="0"/>
        </w:trPr>
        <w:tc>
          <w:tcPr>
            <w:tcW w:w="1220" w:type="pct"/>
            <w:vAlign w:val="center"/>
          </w:tcPr>
          <w:p w14:paraId="68A8CBA1"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 xml:space="preserve">Time in job prior to promotion within series </w:t>
            </w:r>
          </w:p>
        </w:tc>
        <w:tc>
          <w:tcPr>
            <w:tcW w:w="1769" w:type="pct"/>
            <w:vAlign w:val="center"/>
          </w:tcPr>
          <w:p w14:paraId="2E98BB6D"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One year </w:t>
            </w:r>
          </w:p>
        </w:tc>
        <w:tc>
          <w:tcPr>
            <w:tcW w:w="2011" w:type="pct"/>
            <w:vAlign w:val="center"/>
          </w:tcPr>
          <w:p w14:paraId="345B1991"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Up to 18 months </w:t>
            </w:r>
          </w:p>
        </w:tc>
      </w:tr>
      <w:tr w:rsidR="000E297A" w:rsidRPr="00FF29BA" w14:paraId="7E3A65C5" w14:textId="77777777" w:rsidTr="001C5462">
        <w:tc>
          <w:tcPr>
            <w:tcW w:w="1220" w:type="pct"/>
            <w:vAlign w:val="center"/>
          </w:tcPr>
          <w:p w14:paraId="1C873FEC"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 xml:space="preserve">Promotion </w:t>
            </w:r>
          </w:p>
        </w:tc>
        <w:tc>
          <w:tcPr>
            <w:tcW w:w="1769" w:type="pct"/>
          </w:tcPr>
          <w:p w14:paraId="0BABF69D"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No automatic promotion </w:t>
            </w:r>
          </w:p>
        </w:tc>
        <w:tc>
          <w:tcPr>
            <w:tcW w:w="2011" w:type="pct"/>
          </w:tcPr>
          <w:p w14:paraId="5F208926"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Automatic promotion to Social Services Specialist II after 18 months </w:t>
            </w:r>
          </w:p>
        </w:tc>
      </w:tr>
      <w:tr w:rsidR="000E297A" w:rsidRPr="00FF29BA" w14:paraId="3F1405AE" w14:textId="77777777" w:rsidTr="001C5462">
        <w:trPr>
          <w:cnfStyle w:val="000000100000" w:firstRow="0" w:lastRow="0" w:firstColumn="0" w:lastColumn="0" w:oddVBand="0" w:evenVBand="0" w:oddHBand="1" w:evenHBand="0" w:firstRowFirstColumn="0" w:firstRowLastColumn="0" w:lastRowFirstColumn="0" w:lastRowLastColumn="0"/>
        </w:trPr>
        <w:tc>
          <w:tcPr>
            <w:tcW w:w="1220" w:type="pct"/>
          </w:tcPr>
          <w:p w14:paraId="215F3725" w14:textId="77777777" w:rsidR="000E297A" w:rsidRPr="00FF29BA" w:rsidRDefault="000E297A" w:rsidP="001C5462">
            <w:pPr>
              <w:spacing w:before="40" w:after="40"/>
              <w:rPr>
                <w:rFonts w:ascii="Arial Narrow" w:hAnsi="Arial Narrow"/>
                <w:b/>
                <w:sz w:val="20"/>
                <w:szCs w:val="20"/>
              </w:rPr>
            </w:pPr>
            <w:r w:rsidRPr="00FF29BA">
              <w:rPr>
                <w:rFonts w:ascii="Arial Narrow" w:hAnsi="Arial Narrow"/>
                <w:b/>
                <w:sz w:val="20"/>
                <w:szCs w:val="20"/>
              </w:rPr>
              <w:t>Qualifications</w:t>
            </w:r>
          </w:p>
        </w:tc>
        <w:tc>
          <w:tcPr>
            <w:tcW w:w="1769" w:type="pct"/>
          </w:tcPr>
          <w:p w14:paraId="5CD35497" w14:textId="77777777" w:rsidR="000E297A" w:rsidRPr="00FF29BA" w:rsidRDefault="000E297A" w:rsidP="001C5462">
            <w:pPr>
              <w:pStyle w:val="TableBullet"/>
            </w:pPr>
            <w:r w:rsidRPr="00FF29BA">
              <w:t xml:space="preserve">A Bachelor’s degree  </w:t>
            </w:r>
          </w:p>
          <w:p w14:paraId="32611001" w14:textId="77777777" w:rsidR="000E297A" w:rsidRPr="00FF29BA" w:rsidRDefault="000E297A" w:rsidP="001C5462">
            <w:pPr>
              <w:keepNext/>
              <w:spacing w:before="40" w:after="40"/>
              <w:ind w:left="216"/>
              <w:contextualSpacing/>
              <w:jc w:val="center"/>
              <w:rPr>
                <w:rFonts w:ascii="Arial Narrow" w:hAnsi="Arial Narrow"/>
                <w:sz w:val="20"/>
                <w:szCs w:val="20"/>
              </w:rPr>
            </w:pPr>
            <w:r w:rsidRPr="00FF29BA">
              <w:rPr>
                <w:rFonts w:ascii="Arial Narrow" w:hAnsi="Arial Narrow"/>
                <w:sz w:val="20"/>
                <w:szCs w:val="20"/>
              </w:rPr>
              <w:t>OR</w:t>
            </w:r>
          </w:p>
          <w:p w14:paraId="50AFC676" w14:textId="77777777" w:rsidR="000E297A" w:rsidRPr="00FF29BA" w:rsidRDefault="000E297A" w:rsidP="001C5462">
            <w:pPr>
              <w:pStyle w:val="TableBullet"/>
            </w:pPr>
            <w:r w:rsidRPr="00FF29BA">
              <w:t>Two years of college and two years as a JRSO</w:t>
            </w:r>
          </w:p>
          <w:p w14:paraId="025D7D61" w14:textId="77777777" w:rsidR="000E297A" w:rsidRPr="00FF29BA" w:rsidRDefault="000E297A" w:rsidP="001C5462">
            <w:pPr>
              <w:keepNext/>
              <w:spacing w:before="40" w:after="40"/>
              <w:ind w:left="216"/>
              <w:contextualSpacing/>
              <w:jc w:val="center"/>
              <w:rPr>
                <w:rFonts w:ascii="Arial Narrow" w:hAnsi="Arial Narrow"/>
                <w:sz w:val="20"/>
                <w:szCs w:val="20"/>
              </w:rPr>
            </w:pPr>
            <w:r w:rsidRPr="00FF29BA">
              <w:rPr>
                <w:rFonts w:ascii="Arial Narrow" w:hAnsi="Arial Narrow"/>
                <w:sz w:val="20"/>
                <w:szCs w:val="20"/>
              </w:rPr>
              <w:t>OR</w:t>
            </w:r>
          </w:p>
          <w:p w14:paraId="579FA3EA" w14:textId="77777777" w:rsidR="000E297A" w:rsidRPr="00FF29BA" w:rsidRDefault="000E297A" w:rsidP="001C5462">
            <w:pPr>
              <w:pStyle w:val="TableBullet"/>
            </w:pPr>
            <w:r w:rsidRPr="00FF29BA">
              <w:t>Two years of college and two years of experience in casework, counseling, probation and parole, or a number of related activities</w:t>
            </w:r>
          </w:p>
        </w:tc>
        <w:tc>
          <w:tcPr>
            <w:tcW w:w="2011" w:type="pct"/>
          </w:tcPr>
          <w:p w14:paraId="22603243" w14:textId="77777777" w:rsidR="000E297A" w:rsidRPr="00FF29BA" w:rsidRDefault="000E297A" w:rsidP="001C5462">
            <w:pPr>
              <w:pStyle w:val="TableBullet"/>
            </w:pPr>
            <w:r w:rsidRPr="00FF29BA">
              <w:t xml:space="preserve">Master’s degree in social services or related field </w:t>
            </w:r>
          </w:p>
          <w:p w14:paraId="5F74EE2F" w14:textId="77777777" w:rsidR="000E297A" w:rsidRPr="00FF29BA" w:rsidRDefault="000E297A" w:rsidP="001C5462">
            <w:pPr>
              <w:spacing w:before="40" w:after="40"/>
              <w:jc w:val="center"/>
              <w:rPr>
                <w:rFonts w:ascii="Arial Narrow" w:hAnsi="Arial Narrow"/>
                <w:sz w:val="20"/>
                <w:szCs w:val="20"/>
              </w:rPr>
            </w:pPr>
            <w:r w:rsidRPr="00FF29BA">
              <w:rPr>
                <w:rFonts w:ascii="Arial Narrow" w:hAnsi="Arial Narrow"/>
                <w:sz w:val="20"/>
                <w:szCs w:val="20"/>
              </w:rPr>
              <w:t>OR</w:t>
            </w:r>
          </w:p>
          <w:p w14:paraId="23E2639B" w14:textId="77777777" w:rsidR="000E297A" w:rsidRPr="00FF29BA" w:rsidRDefault="000E297A" w:rsidP="001C5462">
            <w:pPr>
              <w:pStyle w:val="TableBullet"/>
            </w:pPr>
            <w:r w:rsidRPr="00FF29BA">
              <w:t xml:space="preserve">A Bachelor’s degree in social services or related  </w:t>
            </w:r>
          </w:p>
        </w:tc>
      </w:tr>
      <w:tr w:rsidR="000E297A" w:rsidRPr="00FF29BA" w14:paraId="3ABA8D13" w14:textId="77777777" w:rsidTr="001C5462">
        <w:tc>
          <w:tcPr>
            <w:tcW w:w="1220" w:type="pct"/>
          </w:tcPr>
          <w:p w14:paraId="7E2AABEA"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lastRenderedPageBreak/>
              <w:t xml:space="preserve">Key Responsibilities </w:t>
            </w:r>
          </w:p>
        </w:tc>
        <w:tc>
          <w:tcPr>
            <w:tcW w:w="1769" w:type="pct"/>
          </w:tcPr>
          <w:p w14:paraId="461229B1" w14:textId="77777777" w:rsidR="000E297A" w:rsidRPr="00FF29BA" w:rsidRDefault="000E297A" w:rsidP="001C5462">
            <w:pPr>
              <w:pStyle w:val="TableBullet"/>
            </w:pPr>
            <w:r w:rsidRPr="00FF29BA">
              <w:t xml:space="preserve">Provide individualized counseling for youth on caseload </w:t>
            </w:r>
          </w:p>
          <w:p w14:paraId="41D6448A" w14:textId="77777777" w:rsidR="000E297A" w:rsidRPr="00FF29BA" w:rsidRDefault="000E297A" w:rsidP="001C5462">
            <w:pPr>
              <w:pStyle w:val="TableBullet"/>
            </w:pPr>
            <w:r w:rsidRPr="00FF29BA">
              <w:t xml:space="preserve">Provide group counseling sessions </w:t>
            </w:r>
          </w:p>
          <w:p w14:paraId="541048C9" w14:textId="77777777" w:rsidR="000E297A" w:rsidRPr="00FF29BA" w:rsidRDefault="000E297A" w:rsidP="001C5462">
            <w:pPr>
              <w:pStyle w:val="TableBullet"/>
            </w:pPr>
            <w:r w:rsidRPr="00FF29BA">
              <w:t xml:space="preserve">Participates in Consultation Team Meetings to assess and discuss youth progress </w:t>
            </w:r>
          </w:p>
          <w:p w14:paraId="0FC51B04" w14:textId="77777777" w:rsidR="000E297A" w:rsidRPr="00FF29BA" w:rsidRDefault="000E297A" w:rsidP="001C5462">
            <w:pPr>
              <w:pStyle w:val="TableBullet"/>
            </w:pPr>
            <w:r w:rsidRPr="00FF29BA">
              <w:t xml:space="preserve">Ensures security of unit by tracking youth location, monitoring rooms, and conducting searches </w:t>
            </w:r>
          </w:p>
          <w:p w14:paraId="17AA33AF" w14:textId="77777777" w:rsidR="000E297A" w:rsidRPr="00FF29BA" w:rsidRDefault="000E297A" w:rsidP="001C5462">
            <w:pPr>
              <w:pStyle w:val="TableBullet"/>
            </w:pPr>
            <w:r w:rsidRPr="00FF29BA">
              <w:t xml:space="preserve">Supervises youth in daily living activities </w:t>
            </w:r>
          </w:p>
          <w:p w14:paraId="778D8222" w14:textId="77777777" w:rsidR="000E297A" w:rsidRPr="00FF29BA" w:rsidRDefault="000E297A" w:rsidP="001C5462">
            <w:pPr>
              <w:pStyle w:val="TableBullet"/>
            </w:pPr>
            <w:r w:rsidRPr="00FF29BA">
              <w:t>Maintains case documentation</w:t>
            </w:r>
          </w:p>
        </w:tc>
        <w:tc>
          <w:tcPr>
            <w:tcW w:w="2011" w:type="pct"/>
          </w:tcPr>
          <w:p w14:paraId="0AC65016" w14:textId="77777777" w:rsidR="000E297A" w:rsidRPr="00FF29BA" w:rsidRDefault="000E297A" w:rsidP="001C5462">
            <w:pPr>
              <w:pStyle w:val="TableBullet"/>
            </w:pPr>
            <w:r w:rsidRPr="00FF29BA">
              <w:t xml:space="preserve">Participate in multidisciplinary team meetings &amp; maintains connection with child service providers </w:t>
            </w:r>
          </w:p>
          <w:p w14:paraId="74FB07AC" w14:textId="77777777" w:rsidR="000E297A" w:rsidRPr="00FF29BA" w:rsidRDefault="000E297A" w:rsidP="001C5462">
            <w:pPr>
              <w:pStyle w:val="TableBullet"/>
            </w:pPr>
            <w:r w:rsidRPr="00FF29BA">
              <w:t xml:space="preserve">Work with families to document social history and identify relevant environmental factors </w:t>
            </w:r>
          </w:p>
          <w:p w14:paraId="5D624DB7" w14:textId="77777777" w:rsidR="000E297A" w:rsidRPr="00FF29BA" w:rsidRDefault="000E297A" w:rsidP="001C5462">
            <w:pPr>
              <w:pStyle w:val="TableBullet"/>
            </w:pPr>
            <w:r w:rsidRPr="00FF29BA">
              <w:t xml:space="preserve">Implement/monitor service objectives </w:t>
            </w:r>
          </w:p>
          <w:p w14:paraId="1F4C459E" w14:textId="77777777" w:rsidR="000E297A" w:rsidRPr="00FF29BA" w:rsidRDefault="000E297A" w:rsidP="001C5462">
            <w:pPr>
              <w:pStyle w:val="TableBullet"/>
            </w:pPr>
            <w:r w:rsidRPr="00FF29BA">
              <w:t>Identify necessary family/child needs and services</w:t>
            </w:r>
          </w:p>
          <w:p w14:paraId="4C177399" w14:textId="77777777" w:rsidR="000E297A" w:rsidRPr="00FF29BA" w:rsidRDefault="000E297A" w:rsidP="001C5462">
            <w:pPr>
              <w:pStyle w:val="TableBullet"/>
            </w:pPr>
            <w:r w:rsidRPr="00FF29BA">
              <w:t xml:space="preserve">Maintains case documentation </w:t>
            </w:r>
          </w:p>
        </w:tc>
      </w:tr>
      <w:tr w:rsidR="000E297A" w:rsidRPr="00FF29BA" w14:paraId="4E20E43A" w14:textId="77777777" w:rsidTr="001C5462">
        <w:trPr>
          <w:cnfStyle w:val="000000100000" w:firstRow="0" w:lastRow="0" w:firstColumn="0" w:lastColumn="0" w:oddVBand="0" w:evenVBand="0" w:oddHBand="1" w:evenHBand="0" w:firstRowFirstColumn="0" w:firstRowLastColumn="0" w:lastRowFirstColumn="0" w:lastRowLastColumn="0"/>
        </w:trPr>
        <w:tc>
          <w:tcPr>
            <w:tcW w:w="1220" w:type="pct"/>
            <w:vAlign w:val="center"/>
          </w:tcPr>
          <w:p w14:paraId="21C2D93C" w14:textId="77777777" w:rsidR="000E297A" w:rsidRPr="00FF29BA" w:rsidRDefault="000E297A" w:rsidP="001C5462">
            <w:pPr>
              <w:spacing w:before="40" w:after="40"/>
              <w:contextualSpacing/>
              <w:rPr>
                <w:rFonts w:ascii="Arial Narrow" w:hAnsi="Arial Narrow"/>
                <w:sz w:val="20"/>
                <w:szCs w:val="20"/>
              </w:rPr>
            </w:pPr>
            <w:r w:rsidRPr="00FF29BA">
              <w:rPr>
                <w:rFonts w:ascii="Arial Narrow" w:hAnsi="Arial Narrow"/>
                <w:b/>
                <w:sz w:val="20"/>
                <w:szCs w:val="20"/>
              </w:rPr>
              <w:t xml:space="preserve">Case Management Responsibilities </w:t>
            </w:r>
          </w:p>
        </w:tc>
        <w:tc>
          <w:tcPr>
            <w:tcW w:w="1769" w:type="pct"/>
            <w:vAlign w:val="center"/>
          </w:tcPr>
          <w:p w14:paraId="4B14A9A3"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May be assigned up to 1-2 youth immediately</w:t>
            </w:r>
            <w:r w:rsidRPr="00FF29BA">
              <w:rPr>
                <w:rFonts w:ascii="Arial Narrow" w:hAnsi="Arial Narrow"/>
                <w:sz w:val="20"/>
                <w:szCs w:val="20"/>
                <w:vertAlign w:val="superscript"/>
              </w:rPr>
              <w:footnoteReference w:id="95"/>
            </w:r>
            <w:r w:rsidRPr="00FF29BA">
              <w:rPr>
                <w:rFonts w:ascii="Arial Narrow" w:hAnsi="Arial Narrow"/>
                <w:sz w:val="20"/>
                <w:szCs w:val="20"/>
              </w:rPr>
              <w:t xml:space="preserve"> </w:t>
            </w:r>
          </w:p>
        </w:tc>
        <w:tc>
          <w:tcPr>
            <w:tcW w:w="2011" w:type="pct"/>
            <w:vAlign w:val="center"/>
          </w:tcPr>
          <w:p w14:paraId="72BCC00F"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None assigned for the six months </w:t>
            </w:r>
          </w:p>
        </w:tc>
      </w:tr>
      <w:tr w:rsidR="000E297A" w:rsidRPr="00FF29BA" w14:paraId="29D99E31" w14:textId="77777777" w:rsidTr="001C5462">
        <w:tc>
          <w:tcPr>
            <w:tcW w:w="1220" w:type="pct"/>
            <w:vAlign w:val="center"/>
          </w:tcPr>
          <w:p w14:paraId="5EE06ABF"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Conduct Group Counseling </w:t>
            </w:r>
          </w:p>
        </w:tc>
        <w:tc>
          <w:tcPr>
            <w:tcW w:w="1769" w:type="pct"/>
            <w:vAlign w:val="center"/>
          </w:tcPr>
          <w:p w14:paraId="626C0DE2"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Yes, under the direction of a supervisor </w:t>
            </w:r>
          </w:p>
        </w:tc>
        <w:tc>
          <w:tcPr>
            <w:tcW w:w="2011" w:type="pct"/>
            <w:vAlign w:val="center"/>
          </w:tcPr>
          <w:p w14:paraId="665D718A"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No </w:t>
            </w:r>
          </w:p>
        </w:tc>
      </w:tr>
      <w:tr w:rsidR="000E297A" w:rsidRPr="00FF29BA" w14:paraId="78CE975E" w14:textId="77777777" w:rsidTr="001C5462">
        <w:trPr>
          <w:cnfStyle w:val="000000100000" w:firstRow="0" w:lastRow="0" w:firstColumn="0" w:lastColumn="0" w:oddVBand="0" w:evenVBand="0" w:oddHBand="1" w:evenHBand="0" w:firstRowFirstColumn="0" w:firstRowLastColumn="0" w:lastRowFirstColumn="0" w:lastRowLastColumn="0"/>
        </w:trPr>
        <w:tc>
          <w:tcPr>
            <w:tcW w:w="1220" w:type="pct"/>
            <w:vAlign w:val="center"/>
          </w:tcPr>
          <w:p w14:paraId="1C967639" w14:textId="77777777" w:rsidR="000E297A" w:rsidRPr="00FF29BA" w:rsidRDefault="000E297A" w:rsidP="001C5462">
            <w:pPr>
              <w:spacing w:before="40" w:after="40"/>
              <w:contextualSpacing/>
              <w:rPr>
                <w:rFonts w:ascii="Arial Narrow" w:hAnsi="Arial Narrow"/>
                <w:b/>
                <w:sz w:val="20"/>
                <w:szCs w:val="20"/>
              </w:rPr>
            </w:pPr>
            <w:r w:rsidRPr="00FF29BA">
              <w:rPr>
                <w:rFonts w:ascii="Arial Narrow" w:hAnsi="Arial Narrow"/>
                <w:b/>
                <w:sz w:val="20"/>
                <w:szCs w:val="20"/>
              </w:rPr>
              <w:t xml:space="preserve">Conduct Individualized Counseling </w:t>
            </w:r>
          </w:p>
        </w:tc>
        <w:tc>
          <w:tcPr>
            <w:tcW w:w="1769" w:type="pct"/>
            <w:vAlign w:val="center"/>
          </w:tcPr>
          <w:p w14:paraId="534239EE"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Yes, for assigned caseload </w:t>
            </w:r>
          </w:p>
        </w:tc>
        <w:tc>
          <w:tcPr>
            <w:tcW w:w="2011" w:type="pct"/>
            <w:vAlign w:val="center"/>
          </w:tcPr>
          <w:p w14:paraId="2EB53568" w14:textId="77777777" w:rsidR="000E297A" w:rsidRPr="00FF29BA" w:rsidRDefault="000E297A" w:rsidP="001C5462">
            <w:pPr>
              <w:spacing w:before="40" w:after="40"/>
              <w:rPr>
                <w:rFonts w:ascii="Arial Narrow" w:hAnsi="Arial Narrow"/>
                <w:sz w:val="20"/>
                <w:szCs w:val="20"/>
              </w:rPr>
            </w:pPr>
            <w:r w:rsidRPr="00FF29BA">
              <w:rPr>
                <w:rFonts w:ascii="Arial Narrow" w:hAnsi="Arial Narrow"/>
                <w:sz w:val="20"/>
                <w:szCs w:val="20"/>
              </w:rPr>
              <w:t xml:space="preserve">No, for SSS Is in the Children’s Administration, provides referrals to appropriate therapeutic treatment providers </w:t>
            </w:r>
          </w:p>
        </w:tc>
      </w:tr>
      <w:tr w:rsidR="000E297A" w:rsidRPr="00FF29BA" w14:paraId="1E2A78F0" w14:textId="77777777" w:rsidTr="001C5462">
        <w:tc>
          <w:tcPr>
            <w:tcW w:w="1220" w:type="pct"/>
            <w:vAlign w:val="center"/>
          </w:tcPr>
          <w:p w14:paraId="2891E105" w14:textId="77777777" w:rsidR="000E297A" w:rsidRPr="00FF29BA" w:rsidRDefault="000E297A" w:rsidP="001C5462">
            <w:pPr>
              <w:keepNext/>
              <w:spacing w:before="40" w:after="40"/>
              <w:contextualSpacing/>
              <w:rPr>
                <w:rFonts w:ascii="Arial Narrow" w:hAnsi="Arial Narrow"/>
                <w:b/>
                <w:sz w:val="20"/>
                <w:szCs w:val="20"/>
              </w:rPr>
            </w:pPr>
            <w:r w:rsidRPr="00FF29BA">
              <w:rPr>
                <w:rFonts w:ascii="Arial Narrow" w:hAnsi="Arial Narrow"/>
                <w:b/>
                <w:sz w:val="20"/>
                <w:szCs w:val="20"/>
              </w:rPr>
              <w:t xml:space="preserve">Pay Range </w:t>
            </w:r>
          </w:p>
        </w:tc>
        <w:tc>
          <w:tcPr>
            <w:tcW w:w="1769" w:type="pct"/>
            <w:vAlign w:val="center"/>
          </w:tcPr>
          <w:p w14:paraId="7F7237A2"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Band 41: $35,664 – $47,532</w:t>
            </w:r>
          </w:p>
        </w:tc>
        <w:tc>
          <w:tcPr>
            <w:tcW w:w="2011" w:type="pct"/>
            <w:vAlign w:val="center"/>
          </w:tcPr>
          <w:p w14:paraId="5BCD323E"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Band 45: $39,204 – 52,536</w:t>
            </w:r>
          </w:p>
          <w:p w14:paraId="6A0D600B"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(increased from Band 41 7/1/17)</w:t>
            </w:r>
          </w:p>
        </w:tc>
      </w:tr>
      <w:tr w:rsidR="000E297A" w:rsidRPr="00FF29BA" w14:paraId="6FB57B05" w14:textId="77777777" w:rsidTr="001C5462">
        <w:trPr>
          <w:cnfStyle w:val="000000100000" w:firstRow="0" w:lastRow="0" w:firstColumn="0" w:lastColumn="0" w:oddVBand="0" w:evenVBand="0" w:oddHBand="1" w:evenHBand="0" w:firstRowFirstColumn="0" w:firstRowLastColumn="0" w:lastRowFirstColumn="0" w:lastRowLastColumn="0"/>
        </w:trPr>
        <w:tc>
          <w:tcPr>
            <w:tcW w:w="1220" w:type="pct"/>
            <w:vAlign w:val="center"/>
          </w:tcPr>
          <w:p w14:paraId="5E6E5B17" w14:textId="77777777" w:rsidR="000E297A" w:rsidRPr="00FF29BA" w:rsidRDefault="000E297A" w:rsidP="001C5462">
            <w:pPr>
              <w:keepNext/>
              <w:spacing w:before="40" w:after="40"/>
              <w:contextualSpacing/>
              <w:rPr>
                <w:rFonts w:ascii="Arial Narrow" w:hAnsi="Arial Narrow"/>
                <w:b/>
                <w:sz w:val="20"/>
                <w:szCs w:val="20"/>
              </w:rPr>
            </w:pPr>
            <w:r w:rsidRPr="00FF29BA">
              <w:rPr>
                <w:rFonts w:ascii="Arial Narrow" w:hAnsi="Arial Narrow"/>
                <w:b/>
                <w:sz w:val="20"/>
                <w:szCs w:val="20"/>
              </w:rPr>
              <w:t>Pay differential from JRCA (Step A)</w:t>
            </w:r>
          </w:p>
        </w:tc>
        <w:tc>
          <w:tcPr>
            <w:tcW w:w="1769" w:type="pct"/>
            <w:vAlign w:val="center"/>
          </w:tcPr>
          <w:p w14:paraId="4AA95B45"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w:t>
            </w:r>
          </w:p>
        </w:tc>
        <w:tc>
          <w:tcPr>
            <w:tcW w:w="2011" w:type="pct"/>
            <w:vAlign w:val="center"/>
          </w:tcPr>
          <w:p w14:paraId="5E1F3EB4" w14:textId="77777777" w:rsidR="000E297A" w:rsidRPr="00FF29BA" w:rsidRDefault="000E297A" w:rsidP="001C5462">
            <w:pPr>
              <w:keepNext/>
              <w:spacing w:before="40" w:after="40"/>
              <w:contextualSpacing/>
              <w:rPr>
                <w:rFonts w:ascii="Arial Narrow" w:hAnsi="Arial Narrow"/>
                <w:sz w:val="20"/>
                <w:szCs w:val="20"/>
              </w:rPr>
            </w:pPr>
            <w:r w:rsidRPr="00FF29BA">
              <w:rPr>
                <w:rFonts w:ascii="Arial Narrow" w:hAnsi="Arial Narrow"/>
                <w:sz w:val="20"/>
                <w:szCs w:val="20"/>
              </w:rPr>
              <w:t xml:space="preserve">+9.9% </w:t>
            </w:r>
          </w:p>
        </w:tc>
      </w:tr>
    </w:tbl>
    <w:bookmarkEnd w:id="75"/>
    <w:p w14:paraId="203D63C8" w14:textId="77777777" w:rsidR="000E297A" w:rsidRPr="00FF29BA" w:rsidRDefault="000E297A" w:rsidP="000E297A">
      <w:r w:rsidRPr="00FF29BA">
        <w:t xml:space="preserve">As seen in the exhibit, both positions are entry-level. In terms of education and experience, the SSS I position requires at least a bachelor’s degree, whereas the JRCA position allows a candidate to quality with two years of college and applicable work experience. </w:t>
      </w:r>
    </w:p>
    <w:p w14:paraId="6E29B7F6" w14:textId="77777777" w:rsidR="000E297A" w:rsidRDefault="000E297A" w:rsidP="000E297A">
      <w:r w:rsidRPr="00FF29BA">
        <w:t xml:space="preserve">JRCA’s have a notably higher degree of responsibility than the SSS 1’s. Whereas both positions work directly with clients, the JRCAs also provide individualized and group counseling and also monitor youth in their living environments, provide security services, and supervise youth in their daily duties. To perform their counseling duties, JRCA’s must understand and be able to employ the DBT model and work to comply with its standards. Despite this added layer of responsibility, the SSS 1 position has a starting salary that is nearly 10% higher than for the JRCA. </w:t>
      </w:r>
    </w:p>
    <w:p w14:paraId="51833D12" w14:textId="77777777" w:rsidR="00FF29BA" w:rsidRPr="00DD5FC6" w:rsidRDefault="00FF29BA" w:rsidP="00F34C1F">
      <w:pPr>
        <w:pStyle w:val="Heading4"/>
        <w:rPr>
          <w:color w:val="000000" w:themeColor="text1"/>
        </w:rPr>
      </w:pPr>
      <w:r w:rsidRPr="00DD5FC6">
        <w:rPr>
          <w:color w:val="000000" w:themeColor="text1"/>
        </w:rPr>
        <w:t xml:space="preserve">JRSO </w:t>
      </w:r>
      <w:r w:rsidR="00224CD0">
        <w:rPr>
          <w:color w:val="000000" w:themeColor="text1"/>
        </w:rPr>
        <w:t xml:space="preserve">1 </w:t>
      </w:r>
      <w:r w:rsidRPr="00DD5FC6">
        <w:rPr>
          <w:color w:val="000000" w:themeColor="text1"/>
        </w:rPr>
        <w:t>and Corrections &amp; Custody Officer 1 and 2</w:t>
      </w:r>
    </w:p>
    <w:p w14:paraId="32CABA2D" w14:textId="77777777" w:rsidR="00FF29BA" w:rsidRPr="00FF29BA" w:rsidRDefault="00FF29BA" w:rsidP="00FF29BA">
      <w:r w:rsidRPr="00FF29BA">
        <w:t xml:space="preserve">The </w:t>
      </w:r>
      <w:r w:rsidR="000F4E3D">
        <w:t>J</w:t>
      </w:r>
      <w:r w:rsidR="00224CD0">
        <w:t>uvenile Rehabilitation Security Officer 1 (J</w:t>
      </w:r>
      <w:r w:rsidR="000F4E3D">
        <w:t>RSO</w:t>
      </w:r>
      <w:r w:rsidR="00224CD0">
        <w:t xml:space="preserve"> </w:t>
      </w:r>
      <w:r w:rsidR="000F4E3D">
        <w:t>1</w:t>
      </w:r>
      <w:r w:rsidR="00224CD0">
        <w:t>)</w:t>
      </w:r>
      <w:r w:rsidR="000F4E3D" w:rsidRPr="00FF29BA">
        <w:t xml:space="preserve"> </w:t>
      </w:r>
      <w:r w:rsidRPr="00FF29BA">
        <w:t xml:space="preserve">job classification is </w:t>
      </w:r>
      <w:r w:rsidR="000F4E3D">
        <w:t xml:space="preserve">in </w:t>
      </w:r>
      <w:r w:rsidRPr="00FF29BA">
        <w:t>the Protective Services category of jo</w:t>
      </w:r>
      <w:r w:rsidR="00103E42">
        <w:t xml:space="preserve">bs. We reviewed numerous other </w:t>
      </w:r>
      <w:r w:rsidRPr="00FF29BA">
        <w:t>jobs in this series to identify one with similar responsibilities, required education and experience, and serving similar populations. Jobs reviewed include Campus Security Officer, Community Corrections Officer (1-3), Community Corrections Specialist, Correc</w:t>
      </w:r>
      <w:r w:rsidR="00324E35">
        <w:t xml:space="preserve">tions &amp; Custody Officer (1-3), </w:t>
      </w:r>
      <w:r w:rsidRPr="00FF29BA">
        <w:t xml:space="preserve">and Security Guard. Of these, the most comparable position to the JRSO1 is the Corrections &amp; Custody Officer series, which services a similar population in a 24/7 correctional facility. </w:t>
      </w:r>
    </w:p>
    <w:p w14:paraId="265513A3" w14:textId="77777777" w:rsidR="00FF29BA" w:rsidRPr="00FF29BA" w:rsidRDefault="00FF29BA" w:rsidP="00FF29BA">
      <w:r w:rsidRPr="008232E5">
        <w:t>We compared attributes of the JRSO</w:t>
      </w:r>
      <w:r w:rsidR="00224CD0">
        <w:t xml:space="preserve"> </w:t>
      </w:r>
      <w:r w:rsidRPr="008232E5">
        <w:t xml:space="preserve">1 and Corrections &amp; Custody Officer </w:t>
      </w:r>
      <w:r w:rsidR="00224CD0">
        <w:t>(CCO) 1 and CCO</w:t>
      </w:r>
      <w:r w:rsidR="00103E42" w:rsidRPr="008232E5">
        <w:t xml:space="preserve"> 2 positions. </w:t>
      </w:r>
      <w:r w:rsidR="00AE63DD" w:rsidRPr="008232E5">
        <w:t xml:space="preserve">Exhibit </w:t>
      </w:r>
      <w:r w:rsidR="00B74C80">
        <w:t>5</w:t>
      </w:r>
      <w:r w:rsidR="00AE63DD" w:rsidRPr="008232E5">
        <w:t>-</w:t>
      </w:r>
      <w:r w:rsidR="00A05906">
        <w:t>26</w:t>
      </w:r>
      <w:r w:rsidR="00A05906" w:rsidRPr="008232E5">
        <w:t xml:space="preserve"> </w:t>
      </w:r>
      <w:r w:rsidRPr="008232E5">
        <w:t>presents the comparison.</w:t>
      </w:r>
      <w:r w:rsidRPr="00FF29BA">
        <w:t xml:space="preserve"> </w:t>
      </w:r>
    </w:p>
    <w:p w14:paraId="28DF0C0A" w14:textId="77777777" w:rsidR="00FF29BA" w:rsidRPr="00103E42" w:rsidRDefault="00AE63DD" w:rsidP="00103E42">
      <w:pPr>
        <w:pStyle w:val="Caption"/>
      </w:pPr>
      <w:r>
        <w:lastRenderedPageBreak/>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A05906">
        <w:rPr>
          <w:noProof/>
        </w:rPr>
        <w:t>26</w:t>
      </w:r>
      <w:r w:rsidR="00E251C1">
        <w:t>.</w:t>
      </w:r>
      <w:r w:rsidR="00274765">
        <w:t xml:space="preserve"> </w:t>
      </w:r>
      <w:r w:rsidR="00103E42">
        <w:t>JRSO</w:t>
      </w:r>
      <w:r w:rsidR="00224CD0">
        <w:t xml:space="preserve"> 1</w:t>
      </w:r>
      <w:r w:rsidR="00103E42">
        <w:t xml:space="preserve"> and CCO </w:t>
      </w:r>
      <w:r w:rsidR="00224CD0">
        <w:t xml:space="preserve">1  and CCO 2 </w:t>
      </w:r>
      <w:r w:rsidR="00103E42">
        <w:t>Comparison</w:t>
      </w:r>
    </w:p>
    <w:tbl>
      <w:tblPr>
        <w:tblStyle w:val="HyzerTable1"/>
        <w:tblW w:w="5000" w:type="pct"/>
        <w:tblLook w:val="0420" w:firstRow="1" w:lastRow="0" w:firstColumn="0" w:lastColumn="0" w:noHBand="0" w:noVBand="1"/>
      </w:tblPr>
      <w:tblGrid>
        <w:gridCol w:w="1549"/>
        <w:gridCol w:w="2557"/>
        <w:gridCol w:w="2759"/>
        <w:gridCol w:w="2495"/>
      </w:tblGrid>
      <w:tr w:rsidR="00FF29BA" w:rsidRPr="00FF29BA" w14:paraId="0FF53872" w14:textId="77777777" w:rsidTr="001D1664">
        <w:trPr>
          <w:cnfStyle w:val="100000000000" w:firstRow="1" w:lastRow="0" w:firstColumn="0" w:lastColumn="0" w:oddVBand="0" w:evenVBand="0" w:oddHBand="0" w:evenHBand="0" w:firstRowFirstColumn="0" w:firstRowLastColumn="0" w:lastRowFirstColumn="0" w:lastRowLastColumn="0"/>
          <w:trHeight w:val="501"/>
          <w:tblHeader/>
        </w:trPr>
        <w:tc>
          <w:tcPr>
            <w:tcW w:w="827" w:type="pct"/>
          </w:tcPr>
          <w:p w14:paraId="0FDD9B7A" w14:textId="77777777" w:rsidR="00FF29BA" w:rsidRPr="00FF29BA" w:rsidRDefault="00FF29BA" w:rsidP="00FF29BA">
            <w:pPr>
              <w:spacing w:after="0"/>
              <w:jc w:val="center"/>
              <w:rPr>
                <w:rFonts w:ascii="Arial Narrow" w:hAnsi="Arial Narrow" w:cs="Arial"/>
                <w:b/>
                <w:color w:val="FFFFFF"/>
              </w:rPr>
            </w:pPr>
          </w:p>
        </w:tc>
        <w:tc>
          <w:tcPr>
            <w:tcW w:w="1366" w:type="pct"/>
          </w:tcPr>
          <w:p w14:paraId="43A24181" w14:textId="77777777" w:rsidR="00FF29BA" w:rsidRPr="00A51B6F" w:rsidRDefault="00FF29BA" w:rsidP="00A51B6F">
            <w:pPr>
              <w:spacing w:before="20" w:after="20"/>
              <w:jc w:val="center"/>
              <w:rPr>
                <w:rFonts w:ascii="Arial Narrow" w:hAnsi="Arial Narrow" w:cs="Arial"/>
                <w:b/>
                <w:color w:val="FFFFFF"/>
                <w:sz w:val="22"/>
              </w:rPr>
            </w:pPr>
            <w:r w:rsidRPr="00A51B6F">
              <w:rPr>
                <w:rFonts w:ascii="Arial Narrow" w:eastAsia="Arial Narrow" w:hAnsi="Arial Narrow" w:cs="Arial Narrow"/>
                <w:b/>
                <w:color w:val="FFFFFF" w:themeColor="background1"/>
                <w:sz w:val="22"/>
              </w:rPr>
              <w:t>JRSO</w:t>
            </w:r>
            <w:r w:rsidR="00224CD0">
              <w:rPr>
                <w:rFonts w:ascii="Arial Narrow" w:eastAsia="Arial Narrow" w:hAnsi="Arial Narrow" w:cs="Arial Narrow"/>
                <w:b/>
                <w:color w:val="FFFFFF" w:themeColor="background1"/>
                <w:sz w:val="22"/>
              </w:rPr>
              <w:t xml:space="preserve"> </w:t>
            </w:r>
            <w:r w:rsidRPr="00A51B6F">
              <w:rPr>
                <w:rFonts w:ascii="Arial Narrow" w:eastAsia="Arial Narrow" w:hAnsi="Arial Narrow" w:cs="Arial Narrow"/>
                <w:b/>
                <w:color w:val="FFFFFF" w:themeColor="background1"/>
                <w:sz w:val="22"/>
              </w:rPr>
              <w:t>1</w:t>
            </w:r>
          </w:p>
        </w:tc>
        <w:tc>
          <w:tcPr>
            <w:tcW w:w="1474" w:type="pct"/>
          </w:tcPr>
          <w:p w14:paraId="42B7D5D1" w14:textId="77777777" w:rsidR="00FF29BA" w:rsidRPr="00A51B6F" w:rsidRDefault="00FF29BA" w:rsidP="00A51B6F">
            <w:pPr>
              <w:spacing w:before="20" w:after="20"/>
              <w:jc w:val="center"/>
              <w:rPr>
                <w:rFonts w:ascii="Arial Narrow" w:hAnsi="Arial Narrow" w:cs="Arial"/>
                <w:b/>
                <w:color w:val="FFFFFF"/>
                <w:sz w:val="22"/>
              </w:rPr>
            </w:pPr>
            <w:r w:rsidRPr="00A51B6F">
              <w:rPr>
                <w:rFonts w:ascii="Arial Narrow" w:eastAsia="Arial Narrow" w:hAnsi="Arial Narrow" w:cs="Arial Narrow"/>
                <w:b/>
                <w:color w:val="FFFFFF" w:themeColor="background1"/>
                <w:sz w:val="22"/>
              </w:rPr>
              <w:t xml:space="preserve">Corrections &amp; Custody </w:t>
            </w:r>
            <w:r w:rsidR="00A51B6F">
              <w:rPr>
                <w:rFonts w:ascii="Arial Narrow" w:eastAsia="Arial Narrow" w:hAnsi="Arial Narrow" w:cs="Arial Narrow"/>
                <w:b/>
                <w:color w:val="FFFFFF" w:themeColor="background1"/>
                <w:sz w:val="22"/>
              </w:rPr>
              <w:t xml:space="preserve"> </w:t>
            </w:r>
            <w:r w:rsidRPr="00A51B6F">
              <w:rPr>
                <w:rFonts w:ascii="Arial Narrow" w:eastAsia="Arial Narrow" w:hAnsi="Arial Narrow" w:cs="Arial Narrow"/>
                <w:b/>
                <w:color w:val="FFFFFF" w:themeColor="background1"/>
                <w:sz w:val="22"/>
              </w:rPr>
              <w:t>Officer 1</w:t>
            </w:r>
          </w:p>
        </w:tc>
        <w:tc>
          <w:tcPr>
            <w:tcW w:w="1334" w:type="pct"/>
          </w:tcPr>
          <w:p w14:paraId="2192989B" w14:textId="77777777" w:rsidR="00FF29BA" w:rsidRPr="00A51B6F" w:rsidRDefault="00FF29BA" w:rsidP="00A51B6F">
            <w:pPr>
              <w:spacing w:before="20" w:after="20"/>
              <w:jc w:val="center"/>
              <w:rPr>
                <w:rFonts w:ascii="Arial Narrow" w:hAnsi="Arial Narrow" w:cs="Arial"/>
                <w:b/>
                <w:color w:val="FFFFFF"/>
                <w:sz w:val="22"/>
              </w:rPr>
            </w:pPr>
            <w:r w:rsidRPr="00A51B6F">
              <w:rPr>
                <w:rFonts w:ascii="Arial Narrow" w:eastAsia="Arial Narrow" w:hAnsi="Arial Narrow" w:cs="Arial Narrow"/>
                <w:b/>
                <w:color w:val="FFFFFF" w:themeColor="background1"/>
                <w:sz w:val="22"/>
              </w:rPr>
              <w:t>Corrections &amp; Custody Officer 2</w:t>
            </w:r>
          </w:p>
        </w:tc>
      </w:tr>
      <w:tr w:rsidR="00FF29BA" w:rsidRPr="00FF29BA" w14:paraId="4E249FCA" w14:textId="77777777" w:rsidTr="001D1664">
        <w:trPr>
          <w:cnfStyle w:val="000000100000" w:firstRow="0" w:lastRow="0" w:firstColumn="0" w:lastColumn="0" w:oddVBand="0" w:evenVBand="0" w:oddHBand="1" w:evenHBand="0" w:firstRowFirstColumn="0" w:firstRowLastColumn="0" w:lastRowFirstColumn="0" w:lastRowLastColumn="0"/>
        </w:trPr>
        <w:tc>
          <w:tcPr>
            <w:tcW w:w="827" w:type="pct"/>
          </w:tcPr>
          <w:p w14:paraId="4D83217D" w14:textId="77777777" w:rsidR="00FF29BA" w:rsidRPr="00FF29BA" w:rsidRDefault="00FF29BA" w:rsidP="00FF29BA">
            <w:pPr>
              <w:spacing w:before="40" w:after="40"/>
              <w:rPr>
                <w:rFonts w:ascii="Arial Narrow" w:hAnsi="Arial Narrow"/>
                <w:b/>
                <w:sz w:val="20"/>
                <w:szCs w:val="20"/>
              </w:rPr>
            </w:pPr>
            <w:r w:rsidRPr="00FF29BA">
              <w:rPr>
                <w:rFonts w:ascii="Arial Narrow" w:hAnsi="Arial Narrow"/>
                <w:b/>
                <w:sz w:val="20"/>
                <w:szCs w:val="20"/>
              </w:rPr>
              <w:t xml:space="preserve">Occupational Category </w:t>
            </w:r>
          </w:p>
        </w:tc>
        <w:tc>
          <w:tcPr>
            <w:tcW w:w="1366" w:type="pct"/>
          </w:tcPr>
          <w:p w14:paraId="3AA89B77"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Protective Services </w:t>
            </w:r>
          </w:p>
        </w:tc>
        <w:tc>
          <w:tcPr>
            <w:tcW w:w="1474" w:type="pct"/>
          </w:tcPr>
          <w:p w14:paraId="71610303"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Protective Services </w:t>
            </w:r>
          </w:p>
        </w:tc>
        <w:tc>
          <w:tcPr>
            <w:tcW w:w="1334" w:type="pct"/>
          </w:tcPr>
          <w:p w14:paraId="31BD81AD"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Protective Services </w:t>
            </w:r>
          </w:p>
        </w:tc>
      </w:tr>
      <w:tr w:rsidR="00FF29BA" w:rsidRPr="00FF29BA" w14:paraId="489D91B3" w14:textId="77777777" w:rsidTr="001D1664">
        <w:tc>
          <w:tcPr>
            <w:tcW w:w="827" w:type="pct"/>
          </w:tcPr>
          <w:p w14:paraId="6E12EF55" w14:textId="77777777" w:rsidR="00FF29BA" w:rsidRPr="00FF29BA" w:rsidRDefault="00FF29BA" w:rsidP="00FF29BA">
            <w:pPr>
              <w:spacing w:before="40" w:after="40"/>
              <w:rPr>
                <w:rFonts w:ascii="Arial Narrow" w:hAnsi="Arial Narrow"/>
                <w:b/>
                <w:sz w:val="20"/>
                <w:szCs w:val="20"/>
              </w:rPr>
            </w:pPr>
            <w:r w:rsidRPr="00FF29BA">
              <w:rPr>
                <w:rFonts w:ascii="Arial Narrow" w:hAnsi="Arial Narrow"/>
                <w:b/>
                <w:sz w:val="20"/>
                <w:szCs w:val="20"/>
              </w:rPr>
              <w:t xml:space="preserve">Classification  </w:t>
            </w:r>
          </w:p>
        </w:tc>
        <w:tc>
          <w:tcPr>
            <w:tcW w:w="1366" w:type="pct"/>
          </w:tcPr>
          <w:p w14:paraId="67747FBF"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Entry-level </w:t>
            </w:r>
          </w:p>
        </w:tc>
        <w:tc>
          <w:tcPr>
            <w:tcW w:w="1474" w:type="pct"/>
          </w:tcPr>
          <w:p w14:paraId="7B55A391"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In-training </w:t>
            </w:r>
          </w:p>
        </w:tc>
        <w:tc>
          <w:tcPr>
            <w:tcW w:w="1334" w:type="pct"/>
          </w:tcPr>
          <w:p w14:paraId="1F70E212"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Fully-qualified </w:t>
            </w:r>
          </w:p>
        </w:tc>
      </w:tr>
      <w:tr w:rsidR="00FF29BA" w:rsidRPr="00FF29BA" w14:paraId="062C16A2" w14:textId="77777777" w:rsidTr="001D1664">
        <w:trPr>
          <w:cnfStyle w:val="000000100000" w:firstRow="0" w:lastRow="0" w:firstColumn="0" w:lastColumn="0" w:oddVBand="0" w:evenVBand="0" w:oddHBand="1" w:evenHBand="0" w:firstRowFirstColumn="0" w:firstRowLastColumn="0" w:lastRowFirstColumn="0" w:lastRowLastColumn="0"/>
        </w:trPr>
        <w:tc>
          <w:tcPr>
            <w:tcW w:w="827" w:type="pct"/>
          </w:tcPr>
          <w:p w14:paraId="5FEB4C9A" w14:textId="77777777" w:rsidR="00FF29BA" w:rsidRPr="00FF29BA" w:rsidRDefault="00FF29BA" w:rsidP="00FF29BA">
            <w:pPr>
              <w:spacing w:before="40" w:after="40"/>
              <w:rPr>
                <w:rFonts w:ascii="Arial Narrow" w:hAnsi="Arial Narrow"/>
                <w:b/>
                <w:sz w:val="20"/>
                <w:szCs w:val="20"/>
              </w:rPr>
            </w:pPr>
            <w:r w:rsidRPr="00FF29BA">
              <w:rPr>
                <w:rFonts w:ascii="Arial Narrow" w:hAnsi="Arial Narrow"/>
                <w:b/>
                <w:sz w:val="20"/>
                <w:szCs w:val="20"/>
              </w:rPr>
              <w:t>Supervisory Responsibility?</w:t>
            </w:r>
          </w:p>
        </w:tc>
        <w:tc>
          <w:tcPr>
            <w:tcW w:w="1366" w:type="pct"/>
          </w:tcPr>
          <w:p w14:paraId="60E6A236"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No </w:t>
            </w:r>
          </w:p>
        </w:tc>
        <w:tc>
          <w:tcPr>
            <w:tcW w:w="1474" w:type="pct"/>
          </w:tcPr>
          <w:p w14:paraId="0AE9CB89"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No </w:t>
            </w:r>
          </w:p>
        </w:tc>
        <w:tc>
          <w:tcPr>
            <w:tcW w:w="1334" w:type="pct"/>
          </w:tcPr>
          <w:p w14:paraId="4631F90C" w14:textId="77777777" w:rsidR="00FF29BA" w:rsidRPr="00FF29BA" w:rsidRDefault="00FF29BA" w:rsidP="00FF29BA">
            <w:pPr>
              <w:keepNext/>
              <w:spacing w:before="40" w:after="40"/>
              <w:contextualSpacing/>
              <w:rPr>
                <w:rFonts w:ascii="Arial Narrow" w:hAnsi="Arial Narrow"/>
                <w:sz w:val="20"/>
                <w:szCs w:val="20"/>
              </w:rPr>
            </w:pPr>
            <w:r w:rsidRPr="00FF29BA">
              <w:rPr>
                <w:rFonts w:ascii="Arial Narrow" w:hAnsi="Arial Narrow"/>
                <w:sz w:val="20"/>
                <w:szCs w:val="20"/>
              </w:rPr>
              <w:t xml:space="preserve">No </w:t>
            </w:r>
          </w:p>
        </w:tc>
      </w:tr>
      <w:tr w:rsidR="00FF29BA" w:rsidRPr="00FF29BA" w14:paraId="303B5823" w14:textId="77777777" w:rsidTr="001D1664">
        <w:tc>
          <w:tcPr>
            <w:tcW w:w="827" w:type="pct"/>
          </w:tcPr>
          <w:p w14:paraId="646CED16" w14:textId="77777777" w:rsidR="00FF29BA" w:rsidRPr="00FF29BA" w:rsidRDefault="00FF29BA" w:rsidP="00FF29BA">
            <w:pPr>
              <w:spacing w:before="40" w:after="40"/>
              <w:rPr>
                <w:rFonts w:ascii="Arial Narrow" w:hAnsi="Arial Narrow"/>
                <w:b/>
                <w:sz w:val="20"/>
                <w:szCs w:val="20"/>
              </w:rPr>
            </w:pPr>
            <w:r w:rsidRPr="00FF29BA">
              <w:rPr>
                <w:rFonts w:ascii="Arial Narrow" w:hAnsi="Arial Narrow"/>
                <w:b/>
                <w:sz w:val="20"/>
                <w:szCs w:val="20"/>
              </w:rPr>
              <w:t>Desirable Qualifications</w:t>
            </w:r>
          </w:p>
        </w:tc>
        <w:tc>
          <w:tcPr>
            <w:tcW w:w="1366" w:type="pct"/>
          </w:tcPr>
          <w:p w14:paraId="41D05396" w14:textId="77777777" w:rsidR="00FF29BA" w:rsidRPr="00FF29BA" w:rsidRDefault="00FF29BA" w:rsidP="00FF29BA">
            <w:pPr>
              <w:pStyle w:val="TableBullet"/>
            </w:pPr>
            <w:r w:rsidRPr="00FF29BA">
              <w:t xml:space="preserve">H.S. Diploma or GED </w:t>
            </w:r>
          </w:p>
          <w:p w14:paraId="70237F3A" w14:textId="77777777" w:rsidR="00FF29BA" w:rsidRPr="00FF29BA" w:rsidRDefault="00FF29BA" w:rsidP="00FF29BA">
            <w:pPr>
              <w:keepNext/>
              <w:spacing w:before="40" w:after="40"/>
              <w:ind w:left="216"/>
              <w:contextualSpacing/>
              <w:jc w:val="center"/>
              <w:rPr>
                <w:rFonts w:ascii="Arial Narrow" w:hAnsi="Arial Narrow"/>
                <w:sz w:val="20"/>
                <w:szCs w:val="20"/>
              </w:rPr>
            </w:pPr>
            <w:r w:rsidRPr="00FF29BA">
              <w:rPr>
                <w:rFonts w:ascii="Arial Narrow" w:hAnsi="Arial Narrow"/>
                <w:sz w:val="20"/>
                <w:szCs w:val="20"/>
              </w:rPr>
              <w:t xml:space="preserve">AND </w:t>
            </w:r>
          </w:p>
          <w:p w14:paraId="1CD4B6D4" w14:textId="77777777" w:rsidR="00FF29BA" w:rsidRPr="00FF29BA" w:rsidRDefault="00F20ED5" w:rsidP="00FF29BA">
            <w:pPr>
              <w:pStyle w:val="TableBullet"/>
            </w:pPr>
            <w:r>
              <w:t>One</w:t>
            </w:r>
            <w:r w:rsidR="00FF29BA" w:rsidRPr="00FF29BA">
              <w:t xml:space="preserve"> year of relevant work experience in areas such as social services, security guard, correctional officer, police or police reserve officer, military police or other law enforcement work OR </w:t>
            </w:r>
          </w:p>
          <w:p w14:paraId="2776A614" w14:textId="77777777" w:rsidR="00FF29BA" w:rsidRPr="00FF29BA" w:rsidRDefault="00FF29BA" w:rsidP="00FF29BA">
            <w:pPr>
              <w:pStyle w:val="TableBullet"/>
            </w:pPr>
            <w:r w:rsidRPr="00FF29BA">
              <w:t xml:space="preserve">Successful completion in a basic law enforcement training program approved by the WA Criminal Justice Training Commission OR </w:t>
            </w:r>
          </w:p>
          <w:p w14:paraId="0DCE168D" w14:textId="77777777" w:rsidR="00FF29BA" w:rsidRPr="00FF29BA" w:rsidRDefault="00FF29BA" w:rsidP="00FF29BA">
            <w:pPr>
              <w:pStyle w:val="TableBullet"/>
            </w:pPr>
            <w:r w:rsidRPr="00FF29BA">
              <w:t xml:space="preserve">Successful completion of a police or reserve police academy or military training program </w:t>
            </w:r>
          </w:p>
        </w:tc>
        <w:tc>
          <w:tcPr>
            <w:tcW w:w="1474" w:type="pct"/>
          </w:tcPr>
          <w:p w14:paraId="3643C510" w14:textId="77777777" w:rsidR="00FF29BA" w:rsidRPr="00FF29BA" w:rsidRDefault="00FF29BA" w:rsidP="00FF29BA">
            <w:pPr>
              <w:pStyle w:val="TableBullet"/>
            </w:pPr>
            <w:r w:rsidRPr="00FF29BA">
              <w:t xml:space="preserve">H.S. Diploma or GED </w:t>
            </w:r>
          </w:p>
          <w:p w14:paraId="60EBC63C" w14:textId="77777777" w:rsidR="00FF29BA" w:rsidRPr="00FF29BA" w:rsidRDefault="00FF29BA" w:rsidP="00FF29BA">
            <w:pPr>
              <w:spacing w:before="40" w:after="40"/>
              <w:jc w:val="center"/>
              <w:rPr>
                <w:rFonts w:ascii="Arial Narrow" w:hAnsi="Arial Narrow"/>
                <w:sz w:val="20"/>
                <w:szCs w:val="20"/>
              </w:rPr>
            </w:pPr>
            <w:r w:rsidRPr="00FF29BA">
              <w:rPr>
                <w:rFonts w:ascii="Arial Narrow" w:hAnsi="Arial Narrow"/>
                <w:sz w:val="20"/>
                <w:szCs w:val="20"/>
              </w:rPr>
              <w:t>AND</w:t>
            </w:r>
          </w:p>
          <w:p w14:paraId="5020DA51" w14:textId="77777777" w:rsidR="00FF29BA" w:rsidRPr="00FF29BA" w:rsidRDefault="00FF29BA" w:rsidP="00FF29BA">
            <w:pPr>
              <w:pStyle w:val="TableBullet"/>
            </w:pPr>
            <w:r w:rsidRPr="00FF29BA">
              <w:t xml:space="preserve">One year of paid or volunteer work experience, equivalent to full-time </w:t>
            </w:r>
          </w:p>
          <w:p w14:paraId="17642C32" w14:textId="77777777" w:rsidR="00FF29BA" w:rsidRPr="00FF29BA" w:rsidRDefault="00FF29BA" w:rsidP="00FF29BA">
            <w:pPr>
              <w:pStyle w:val="TableBullet"/>
            </w:pPr>
            <w:r w:rsidRPr="00FF29BA">
              <w:t>Successful completion of 30 semester hours or 45 quarter hours of college-level coursework majoring in a social of behavioral science or criminal justice may be substituted for experience</w:t>
            </w:r>
          </w:p>
          <w:p w14:paraId="79003AAD" w14:textId="77777777" w:rsidR="00FF29BA" w:rsidRPr="00FF29BA" w:rsidRDefault="00FF29BA" w:rsidP="00FF29BA">
            <w:pPr>
              <w:pStyle w:val="TableBullet"/>
            </w:pPr>
            <w:r w:rsidRPr="00FF29BA">
              <w:t xml:space="preserve">Successful completion of a correctional officer training course approved by DOC may substitute for experience </w:t>
            </w:r>
          </w:p>
        </w:tc>
        <w:tc>
          <w:tcPr>
            <w:tcW w:w="1334" w:type="pct"/>
          </w:tcPr>
          <w:p w14:paraId="18D7E7C0" w14:textId="77777777" w:rsidR="00FF29BA" w:rsidRPr="00FF29BA" w:rsidRDefault="00F20ED5" w:rsidP="00FF29BA">
            <w:pPr>
              <w:pStyle w:val="TableBullet"/>
            </w:pPr>
            <w:r>
              <w:t xml:space="preserve">Twelve </w:t>
            </w:r>
            <w:r w:rsidR="00FF29BA" w:rsidRPr="00FF29BA">
              <w:t xml:space="preserve">months as a Correctional Officer, including successful completion Correctional Officer training </w:t>
            </w:r>
          </w:p>
          <w:p w14:paraId="2DE26F9E" w14:textId="77777777" w:rsidR="00FF29BA" w:rsidRPr="00FF29BA" w:rsidRDefault="00FF29BA" w:rsidP="00FF29BA">
            <w:pPr>
              <w:spacing w:before="40" w:after="40"/>
              <w:jc w:val="center"/>
              <w:rPr>
                <w:rFonts w:ascii="Arial Narrow" w:hAnsi="Arial Narrow"/>
                <w:sz w:val="20"/>
                <w:szCs w:val="20"/>
              </w:rPr>
            </w:pPr>
            <w:r w:rsidRPr="00FF29BA">
              <w:rPr>
                <w:rFonts w:ascii="Arial Narrow" w:hAnsi="Arial Narrow"/>
                <w:sz w:val="20"/>
                <w:szCs w:val="20"/>
              </w:rPr>
              <w:t xml:space="preserve">OR </w:t>
            </w:r>
          </w:p>
          <w:p w14:paraId="62E0C315" w14:textId="77777777" w:rsidR="00FF29BA" w:rsidRPr="00FF29BA" w:rsidRDefault="00FF29BA" w:rsidP="00FF29BA">
            <w:pPr>
              <w:pStyle w:val="TableBullet"/>
            </w:pPr>
            <w:r w:rsidRPr="00FF29BA">
              <w:t xml:space="preserve">H.S. Diploma or GED </w:t>
            </w:r>
          </w:p>
          <w:p w14:paraId="63A8EFCB" w14:textId="77777777" w:rsidR="00FF29BA" w:rsidRPr="00FF29BA" w:rsidRDefault="00FF29BA" w:rsidP="00FF29BA">
            <w:pPr>
              <w:spacing w:before="40" w:after="40"/>
              <w:jc w:val="center"/>
              <w:rPr>
                <w:rFonts w:ascii="Arial Narrow" w:hAnsi="Arial Narrow"/>
                <w:sz w:val="20"/>
                <w:szCs w:val="20"/>
              </w:rPr>
            </w:pPr>
            <w:r w:rsidRPr="00FF29BA">
              <w:rPr>
                <w:rFonts w:ascii="Arial Narrow" w:hAnsi="Arial Narrow"/>
                <w:sz w:val="20"/>
                <w:szCs w:val="20"/>
              </w:rPr>
              <w:t xml:space="preserve">AND </w:t>
            </w:r>
          </w:p>
          <w:p w14:paraId="63041F8D" w14:textId="77777777" w:rsidR="00FF29BA" w:rsidRPr="00FF29BA" w:rsidRDefault="00F20ED5" w:rsidP="00FF29BA">
            <w:pPr>
              <w:pStyle w:val="TableBullet"/>
            </w:pPr>
            <w:r>
              <w:t>Twelve</w:t>
            </w:r>
            <w:r w:rsidR="00FF29BA" w:rsidRPr="00FF29BA">
              <w:t xml:space="preserve"> months of experience as a correctional officer in adult or juvenile corrections where security functions equivalent to a Level 2 Correctional Officer were performed </w:t>
            </w:r>
          </w:p>
        </w:tc>
      </w:tr>
      <w:tr w:rsidR="00FF29BA" w:rsidRPr="00FF29BA" w14:paraId="2FE568EA" w14:textId="77777777" w:rsidTr="001D1664">
        <w:trPr>
          <w:cnfStyle w:val="000000100000" w:firstRow="0" w:lastRow="0" w:firstColumn="0" w:lastColumn="0" w:oddVBand="0" w:evenVBand="0" w:oddHBand="1" w:evenHBand="0" w:firstRowFirstColumn="0" w:firstRowLastColumn="0" w:lastRowFirstColumn="0" w:lastRowLastColumn="0"/>
        </w:trPr>
        <w:tc>
          <w:tcPr>
            <w:tcW w:w="827" w:type="pct"/>
          </w:tcPr>
          <w:p w14:paraId="6FB1107A" w14:textId="77777777" w:rsidR="00FF29BA" w:rsidRPr="00FF29BA" w:rsidRDefault="00FF29BA" w:rsidP="00FF29BA">
            <w:pPr>
              <w:keepNext/>
              <w:spacing w:before="40" w:after="40"/>
              <w:contextualSpacing/>
              <w:rPr>
                <w:rFonts w:ascii="Arial Narrow" w:hAnsi="Arial Narrow"/>
                <w:b/>
                <w:sz w:val="20"/>
                <w:szCs w:val="20"/>
              </w:rPr>
            </w:pPr>
            <w:r w:rsidRPr="00FF29BA">
              <w:rPr>
                <w:rFonts w:ascii="Arial Narrow" w:hAnsi="Arial Narrow"/>
                <w:b/>
                <w:sz w:val="20"/>
                <w:szCs w:val="20"/>
              </w:rPr>
              <w:t xml:space="preserve">Key Responsibilities </w:t>
            </w:r>
          </w:p>
        </w:tc>
        <w:tc>
          <w:tcPr>
            <w:tcW w:w="1366" w:type="pct"/>
          </w:tcPr>
          <w:p w14:paraId="76D20962" w14:textId="77777777" w:rsidR="00FF29BA" w:rsidRPr="00FF29BA" w:rsidRDefault="00FF29BA" w:rsidP="00FF29BA">
            <w:pPr>
              <w:pStyle w:val="TableBullet"/>
            </w:pPr>
            <w:r w:rsidRPr="00FF29BA">
              <w:t xml:space="preserve">Provides security services and helps ensure the safety and security of residents, staff, and facilities </w:t>
            </w:r>
          </w:p>
          <w:p w14:paraId="72BEF88C" w14:textId="77777777" w:rsidR="00FF29BA" w:rsidRPr="00FF29BA" w:rsidRDefault="00FF29BA" w:rsidP="00FF29BA">
            <w:pPr>
              <w:pStyle w:val="TableBullet"/>
            </w:pPr>
            <w:r w:rsidRPr="00FF29BA">
              <w:t>Conducts required checks (e.g., bed checks, perimeter checks, hourly security calls, room inspections, etc.)</w:t>
            </w:r>
          </w:p>
          <w:p w14:paraId="23520E1E" w14:textId="77777777" w:rsidR="00FF29BA" w:rsidRPr="00FF29BA" w:rsidRDefault="00FF29BA" w:rsidP="00FF29BA">
            <w:pPr>
              <w:pStyle w:val="TableBullet"/>
            </w:pPr>
            <w:r w:rsidRPr="00FF29BA">
              <w:t xml:space="preserve">Backs-up residential staff and intervenes as needed to diffuse emergent situations </w:t>
            </w:r>
          </w:p>
          <w:p w14:paraId="1DF46719" w14:textId="77777777" w:rsidR="00FF29BA" w:rsidRPr="00FF29BA" w:rsidRDefault="00FF29BA" w:rsidP="00FF29BA">
            <w:pPr>
              <w:pStyle w:val="TableBullet"/>
            </w:pPr>
            <w:r w:rsidRPr="00FF29BA">
              <w:t>May distribute medication to youth</w:t>
            </w:r>
          </w:p>
          <w:p w14:paraId="4423E786" w14:textId="77777777" w:rsidR="00FF29BA" w:rsidRPr="00FF29BA" w:rsidRDefault="00FF29BA" w:rsidP="00FF29BA">
            <w:pPr>
              <w:pStyle w:val="TableBullet"/>
            </w:pPr>
            <w:r w:rsidRPr="00FF29BA">
              <w:t xml:space="preserve">May assist with cooking and cleaning duties </w:t>
            </w:r>
          </w:p>
        </w:tc>
        <w:tc>
          <w:tcPr>
            <w:tcW w:w="1474" w:type="pct"/>
          </w:tcPr>
          <w:p w14:paraId="3075D76C" w14:textId="77777777" w:rsidR="00FF29BA" w:rsidRPr="00FF29BA" w:rsidRDefault="00FF29BA" w:rsidP="00FF29BA">
            <w:pPr>
              <w:pStyle w:val="TableBullet"/>
            </w:pPr>
            <w:r w:rsidRPr="00FF29BA">
              <w:t xml:space="preserve">Provides security services including movement of offenders, taking emergency actions to control aggressive actions and de-escalate emergent situations </w:t>
            </w:r>
          </w:p>
          <w:p w14:paraId="33D6189C" w14:textId="77777777" w:rsidR="00FF29BA" w:rsidRPr="00FF29BA" w:rsidRDefault="00FF29BA" w:rsidP="00FF29BA">
            <w:pPr>
              <w:pStyle w:val="TableBullet"/>
            </w:pPr>
            <w:r w:rsidRPr="00FF29BA">
              <w:t xml:space="preserve">May assist with mailroom security and delivery </w:t>
            </w:r>
          </w:p>
          <w:p w14:paraId="377AF25D" w14:textId="77777777" w:rsidR="00FF29BA" w:rsidRPr="00FF29BA" w:rsidRDefault="00FF29BA" w:rsidP="00FF29BA">
            <w:pPr>
              <w:pStyle w:val="TableBullet"/>
            </w:pPr>
            <w:r w:rsidRPr="00FF29BA">
              <w:t xml:space="preserve">Documents incidents and other necessary actions </w:t>
            </w:r>
          </w:p>
          <w:p w14:paraId="02B09D86" w14:textId="77777777" w:rsidR="00FF29BA" w:rsidRPr="00FF29BA" w:rsidRDefault="00FF29BA" w:rsidP="00FF29BA">
            <w:pPr>
              <w:pStyle w:val="TableBullet"/>
            </w:pPr>
            <w:r w:rsidRPr="00FF29BA">
              <w:t>Monitor offender behavior</w:t>
            </w:r>
          </w:p>
          <w:p w14:paraId="4C97D8F3" w14:textId="77777777" w:rsidR="00FF29BA" w:rsidRPr="00FF29BA" w:rsidRDefault="00FF29BA" w:rsidP="00FF29BA">
            <w:pPr>
              <w:pStyle w:val="TableBullet"/>
            </w:pPr>
            <w:r w:rsidRPr="00FF29BA">
              <w:t xml:space="preserve">May be required to work with special needs offenders </w:t>
            </w:r>
          </w:p>
        </w:tc>
        <w:tc>
          <w:tcPr>
            <w:tcW w:w="1334" w:type="pct"/>
          </w:tcPr>
          <w:p w14:paraId="786AAFC1" w14:textId="77777777" w:rsidR="00FF29BA" w:rsidRPr="00FF29BA" w:rsidRDefault="00FF29BA" w:rsidP="00FF29BA">
            <w:pPr>
              <w:pStyle w:val="TableBullet"/>
            </w:pPr>
            <w:r w:rsidRPr="00FF29BA">
              <w:t xml:space="preserve">Similar to CCO1 responsibilities, with the addition of providing support to CCO1s as they complete their training </w:t>
            </w:r>
          </w:p>
        </w:tc>
      </w:tr>
      <w:tr w:rsidR="00FF29BA" w:rsidRPr="00FF29BA" w14:paraId="4086D90C" w14:textId="77777777" w:rsidTr="001D1664">
        <w:tc>
          <w:tcPr>
            <w:tcW w:w="827" w:type="pct"/>
          </w:tcPr>
          <w:p w14:paraId="0EF69EC5" w14:textId="77777777" w:rsidR="00FF29BA" w:rsidRPr="00FF29BA" w:rsidRDefault="00FF29BA" w:rsidP="00FF29BA">
            <w:pPr>
              <w:keepNext/>
              <w:spacing w:before="40" w:after="40"/>
              <w:contextualSpacing/>
              <w:rPr>
                <w:rFonts w:ascii="Arial Narrow" w:hAnsi="Arial Narrow"/>
                <w:b/>
                <w:sz w:val="20"/>
                <w:szCs w:val="20"/>
              </w:rPr>
            </w:pPr>
            <w:r w:rsidRPr="00FF29BA">
              <w:rPr>
                <w:rFonts w:ascii="Arial Narrow" w:hAnsi="Arial Narrow"/>
                <w:b/>
                <w:sz w:val="20"/>
                <w:szCs w:val="20"/>
              </w:rPr>
              <w:t xml:space="preserve">Pay Range </w:t>
            </w:r>
          </w:p>
        </w:tc>
        <w:tc>
          <w:tcPr>
            <w:tcW w:w="1366" w:type="pct"/>
          </w:tcPr>
          <w:p w14:paraId="2635A32A" w14:textId="77777777" w:rsidR="00FF29BA" w:rsidRPr="00FF29BA" w:rsidRDefault="00FF29BA" w:rsidP="00FF29BA">
            <w:pPr>
              <w:pStyle w:val="TableBullet"/>
            </w:pPr>
            <w:r w:rsidRPr="00FF29BA">
              <w:t>Band 38: $33,264 – $56,580</w:t>
            </w:r>
          </w:p>
        </w:tc>
        <w:tc>
          <w:tcPr>
            <w:tcW w:w="1474" w:type="pct"/>
          </w:tcPr>
          <w:p w14:paraId="72C1538D" w14:textId="77777777" w:rsidR="00FF29BA" w:rsidRPr="00FF29BA" w:rsidRDefault="00FF29BA" w:rsidP="00FF29BA">
            <w:pPr>
              <w:pStyle w:val="TableBullet"/>
            </w:pPr>
            <w:r w:rsidRPr="00FF29BA">
              <w:t>Band 41: $35,664 – $47,532</w:t>
            </w:r>
          </w:p>
          <w:p w14:paraId="7DAF4B7E" w14:textId="77777777" w:rsidR="00FF29BA" w:rsidRPr="00FF29BA" w:rsidRDefault="00FF29BA" w:rsidP="00FF29BA">
            <w:pPr>
              <w:pStyle w:val="TableBullet"/>
            </w:pPr>
            <w:r w:rsidRPr="00FF29BA">
              <w:t xml:space="preserve">After one year of service, staff are automatically promoted to the next level </w:t>
            </w:r>
          </w:p>
        </w:tc>
        <w:tc>
          <w:tcPr>
            <w:tcW w:w="1334" w:type="pct"/>
          </w:tcPr>
          <w:p w14:paraId="48F029F8" w14:textId="77777777" w:rsidR="00FF29BA" w:rsidRPr="00FF29BA" w:rsidRDefault="00FF29BA" w:rsidP="00FF29BA">
            <w:pPr>
              <w:pStyle w:val="TableBullet"/>
            </w:pPr>
            <w:r w:rsidRPr="00FF29BA">
              <w:t>Band 43: $37,380 – $50,004</w:t>
            </w:r>
          </w:p>
        </w:tc>
      </w:tr>
      <w:tr w:rsidR="00FF29BA" w:rsidRPr="00FF29BA" w14:paraId="3A13B62D" w14:textId="77777777" w:rsidTr="001D1664">
        <w:trPr>
          <w:cnfStyle w:val="000000100000" w:firstRow="0" w:lastRow="0" w:firstColumn="0" w:lastColumn="0" w:oddVBand="0" w:evenVBand="0" w:oddHBand="1" w:evenHBand="0" w:firstRowFirstColumn="0" w:firstRowLastColumn="0" w:lastRowFirstColumn="0" w:lastRowLastColumn="0"/>
        </w:trPr>
        <w:tc>
          <w:tcPr>
            <w:tcW w:w="827" w:type="pct"/>
          </w:tcPr>
          <w:p w14:paraId="104185EB" w14:textId="77777777" w:rsidR="00FF29BA" w:rsidRPr="00FF29BA" w:rsidRDefault="00FF29BA" w:rsidP="00FF29BA">
            <w:pPr>
              <w:keepNext/>
              <w:spacing w:before="40" w:after="40"/>
              <w:contextualSpacing/>
              <w:rPr>
                <w:rFonts w:ascii="Arial Narrow" w:hAnsi="Arial Narrow"/>
                <w:b/>
                <w:sz w:val="20"/>
                <w:szCs w:val="20"/>
              </w:rPr>
            </w:pPr>
            <w:r w:rsidRPr="00FF29BA">
              <w:rPr>
                <w:rFonts w:ascii="Arial Narrow" w:hAnsi="Arial Narrow"/>
                <w:b/>
                <w:sz w:val="20"/>
                <w:szCs w:val="20"/>
              </w:rPr>
              <w:t>Pay Differential from JRSO (Step A)</w:t>
            </w:r>
          </w:p>
        </w:tc>
        <w:tc>
          <w:tcPr>
            <w:tcW w:w="1366" w:type="pct"/>
            <w:vAlign w:val="center"/>
          </w:tcPr>
          <w:p w14:paraId="3CBB32B5" w14:textId="77777777" w:rsidR="00FF29BA" w:rsidRPr="00FF29BA" w:rsidRDefault="00FF29BA" w:rsidP="00FF29BA">
            <w:pPr>
              <w:spacing w:before="40" w:after="40"/>
              <w:rPr>
                <w:rFonts w:ascii="Arial Narrow" w:hAnsi="Arial Narrow"/>
                <w:sz w:val="20"/>
                <w:szCs w:val="20"/>
              </w:rPr>
            </w:pPr>
            <w:r w:rsidRPr="00FF29BA">
              <w:rPr>
                <w:rFonts w:ascii="Arial Narrow" w:hAnsi="Arial Narrow"/>
                <w:sz w:val="20"/>
                <w:szCs w:val="20"/>
              </w:rPr>
              <w:t>NA</w:t>
            </w:r>
          </w:p>
        </w:tc>
        <w:tc>
          <w:tcPr>
            <w:tcW w:w="1474" w:type="pct"/>
            <w:vAlign w:val="center"/>
          </w:tcPr>
          <w:p w14:paraId="74951547" w14:textId="77777777" w:rsidR="00FF29BA" w:rsidRPr="00FF29BA" w:rsidRDefault="00FF29BA" w:rsidP="00FF29BA">
            <w:pPr>
              <w:spacing w:before="40" w:after="40"/>
              <w:rPr>
                <w:rFonts w:ascii="Arial Narrow" w:hAnsi="Arial Narrow"/>
                <w:sz w:val="20"/>
                <w:szCs w:val="20"/>
              </w:rPr>
            </w:pPr>
            <w:r w:rsidRPr="00FF29BA">
              <w:rPr>
                <w:rFonts w:ascii="Arial Narrow" w:hAnsi="Arial Narrow"/>
                <w:sz w:val="20"/>
                <w:szCs w:val="20"/>
              </w:rPr>
              <w:t>+7.2%</w:t>
            </w:r>
          </w:p>
        </w:tc>
        <w:tc>
          <w:tcPr>
            <w:tcW w:w="1334" w:type="pct"/>
            <w:vAlign w:val="center"/>
          </w:tcPr>
          <w:p w14:paraId="165E4898" w14:textId="77777777" w:rsidR="00FF29BA" w:rsidRPr="00FF29BA" w:rsidRDefault="00FF29BA" w:rsidP="00FF29BA">
            <w:pPr>
              <w:spacing w:before="40" w:after="40"/>
              <w:rPr>
                <w:rFonts w:ascii="Arial Narrow" w:hAnsi="Arial Narrow"/>
                <w:sz w:val="20"/>
                <w:szCs w:val="20"/>
              </w:rPr>
            </w:pPr>
            <w:r w:rsidRPr="00FF29BA">
              <w:rPr>
                <w:rFonts w:ascii="Arial Narrow" w:hAnsi="Arial Narrow"/>
                <w:sz w:val="20"/>
                <w:szCs w:val="20"/>
              </w:rPr>
              <w:t>+12.4%</w:t>
            </w:r>
          </w:p>
        </w:tc>
      </w:tr>
    </w:tbl>
    <w:p w14:paraId="2140B6B7" w14:textId="77777777" w:rsidR="00FF29BA" w:rsidRPr="00FF29BA" w:rsidRDefault="00FF29BA" w:rsidP="00FF29BA">
      <w:r w:rsidRPr="00F20ED5">
        <w:t>A review of the informa</w:t>
      </w:r>
      <w:r w:rsidR="00103E42" w:rsidRPr="00F20ED5">
        <w:t xml:space="preserve">tion in Exhibit </w:t>
      </w:r>
      <w:r w:rsidR="006F7241">
        <w:t>5</w:t>
      </w:r>
      <w:r w:rsidR="00103E42" w:rsidRPr="00F20ED5">
        <w:t>-</w:t>
      </w:r>
      <w:r w:rsidR="00A05906">
        <w:t>26</w:t>
      </w:r>
      <w:r w:rsidR="00A05906" w:rsidRPr="00F20ED5">
        <w:t xml:space="preserve"> </w:t>
      </w:r>
      <w:r w:rsidRPr="00F20ED5">
        <w:t>strongly suggests the work JRSO</w:t>
      </w:r>
      <w:r w:rsidR="00224CD0">
        <w:t xml:space="preserve"> 1</w:t>
      </w:r>
      <w:r w:rsidRPr="00F20ED5">
        <w:t>s perform is very comparable to that of both the CCO 1 and 2 positions. Education and experience levels are comparable as well, yet</w:t>
      </w:r>
      <w:r w:rsidR="00324E35" w:rsidRPr="00F20ED5">
        <w:t xml:space="preserve"> the CCO positions are paid 7.2</w:t>
      </w:r>
      <w:r w:rsidR="004962BA" w:rsidRPr="00F20ED5">
        <w:t xml:space="preserve">% </w:t>
      </w:r>
      <w:r w:rsidR="00324E35" w:rsidRPr="00F20ED5">
        <w:t>and 12.4</w:t>
      </w:r>
      <w:r w:rsidR="004962BA" w:rsidRPr="00F20ED5">
        <w:t xml:space="preserve">% </w:t>
      </w:r>
      <w:r w:rsidRPr="00F20ED5">
        <w:t>higher than the JRSO</w:t>
      </w:r>
      <w:r w:rsidR="00224CD0">
        <w:t xml:space="preserve"> 1</w:t>
      </w:r>
      <w:r w:rsidRPr="00F20ED5">
        <w:t>s, respectively.</w:t>
      </w:r>
      <w:r w:rsidRPr="00FF29BA">
        <w:t xml:space="preserve"> </w:t>
      </w:r>
    </w:p>
    <w:p w14:paraId="4AAE4034" w14:textId="77777777" w:rsidR="00582D4C" w:rsidRDefault="00FF29BA" w:rsidP="00FF29BA">
      <w:r w:rsidRPr="00FF29BA">
        <w:lastRenderedPageBreak/>
        <w:t>An important consideration is JRSO</w:t>
      </w:r>
      <w:r w:rsidR="00224CD0">
        <w:t xml:space="preserve"> 1</w:t>
      </w:r>
      <w:r w:rsidRPr="00FF29BA">
        <w:t>s have the added responsibility of providing security services in the context of a rehabilitative facility, whereas CCO staff typically do not. JRSOs receive introductory training in DBT and</w:t>
      </w:r>
      <w:r w:rsidR="004C1811" w:rsidRPr="00FF29BA">
        <w:t xml:space="preserve"> </w:t>
      </w:r>
      <w:r w:rsidRPr="00FF29BA">
        <w:t>are expected to use that training when interacting with and modeling positive behaviors for youth. In addition, many JRSO</w:t>
      </w:r>
      <w:r w:rsidR="00224CD0">
        <w:t xml:space="preserve"> 1</w:t>
      </w:r>
      <w:r w:rsidRPr="00FF29BA">
        <w:t xml:space="preserve">s – particularly those in the </w:t>
      </w:r>
      <w:r w:rsidR="004C1811">
        <w:t>c</w:t>
      </w:r>
      <w:r w:rsidR="004C1811" w:rsidRPr="00FF29BA">
        <w:t xml:space="preserve">ommunity </w:t>
      </w:r>
      <w:r w:rsidR="004C1811">
        <w:t>f</w:t>
      </w:r>
      <w:r w:rsidR="004C1811" w:rsidRPr="00FF29BA">
        <w:t xml:space="preserve">acilities </w:t>
      </w:r>
      <w:r w:rsidRPr="00FF29BA">
        <w:t>– spend significant time with the youth outside of the facility, which is an added responsibility requir</w:t>
      </w:r>
      <w:r w:rsidR="004C1811">
        <w:t>ing</w:t>
      </w:r>
      <w:r w:rsidRPr="00FF29BA">
        <w:t xml:space="preserve"> additional skill and experience. </w:t>
      </w:r>
    </w:p>
    <w:p w14:paraId="19E1EDCC" w14:textId="77777777" w:rsidR="00C32C1A" w:rsidRDefault="00C60D66" w:rsidP="00F42D48">
      <w:pPr>
        <w:pStyle w:val="Heading2"/>
      </w:pPr>
      <w:bookmarkStart w:id="76" w:name="_Toc531597514"/>
      <w:r>
        <w:t>Turnover</w:t>
      </w:r>
      <w:bookmarkEnd w:id="76"/>
    </w:p>
    <w:p w14:paraId="0B6C7BF6" w14:textId="77777777" w:rsidR="00C82078" w:rsidRPr="00DD5FC6" w:rsidRDefault="00C82078" w:rsidP="00C82078">
      <w:pPr>
        <w:pStyle w:val="RFPtext"/>
        <w:rPr>
          <w:b/>
          <w:color w:val="000000" w:themeColor="text1"/>
          <w:sz w:val="24"/>
        </w:rPr>
      </w:pPr>
      <w:r w:rsidRPr="00DD5FC6">
        <w:rPr>
          <w:b/>
          <w:color w:val="000000" w:themeColor="text1"/>
          <w:sz w:val="24"/>
        </w:rPr>
        <w:t xml:space="preserve">Turnover </w:t>
      </w:r>
      <w:r w:rsidR="00224CD0">
        <w:rPr>
          <w:b/>
          <w:color w:val="000000" w:themeColor="text1"/>
          <w:sz w:val="24"/>
        </w:rPr>
        <w:t>in Juvenile Rehabilitation (J</w:t>
      </w:r>
      <w:r w:rsidR="007401FD" w:rsidRPr="00DD5FC6">
        <w:rPr>
          <w:b/>
          <w:color w:val="000000" w:themeColor="text1"/>
          <w:sz w:val="24"/>
        </w:rPr>
        <w:t>R</w:t>
      </w:r>
      <w:r w:rsidR="00224CD0">
        <w:rPr>
          <w:b/>
          <w:color w:val="000000" w:themeColor="text1"/>
          <w:sz w:val="24"/>
        </w:rPr>
        <w:t>)</w:t>
      </w:r>
      <w:r w:rsidR="007401FD" w:rsidRPr="00DD5FC6">
        <w:rPr>
          <w:b/>
          <w:color w:val="000000" w:themeColor="text1"/>
          <w:sz w:val="24"/>
        </w:rPr>
        <w:t xml:space="preserve"> </w:t>
      </w:r>
      <w:r w:rsidRPr="00DD5FC6">
        <w:rPr>
          <w:b/>
          <w:color w:val="000000" w:themeColor="text1"/>
          <w:sz w:val="24"/>
        </w:rPr>
        <w:t xml:space="preserve">is </w:t>
      </w:r>
      <w:r w:rsidR="007401FD" w:rsidRPr="00DD5FC6">
        <w:rPr>
          <w:b/>
          <w:color w:val="000000" w:themeColor="text1"/>
          <w:sz w:val="24"/>
        </w:rPr>
        <w:t xml:space="preserve">a </w:t>
      </w:r>
      <w:r w:rsidRPr="00DD5FC6">
        <w:rPr>
          <w:b/>
          <w:color w:val="000000" w:themeColor="text1"/>
          <w:sz w:val="24"/>
        </w:rPr>
        <w:t xml:space="preserve">significant issue leading to </w:t>
      </w:r>
      <w:r w:rsidR="007401FD" w:rsidRPr="00DD5FC6">
        <w:rPr>
          <w:b/>
          <w:color w:val="000000" w:themeColor="text1"/>
          <w:sz w:val="24"/>
        </w:rPr>
        <w:t>unstable staff</w:t>
      </w:r>
      <w:r w:rsidR="006A62C4" w:rsidRPr="00DD5FC6">
        <w:rPr>
          <w:b/>
          <w:color w:val="000000" w:themeColor="text1"/>
          <w:sz w:val="24"/>
        </w:rPr>
        <w:t>ing</w:t>
      </w:r>
      <w:r w:rsidR="007401FD" w:rsidRPr="00DD5FC6">
        <w:rPr>
          <w:b/>
          <w:color w:val="000000" w:themeColor="text1"/>
          <w:sz w:val="24"/>
        </w:rPr>
        <w:t xml:space="preserve"> patterns </w:t>
      </w:r>
      <w:r w:rsidRPr="00DD5FC6">
        <w:rPr>
          <w:b/>
          <w:color w:val="000000" w:themeColor="text1"/>
          <w:sz w:val="24"/>
        </w:rPr>
        <w:t>within the facilities</w:t>
      </w:r>
      <w:r w:rsidR="00A3786D" w:rsidRPr="00DD5FC6">
        <w:rPr>
          <w:b/>
          <w:color w:val="000000" w:themeColor="text1"/>
          <w:sz w:val="24"/>
        </w:rPr>
        <w:t xml:space="preserve">. </w:t>
      </w:r>
      <w:r w:rsidR="006A62C4" w:rsidRPr="00DD5FC6">
        <w:rPr>
          <w:b/>
          <w:color w:val="000000" w:themeColor="text1"/>
          <w:sz w:val="24"/>
        </w:rPr>
        <w:t>T</w:t>
      </w:r>
      <w:r w:rsidR="007401FD" w:rsidRPr="00DD5FC6">
        <w:rPr>
          <w:b/>
          <w:color w:val="000000" w:themeColor="text1"/>
          <w:sz w:val="24"/>
        </w:rPr>
        <w:t xml:space="preserve">his impacts the ability of facilities to </w:t>
      </w:r>
      <w:r w:rsidRPr="00DD5FC6">
        <w:rPr>
          <w:b/>
          <w:color w:val="000000" w:themeColor="text1"/>
          <w:sz w:val="24"/>
        </w:rPr>
        <w:t xml:space="preserve">realize positive outcomes for the youth served. </w:t>
      </w:r>
    </w:p>
    <w:p w14:paraId="5BDC3F78" w14:textId="77777777" w:rsidR="00A9035B" w:rsidRPr="00F64063" w:rsidRDefault="00A9035B" w:rsidP="00A9035B">
      <w:r w:rsidRPr="00F64063">
        <w:t>Turnover is a significant issue in social service organizations, including juvenile justice</w:t>
      </w:r>
      <w:r w:rsidR="00C82078">
        <w:t xml:space="preserve"> facilities.</w:t>
      </w:r>
      <w:r w:rsidR="00C82078">
        <w:rPr>
          <w:rStyle w:val="FootnoteReference"/>
        </w:rPr>
        <w:footnoteReference w:id="96"/>
      </w:r>
      <w:r w:rsidR="00C82078">
        <w:t xml:space="preserve"> </w:t>
      </w:r>
      <w:r w:rsidRPr="00F64063">
        <w:t>Estimates of turnover rates among staff working in the juvenile justice field have ranged between 20% and 37% per year</w:t>
      </w:r>
      <w:r w:rsidR="00C82078">
        <w:t>.</w:t>
      </w:r>
      <w:r w:rsidR="00C82078">
        <w:rPr>
          <w:rStyle w:val="FootnoteReference"/>
        </w:rPr>
        <w:footnoteReference w:id="97"/>
      </w:r>
      <w:r w:rsidRPr="00F64063">
        <w:t xml:space="preserve"> </w:t>
      </w:r>
    </w:p>
    <w:p w14:paraId="2B7BB3CA" w14:textId="77777777" w:rsidR="00B75047" w:rsidRPr="005D1D99" w:rsidRDefault="00B75047" w:rsidP="00B75047">
      <w:pPr>
        <w:pStyle w:val="PullQuote"/>
        <w:framePr w:w="3185" w:h="801" w:hRule="exact" w:wrap="around" w:hAnchor="page" w:x="7385" w:y="937"/>
        <w:rPr>
          <w:i/>
        </w:rPr>
      </w:pPr>
      <w:r w:rsidRPr="005D1D99">
        <w:rPr>
          <w:i/>
        </w:rPr>
        <w:t xml:space="preserve">“The </w:t>
      </w:r>
      <w:r>
        <w:rPr>
          <w:i/>
        </w:rPr>
        <w:t xml:space="preserve">high </w:t>
      </w:r>
      <w:r w:rsidRPr="005D1D99">
        <w:rPr>
          <w:i/>
        </w:rPr>
        <w:t>turnover makes kids feel they are being abandoned.”</w:t>
      </w:r>
    </w:p>
    <w:p w14:paraId="43AD1404" w14:textId="77777777" w:rsidR="00B75047" w:rsidRDefault="00B75047" w:rsidP="00B75047">
      <w:pPr>
        <w:pStyle w:val="PullQuote"/>
        <w:framePr w:w="3185" w:h="801" w:hRule="exact" w:wrap="around" w:hAnchor="page" w:x="7385" w:y="937"/>
        <w:jc w:val="right"/>
      </w:pPr>
      <w:r>
        <w:t>— JRSO</w:t>
      </w:r>
      <w:r w:rsidR="00224CD0">
        <w:t xml:space="preserve"> 1</w:t>
      </w:r>
    </w:p>
    <w:p w14:paraId="61E5A9CE" w14:textId="77777777" w:rsidR="00A9035B" w:rsidRPr="00F64063" w:rsidRDefault="00A9035B" w:rsidP="00A9035B">
      <w:r w:rsidRPr="00F64063">
        <w:t>There are many consequences of high turnover. Turnover is costly to the organization because recruiting, hiring, and training each new staff member comes at the expense of the juvenile justice organization. Minor et al. (2011)</w:t>
      </w:r>
      <w:r w:rsidR="00383EE4">
        <w:rPr>
          <w:rStyle w:val="FootnoteReference"/>
        </w:rPr>
        <w:footnoteReference w:id="98"/>
      </w:r>
      <w:r w:rsidRPr="00F64063">
        <w:t xml:space="preserve"> estimated costs of $31,000 to replace one employee. There are also additional costs resulting from turnover. Facilities must pay overtime to staff who cover vacant shifts. There also are costs to the youth and staff that remain in the facilities. Juvenile facilities rely on frontline staff to achieve positive outcomes for youth served. Turnover can create an unstable organization less able to realize these positive outcomes.</w:t>
      </w:r>
      <w:r w:rsidR="00383EE4">
        <w:rPr>
          <w:rStyle w:val="FootnoteReference"/>
        </w:rPr>
        <w:footnoteReference w:id="99"/>
      </w:r>
      <w:r w:rsidRPr="00F64063">
        <w:t xml:space="preserve"> Turnover also results in a reduced quality of service and often contributes to employee burnout and low staff morale of the remaining employees</w:t>
      </w:r>
      <w:r w:rsidR="00BC3B58">
        <w:t>.</w:t>
      </w:r>
      <w:r w:rsidR="00BC3B58">
        <w:rPr>
          <w:rStyle w:val="FootnoteReference"/>
        </w:rPr>
        <w:footnoteReference w:id="100"/>
      </w:r>
      <w:r w:rsidR="00BC3B58">
        <w:t xml:space="preserve"> </w:t>
      </w:r>
      <w:r w:rsidRPr="00F64063">
        <w:t xml:space="preserve"> </w:t>
      </w:r>
    </w:p>
    <w:p w14:paraId="42B02132" w14:textId="77777777" w:rsidR="00A9035B" w:rsidRDefault="00A9035B" w:rsidP="00A9035B">
      <w:r w:rsidRPr="00B134C8">
        <w:t xml:space="preserve">High turnover may also trigger </w:t>
      </w:r>
      <w:r w:rsidR="00BC3B58">
        <w:t xml:space="preserve">turnover of </w:t>
      </w:r>
      <w:r w:rsidR="007401FD">
        <w:t xml:space="preserve">remaining </w:t>
      </w:r>
      <w:r w:rsidR="00BC3B58">
        <w:t>employees.</w:t>
      </w:r>
      <w:r w:rsidR="00AC3A76">
        <w:t xml:space="preserve"> </w:t>
      </w:r>
      <w:r w:rsidRPr="00B134C8">
        <w:t>The impact of turnover is intensified because these facilities rely on trained and experience</w:t>
      </w:r>
      <w:r w:rsidR="007401FD">
        <w:t>d</w:t>
      </w:r>
      <w:r w:rsidRPr="00B134C8">
        <w:t xml:space="preserve"> staff </w:t>
      </w:r>
      <w:r w:rsidR="007401FD">
        <w:t xml:space="preserve">with </w:t>
      </w:r>
      <w:r w:rsidRPr="00B134C8">
        <w:t>working knowledge and ongoing relationships with youth. Such knowledge and relations help juvenile justice facilities maintain a safe environment and meet their goals and objecti</w:t>
      </w:r>
      <w:r w:rsidR="00BC3B58">
        <w:t>ves for serving youth.</w:t>
      </w:r>
      <w:r w:rsidR="00BC3B58">
        <w:rPr>
          <w:rStyle w:val="FootnoteReference"/>
        </w:rPr>
        <w:footnoteReference w:id="101"/>
      </w:r>
    </w:p>
    <w:p w14:paraId="79F66170" w14:textId="77777777" w:rsidR="00A9035B" w:rsidRDefault="00A9035B" w:rsidP="00A9035B">
      <w:r>
        <w:t xml:space="preserve">There are two types of turnover — voluntary and involuntary. </w:t>
      </w:r>
      <w:r>
        <w:rPr>
          <w:i/>
        </w:rPr>
        <w:t>Voluntary turnover</w:t>
      </w:r>
      <w:r>
        <w:t xml:space="preserve"> involves an employee willfully resigning from their position</w:t>
      </w:r>
      <w:r w:rsidR="001F131B">
        <w:t xml:space="preserve"> to another position within or outside the agency.</w:t>
      </w:r>
      <w:r>
        <w:t xml:space="preserve"> </w:t>
      </w:r>
      <w:r>
        <w:rPr>
          <w:i/>
        </w:rPr>
        <w:t>Involuntary turnover</w:t>
      </w:r>
      <w:r>
        <w:t xml:space="preserve"> refers to layoffs, mandatory retirements, or discharges. Turnover has been researched in terms of actual</w:t>
      </w:r>
      <w:r w:rsidR="00224CD0">
        <w:t xml:space="preserve"> </w:t>
      </w:r>
      <w:r>
        <w:t xml:space="preserve">turnover and turnover intent. </w:t>
      </w:r>
      <w:r>
        <w:rPr>
          <w:i/>
        </w:rPr>
        <w:t>Actual turnover</w:t>
      </w:r>
      <w:r>
        <w:t xml:space="preserve"> is acting on a decision to quit a job. </w:t>
      </w:r>
      <w:r>
        <w:rPr>
          <w:i/>
        </w:rPr>
        <w:t>Turnover intent</w:t>
      </w:r>
      <w:r>
        <w:t xml:space="preserve"> is the process of thinking about quitting or planning to leave a job, or the desire to leave a job</w:t>
      </w:r>
      <w:r w:rsidR="00BC3B58">
        <w:t>.</w:t>
      </w:r>
      <w:r w:rsidR="00BC3B58">
        <w:rPr>
          <w:rStyle w:val="FootnoteReference"/>
        </w:rPr>
        <w:footnoteReference w:id="102"/>
      </w:r>
      <w:r>
        <w:t xml:space="preserve"> </w:t>
      </w:r>
    </w:p>
    <w:p w14:paraId="7C050390" w14:textId="77777777" w:rsidR="00A9035B" w:rsidRDefault="00A9035B" w:rsidP="00A9035B">
      <w:r>
        <w:lastRenderedPageBreak/>
        <w:t xml:space="preserve">In this section, actual turnover data and information gathered through the </w:t>
      </w:r>
      <w:r w:rsidR="00E251C1">
        <w:t>s</w:t>
      </w:r>
      <w:r>
        <w:t xml:space="preserve">taff </w:t>
      </w:r>
      <w:r w:rsidR="00E251C1">
        <w:t>s</w:t>
      </w:r>
      <w:r>
        <w:t xml:space="preserve">urvey on turnover intent is discussed. </w:t>
      </w:r>
    </w:p>
    <w:p w14:paraId="6766B182" w14:textId="77777777" w:rsidR="00A9035B" w:rsidRPr="003F6A2B" w:rsidRDefault="00A9035B" w:rsidP="00407046">
      <w:pPr>
        <w:pStyle w:val="Heading3"/>
        <w:numPr>
          <w:ilvl w:val="2"/>
          <w:numId w:val="37"/>
        </w:numPr>
        <w:ind w:left="720"/>
      </w:pPr>
      <w:bookmarkStart w:id="77" w:name="_Toc531597515"/>
      <w:r w:rsidRPr="003F6A2B">
        <w:t>Actual Turnover</w:t>
      </w:r>
      <w:bookmarkEnd w:id="77"/>
      <w:r w:rsidR="00977979" w:rsidRPr="003F6A2B">
        <w:t xml:space="preserve"> </w:t>
      </w:r>
    </w:p>
    <w:p w14:paraId="69B4AE5A" w14:textId="77777777" w:rsidR="00A9035B" w:rsidRPr="005E2DE4" w:rsidRDefault="002E29D1" w:rsidP="009B02FA">
      <w:r w:rsidRPr="00E251C1">
        <w:t xml:space="preserve">Using administrative data from the </w:t>
      </w:r>
      <w:r w:rsidR="00926309">
        <w:t xml:space="preserve">DSHS Human Resources Management System (HRMS), </w:t>
      </w:r>
      <w:r w:rsidR="00274765" w:rsidRPr="00E251C1">
        <w:t xml:space="preserve">we calculated the turnover rates of </w:t>
      </w:r>
      <w:r w:rsidR="00926309">
        <w:t>JRRCs</w:t>
      </w:r>
      <w:r w:rsidR="00926309" w:rsidRPr="00E251C1">
        <w:t xml:space="preserve"> </w:t>
      </w:r>
      <w:r w:rsidR="00274765" w:rsidRPr="00E251C1">
        <w:t>and J</w:t>
      </w:r>
      <w:r w:rsidR="00926309">
        <w:t>RCA</w:t>
      </w:r>
      <w:r w:rsidR="00274765" w:rsidRPr="00E251C1">
        <w:t>s by facility.</w:t>
      </w:r>
      <w:r w:rsidR="003F6A2B" w:rsidRPr="00E251C1">
        <w:t xml:space="preserve"> In addition to turnover rates for</w:t>
      </w:r>
      <w:r w:rsidR="00324E35" w:rsidRPr="00E251C1">
        <w:t xml:space="preserve"> each facility, we were also able</w:t>
      </w:r>
      <w:r w:rsidR="003F6A2B" w:rsidRPr="00E251C1">
        <w:t xml:space="preserve"> to identify the reasons staff members left employment. </w:t>
      </w:r>
      <w:r w:rsidR="00324E35" w:rsidRPr="00E251C1">
        <w:t xml:space="preserve">As seen in </w:t>
      </w:r>
      <w:r w:rsidR="00D4764C" w:rsidRPr="00E251C1">
        <w:t xml:space="preserve">Exhibit </w:t>
      </w:r>
      <w:r w:rsidR="005E430A">
        <w:t>5</w:t>
      </w:r>
      <w:r w:rsidR="00D4764C" w:rsidRPr="00E251C1">
        <w:t>-</w:t>
      </w:r>
      <w:r w:rsidR="00A05906">
        <w:t>27</w:t>
      </w:r>
      <w:r w:rsidR="00324E35" w:rsidRPr="00E251C1">
        <w:t>, turnover rates for JRCAs range from a high of 57.9</w:t>
      </w:r>
      <w:r w:rsidR="004962BA" w:rsidRPr="00E251C1">
        <w:t xml:space="preserve">% </w:t>
      </w:r>
      <w:r w:rsidR="00324E35" w:rsidRPr="00E251C1">
        <w:t>at Echo Glen to a low of 20.0</w:t>
      </w:r>
      <w:r w:rsidR="004962BA" w:rsidRPr="00E251C1">
        <w:t xml:space="preserve">% </w:t>
      </w:r>
      <w:r w:rsidR="00324E35" w:rsidRPr="00E251C1">
        <w:t xml:space="preserve">in the community facilities. Most of the JRCAs resigned from their positions. The turnover rates for </w:t>
      </w:r>
      <w:r w:rsidR="00761A33">
        <w:t>JRRCs</w:t>
      </w:r>
      <w:r w:rsidR="00761A33" w:rsidRPr="00E251C1">
        <w:t xml:space="preserve"> </w:t>
      </w:r>
      <w:r w:rsidR="00324E35" w:rsidRPr="00E251C1">
        <w:t>ranged from a high of 42</w:t>
      </w:r>
      <w:r w:rsidR="004962BA" w:rsidRPr="00E251C1">
        <w:t xml:space="preserve">% </w:t>
      </w:r>
      <w:r w:rsidR="00324E35" w:rsidRPr="00E251C1">
        <w:t xml:space="preserve">for JRRCs at Green Hill to a low of </w:t>
      </w:r>
      <w:r w:rsidR="00E251C1">
        <w:t>19</w:t>
      </w:r>
      <w:r w:rsidR="00324E35" w:rsidRPr="00E251C1">
        <w:t>.</w:t>
      </w:r>
      <w:r w:rsidR="00E251C1">
        <w:t>3</w:t>
      </w:r>
      <w:r w:rsidR="004962BA" w:rsidRPr="00E251C1">
        <w:t xml:space="preserve">% </w:t>
      </w:r>
      <w:r w:rsidR="00E251C1">
        <w:t>at Echo Glen</w:t>
      </w:r>
      <w:r w:rsidR="00324E35" w:rsidRPr="00E251C1">
        <w:t xml:space="preserve">. The primary reason </w:t>
      </w:r>
      <w:r w:rsidR="00E251C1">
        <w:t xml:space="preserve">JRRCs left </w:t>
      </w:r>
      <w:r w:rsidR="00324E35" w:rsidRPr="00E251C1">
        <w:t>was also resignation.</w:t>
      </w:r>
      <w:r w:rsidR="005E2DE4" w:rsidRPr="00E251C1">
        <w:t xml:space="preserve"> </w:t>
      </w:r>
      <w:r w:rsidRPr="00E251C1">
        <w:t>From other reports provided by RA, we were able to see that the turnover rate of JRSO</w:t>
      </w:r>
      <w:r w:rsidR="00E251C1">
        <w:t>s</w:t>
      </w:r>
      <w:r w:rsidRPr="00E251C1">
        <w:t xml:space="preserve"> was 48% between May 2017 and April 2018.</w:t>
      </w:r>
      <w:r w:rsidR="009B02FA" w:rsidRPr="005E2DE4">
        <w:t xml:space="preserve"> </w:t>
      </w:r>
    </w:p>
    <w:p w14:paraId="5391A2A3" w14:textId="77777777" w:rsidR="00274765" w:rsidRDefault="00AE63DD" w:rsidP="002E29D1">
      <w:pPr>
        <w:pStyle w:val="Caption"/>
      </w:pPr>
      <w:r>
        <w:t xml:space="preserve">Exhibit </w:t>
      </w:r>
      <w:r w:rsidR="00710F1C">
        <w:rPr>
          <w:noProof/>
        </w:rPr>
        <w:fldChar w:fldCharType="begin"/>
      </w:r>
      <w:r w:rsidR="00710F1C">
        <w:rPr>
          <w:noProof/>
        </w:rPr>
        <w:instrText xml:space="preserve"> STYLEREF 1 \s </w:instrText>
      </w:r>
      <w:r w:rsidR="00710F1C">
        <w:rPr>
          <w:noProof/>
        </w:rPr>
        <w:fldChar w:fldCharType="separate"/>
      </w:r>
      <w:r w:rsidR="00FD2536">
        <w:rPr>
          <w:noProof/>
        </w:rPr>
        <w:t>5</w:t>
      </w:r>
      <w:r w:rsidR="00710F1C">
        <w:rPr>
          <w:noProof/>
        </w:rPr>
        <w:fldChar w:fldCharType="end"/>
      </w:r>
      <w:r>
        <w:noBreakHyphen/>
      </w:r>
      <w:r w:rsidR="00A05906">
        <w:rPr>
          <w:noProof/>
        </w:rPr>
        <w:t>27</w:t>
      </w:r>
      <w:r w:rsidR="00E251C1">
        <w:t xml:space="preserve">. </w:t>
      </w:r>
      <w:r w:rsidR="002E29D1">
        <w:t>Actual Turnover for JRCAs and JRRCs, by Facility</w:t>
      </w:r>
    </w:p>
    <w:tbl>
      <w:tblPr>
        <w:tblStyle w:val="HyzerTable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82"/>
        <w:gridCol w:w="1446"/>
        <w:gridCol w:w="1618"/>
        <w:gridCol w:w="2202"/>
        <w:gridCol w:w="2202"/>
      </w:tblGrid>
      <w:tr w:rsidR="00710F1C" w:rsidRPr="00710F1C" w14:paraId="5A44DC3D" w14:textId="77777777" w:rsidTr="00B913F9">
        <w:trPr>
          <w:cnfStyle w:val="100000000000" w:firstRow="1" w:lastRow="0" w:firstColumn="0" w:lastColumn="0" w:oddVBand="0" w:evenVBand="0" w:oddHBand="0" w:evenHBand="0" w:firstRowFirstColumn="0" w:firstRowLastColumn="0" w:lastRowFirstColumn="0" w:lastRowLastColumn="0"/>
          <w:tblHeader/>
        </w:trPr>
        <w:tc>
          <w:tcPr>
            <w:tcW w:w="1884" w:type="dxa"/>
          </w:tcPr>
          <w:p w14:paraId="15192F4B" w14:textId="77777777" w:rsidR="00710F1C" w:rsidRPr="00E251C1" w:rsidRDefault="00710F1C" w:rsidP="00E251C1">
            <w:pPr>
              <w:keepNext/>
              <w:keepLines/>
              <w:spacing w:before="20" w:after="20"/>
              <w:jc w:val="center"/>
              <w:rPr>
                <w:rFonts w:ascii="Arial Narrow" w:hAnsi="Arial Narrow" w:cs="Arial"/>
                <w:b/>
                <w:color w:val="FFFFFF"/>
                <w:sz w:val="22"/>
                <w:szCs w:val="20"/>
              </w:rPr>
            </w:pPr>
            <w:r w:rsidRPr="1FF1B213">
              <w:rPr>
                <w:rFonts w:ascii="Arial Narrow" w:eastAsia="Arial Narrow" w:hAnsi="Arial Narrow" w:cs="Arial Narrow"/>
                <w:b/>
                <w:color w:val="FFFFFF" w:themeColor="background1"/>
                <w:sz w:val="22"/>
                <w:szCs w:val="22"/>
              </w:rPr>
              <w:t xml:space="preserve">Facility </w:t>
            </w:r>
          </w:p>
        </w:tc>
        <w:tc>
          <w:tcPr>
            <w:tcW w:w="1446" w:type="dxa"/>
          </w:tcPr>
          <w:p w14:paraId="02380F31" w14:textId="77777777" w:rsidR="00710F1C" w:rsidRPr="00E251C1" w:rsidRDefault="00710F1C" w:rsidP="00E251C1">
            <w:pPr>
              <w:keepNext/>
              <w:keepLines/>
              <w:spacing w:before="20" w:after="20"/>
              <w:jc w:val="center"/>
              <w:rPr>
                <w:rFonts w:ascii="Arial Narrow" w:hAnsi="Arial Narrow" w:cs="Arial"/>
                <w:b/>
                <w:color w:val="FFFFFF"/>
                <w:sz w:val="22"/>
                <w:szCs w:val="20"/>
              </w:rPr>
            </w:pPr>
            <w:r w:rsidRPr="1FF1B213">
              <w:rPr>
                <w:rFonts w:ascii="Arial Narrow" w:eastAsia="Arial Narrow" w:hAnsi="Arial Narrow" w:cs="Arial Narrow"/>
                <w:b/>
                <w:color w:val="FFFFFF" w:themeColor="background1"/>
                <w:sz w:val="22"/>
                <w:szCs w:val="22"/>
              </w:rPr>
              <w:t xml:space="preserve">Number of Separations </w:t>
            </w:r>
          </w:p>
        </w:tc>
        <w:tc>
          <w:tcPr>
            <w:tcW w:w="1620" w:type="dxa"/>
          </w:tcPr>
          <w:p w14:paraId="3BAB6E18" w14:textId="77777777" w:rsidR="00710F1C" w:rsidRPr="00E251C1" w:rsidRDefault="00710F1C" w:rsidP="00E251C1">
            <w:pPr>
              <w:keepNext/>
              <w:keepLines/>
              <w:spacing w:before="20" w:after="20"/>
              <w:jc w:val="center"/>
              <w:rPr>
                <w:rFonts w:ascii="Arial Narrow" w:hAnsi="Arial Narrow" w:cs="Arial"/>
                <w:b/>
                <w:color w:val="FFFFFF"/>
                <w:sz w:val="22"/>
                <w:szCs w:val="20"/>
              </w:rPr>
            </w:pPr>
            <w:r w:rsidRPr="1FF1B213">
              <w:rPr>
                <w:rFonts w:ascii="Arial Narrow" w:eastAsia="Arial Narrow" w:hAnsi="Arial Narrow" w:cs="Arial Narrow"/>
                <w:b/>
                <w:color w:val="FFFFFF" w:themeColor="background1"/>
                <w:sz w:val="22"/>
                <w:szCs w:val="22"/>
              </w:rPr>
              <w:t>Rate</w:t>
            </w:r>
          </w:p>
        </w:tc>
        <w:tc>
          <w:tcPr>
            <w:tcW w:w="4410" w:type="dxa"/>
            <w:gridSpan w:val="2"/>
          </w:tcPr>
          <w:p w14:paraId="3AAB5767" w14:textId="77777777" w:rsidR="00710F1C" w:rsidRPr="00E251C1" w:rsidRDefault="00710F1C" w:rsidP="00E251C1">
            <w:pPr>
              <w:keepNext/>
              <w:keepLines/>
              <w:spacing w:before="20" w:after="20"/>
              <w:jc w:val="center"/>
              <w:rPr>
                <w:rFonts w:ascii="Arial Narrow" w:hAnsi="Arial Narrow" w:cs="Arial"/>
                <w:b/>
                <w:color w:val="FFFFFF"/>
                <w:sz w:val="22"/>
                <w:szCs w:val="20"/>
              </w:rPr>
            </w:pPr>
            <w:r w:rsidRPr="1FF1B213">
              <w:rPr>
                <w:rFonts w:ascii="Arial Narrow" w:eastAsia="Arial Narrow" w:hAnsi="Arial Narrow" w:cs="Arial Narrow"/>
                <w:b/>
                <w:color w:val="FFFFFF" w:themeColor="background1"/>
                <w:sz w:val="22"/>
                <w:szCs w:val="22"/>
              </w:rPr>
              <w:t xml:space="preserve">Reasons for Leaving </w:t>
            </w:r>
          </w:p>
        </w:tc>
      </w:tr>
      <w:tr w:rsidR="00710F1C" w:rsidRPr="00710F1C" w14:paraId="2AE1C71E"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bottom w:val="single" w:sz="4" w:space="0" w:color="A6A6A6" w:themeColor="background1" w:themeShade="A6"/>
            </w:tcBorders>
            <w:shd w:val="clear" w:color="auto" w:fill="A6A6A6" w:themeFill="background1" w:themeFillShade="A6"/>
          </w:tcPr>
          <w:p w14:paraId="1EC1F77D" w14:textId="77777777" w:rsidR="00710F1C" w:rsidRPr="00710F1C" w:rsidRDefault="00710F1C" w:rsidP="00E251C1">
            <w:pPr>
              <w:keepNext/>
              <w:keepLines/>
              <w:spacing w:before="40" w:after="40"/>
              <w:rPr>
                <w:rFonts w:ascii="Arial Narrow" w:hAnsi="Arial Narrow"/>
                <w:b/>
                <w:sz w:val="20"/>
                <w:szCs w:val="20"/>
              </w:rPr>
            </w:pPr>
            <w:r w:rsidRPr="00710F1C">
              <w:rPr>
                <w:rFonts w:ascii="Arial Narrow" w:hAnsi="Arial Narrow"/>
                <w:b/>
                <w:sz w:val="20"/>
                <w:szCs w:val="20"/>
              </w:rPr>
              <w:t xml:space="preserve">Total JR Turnover </w:t>
            </w:r>
          </w:p>
        </w:tc>
        <w:tc>
          <w:tcPr>
            <w:tcW w:w="1446" w:type="dxa"/>
            <w:tcBorders>
              <w:bottom w:val="single" w:sz="4" w:space="0" w:color="A6A6A6" w:themeColor="background1" w:themeShade="A6"/>
            </w:tcBorders>
            <w:shd w:val="clear" w:color="auto" w:fill="A6A6A6" w:themeFill="background1" w:themeFillShade="A6"/>
          </w:tcPr>
          <w:p w14:paraId="12403C65" w14:textId="77777777" w:rsidR="00710F1C" w:rsidRPr="00710F1C" w:rsidRDefault="00710F1C" w:rsidP="00E251C1">
            <w:pPr>
              <w:keepNext/>
              <w:keepLines/>
              <w:spacing w:before="40" w:after="40"/>
              <w:jc w:val="center"/>
              <w:rPr>
                <w:rFonts w:ascii="Arial Narrow" w:hAnsi="Arial Narrow"/>
                <w:b/>
                <w:sz w:val="20"/>
                <w:szCs w:val="20"/>
              </w:rPr>
            </w:pPr>
          </w:p>
        </w:tc>
        <w:tc>
          <w:tcPr>
            <w:tcW w:w="1620" w:type="dxa"/>
            <w:tcBorders>
              <w:bottom w:val="single" w:sz="4" w:space="0" w:color="A6A6A6" w:themeColor="background1" w:themeShade="A6"/>
            </w:tcBorders>
            <w:shd w:val="clear" w:color="auto" w:fill="A6A6A6" w:themeFill="background1" w:themeFillShade="A6"/>
          </w:tcPr>
          <w:p w14:paraId="4559BB31" w14:textId="77777777" w:rsidR="00710F1C" w:rsidRPr="00710F1C" w:rsidRDefault="00710F1C" w:rsidP="00E251C1">
            <w:pPr>
              <w:keepNext/>
              <w:keepLines/>
              <w:spacing w:before="40" w:after="40"/>
              <w:rPr>
                <w:rFonts w:ascii="Arial Narrow" w:hAnsi="Arial Narrow"/>
                <w:b/>
                <w:sz w:val="20"/>
                <w:szCs w:val="20"/>
              </w:rPr>
            </w:pPr>
          </w:p>
        </w:tc>
        <w:tc>
          <w:tcPr>
            <w:tcW w:w="4410" w:type="dxa"/>
            <w:gridSpan w:val="2"/>
            <w:tcBorders>
              <w:bottom w:val="single" w:sz="4" w:space="0" w:color="A6A6A6" w:themeColor="background1" w:themeShade="A6"/>
            </w:tcBorders>
            <w:shd w:val="clear" w:color="auto" w:fill="A6A6A6" w:themeFill="background1" w:themeFillShade="A6"/>
          </w:tcPr>
          <w:p w14:paraId="1E6F321A" w14:textId="77777777" w:rsidR="00710F1C" w:rsidRPr="00710F1C" w:rsidRDefault="00710F1C" w:rsidP="00E251C1">
            <w:pPr>
              <w:keepNext/>
              <w:keepLines/>
              <w:spacing w:before="40" w:after="40"/>
              <w:rPr>
                <w:rFonts w:ascii="Arial Narrow" w:hAnsi="Arial Narrow"/>
                <w:b/>
                <w:sz w:val="20"/>
                <w:szCs w:val="20"/>
              </w:rPr>
            </w:pPr>
          </w:p>
        </w:tc>
      </w:tr>
      <w:tr w:rsidR="00710F1C" w:rsidRPr="00710F1C" w14:paraId="25F033E7" w14:textId="77777777" w:rsidTr="00583D55">
        <w:tc>
          <w:tcPr>
            <w:tcW w:w="1884" w:type="dxa"/>
            <w:tcBorders>
              <w:left w:val="nil"/>
            </w:tcBorders>
          </w:tcPr>
          <w:p w14:paraId="32A0A22A"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 xml:space="preserve">    JRCA</w:t>
            </w:r>
          </w:p>
        </w:tc>
        <w:tc>
          <w:tcPr>
            <w:tcW w:w="1446" w:type="dxa"/>
          </w:tcPr>
          <w:p w14:paraId="5779FE0C" w14:textId="77777777" w:rsidR="00710F1C" w:rsidRPr="00710F1C" w:rsidRDefault="00710F1C" w:rsidP="00E251C1">
            <w:pPr>
              <w:keepNext/>
              <w:keepLines/>
              <w:spacing w:before="40" w:after="40"/>
              <w:jc w:val="center"/>
              <w:rPr>
                <w:rFonts w:ascii="Arial Narrow" w:hAnsi="Arial Narrow"/>
                <w:sz w:val="20"/>
                <w:szCs w:val="20"/>
              </w:rPr>
            </w:pPr>
            <w:r w:rsidRPr="00710F1C">
              <w:rPr>
                <w:rFonts w:ascii="Arial Narrow" w:hAnsi="Arial Narrow"/>
                <w:sz w:val="20"/>
                <w:szCs w:val="20"/>
              </w:rPr>
              <w:t>31</w:t>
            </w:r>
          </w:p>
        </w:tc>
        <w:tc>
          <w:tcPr>
            <w:tcW w:w="1620" w:type="dxa"/>
          </w:tcPr>
          <w:p w14:paraId="7E13F590" w14:textId="77777777" w:rsidR="00710F1C" w:rsidRPr="00710F1C" w:rsidRDefault="00710F1C" w:rsidP="00E251C1">
            <w:pPr>
              <w:keepNext/>
              <w:keepLines/>
              <w:spacing w:before="40" w:after="40"/>
              <w:jc w:val="center"/>
              <w:rPr>
                <w:rFonts w:ascii="Arial Narrow" w:hAnsi="Arial Narrow"/>
                <w:sz w:val="20"/>
                <w:szCs w:val="20"/>
              </w:rPr>
            </w:pPr>
            <w:r w:rsidRPr="00710F1C">
              <w:rPr>
                <w:rFonts w:ascii="Arial Narrow" w:hAnsi="Arial Narrow"/>
                <w:sz w:val="20"/>
                <w:szCs w:val="20"/>
              </w:rPr>
              <w:t>33.8%</w:t>
            </w:r>
          </w:p>
        </w:tc>
        <w:tc>
          <w:tcPr>
            <w:tcW w:w="2205" w:type="dxa"/>
          </w:tcPr>
          <w:p w14:paraId="5EC08208"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Resignation (13)</w:t>
            </w:r>
          </w:p>
          <w:p w14:paraId="1A495C54"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Appointment Ended (7)</w:t>
            </w:r>
          </w:p>
          <w:p w14:paraId="0B67B9D1"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Promotion (1)</w:t>
            </w:r>
          </w:p>
        </w:tc>
        <w:tc>
          <w:tcPr>
            <w:tcW w:w="2205" w:type="dxa"/>
            <w:tcBorders>
              <w:right w:val="nil"/>
            </w:tcBorders>
          </w:tcPr>
          <w:p w14:paraId="25503C5A"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Voluntary Demotion (2)</w:t>
            </w:r>
          </w:p>
          <w:p w14:paraId="12280FBB"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Voluntary Disability (1)</w:t>
            </w:r>
          </w:p>
        </w:tc>
      </w:tr>
      <w:tr w:rsidR="00710F1C" w:rsidRPr="00710F1C" w14:paraId="76260A66"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bottom w:val="single" w:sz="4" w:space="0" w:color="A6A6A6" w:themeColor="background1" w:themeShade="A6"/>
            </w:tcBorders>
            <w:shd w:val="clear" w:color="auto" w:fill="FFFFFF" w:themeFill="background1"/>
          </w:tcPr>
          <w:p w14:paraId="0B03FCE3"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 xml:space="preserve">    JRRC</w:t>
            </w:r>
          </w:p>
        </w:tc>
        <w:tc>
          <w:tcPr>
            <w:tcW w:w="1446" w:type="dxa"/>
            <w:tcBorders>
              <w:bottom w:val="single" w:sz="4" w:space="0" w:color="A6A6A6" w:themeColor="background1" w:themeShade="A6"/>
            </w:tcBorders>
            <w:shd w:val="clear" w:color="auto" w:fill="FFFFFF" w:themeFill="background1"/>
          </w:tcPr>
          <w:p w14:paraId="33094D62" w14:textId="77777777" w:rsidR="00710F1C" w:rsidRPr="00710F1C" w:rsidRDefault="00710F1C" w:rsidP="00E251C1">
            <w:pPr>
              <w:keepNext/>
              <w:keepLines/>
              <w:spacing w:before="40" w:after="40"/>
              <w:jc w:val="center"/>
              <w:rPr>
                <w:rFonts w:ascii="Arial Narrow" w:hAnsi="Arial Narrow"/>
                <w:sz w:val="20"/>
                <w:szCs w:val="20"/>
              </w:rPr>
            </w:pPr>
            <w:r w:rsidRPr="00710F1C">
              <w:rPr>
                <w:rFonts w:ascii="Arial Narrow" w:hAnsi="Arial Narrow"/>
                <w:sz w:val="20"/>
                <w:szCs w:val="20"/>
              </w:rPr>
              <w:t>43</w:t>
            </w:r>
          </w:p>
        </w:tc>
        <w:tc>
          <w:tcPr>
            <w:tcW w:w="1620" w:type="dxa"/>
            <w:tcBorders>
              <w:bottom w:val="single" w:sz="4" w:space="0" w:color="A6A6A6" w:themeColor="background1" w:themeShade="A6"/>
            </w:tcBorders>
            <w:shd w:val="clear" w:color="auto" w:fill="FFFFFF" w:themeFill="background1"/>
          </w:tcPr>
          <w:p w14:paraId="06EA75EE" w14:textId="77777777" w:rsidR="00710F1C" w:rsidRPr="00710F1C" w:rsidRDefault="00710F1C" w:rsidP="00E251C1">
            <w:pPr>
              <w:keepNext/>
              <w:keepLines/>
              <w:spacing w:before="40" w:after="40"/>
              <w:jc w:val="center"/>
              <w:rPr>
                <w:rFonts w:ascii="Arial Narrow" w:hAnsi="Arial Narrow"/>
                <w:sz w:val="20"/>
                <w:szCs w:val="20"/>
              </w:rPr>
            </w:pPr>
            <w:r w:rsidRPr="00710F1C">
              <w:rPr>
                <w:rFonts w:ascii="Arial Narrow" w:hAnsi="Arial Narrow"/>
                <w:sz w:val="20"/>
                <w:szCs w:val="20"/>
              </w:rPr>
              <w:t>27.4%</w:t>
            </w:r>
          </w:p>
        </w:tc>
        <w:tc>
          <w:tcPr>
            <w:tcW w:w="2205" w:type="dxa"/>
            <w:tcBorders>
              <w:bottom w:val="single" w:sz="4" w:space="0" w:color="A6A6A6" w:themeColor="background1" w:themeShade="A6"/>
            </w:tcBorders>
            <w:shd w:val="clear" w:color="auto" w:fill="FFFFFF" w:themeFill="background1"/>
          </w:tcPr>
          <w:p w14:paraId="6BBAF051"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Resignation (18)</w:t>
            </w:r>
          </w:p>
          <w:p w14:paraId="7DA250DA"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Promotion (10)</w:t>
            </w:r>
          </w:p>
          <w:p w14:paraId="5704BE18"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Retirement (5)</w:t>
            </w:r>
          </w:p>
          <w:p w14:paraId="6BFD8525"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Voluntary Demotion (3)</w:t>
            </w:r>
          </w:p>
          <w:p w14:paraId="77E9C1E4" w14:textId="77777777" w:rsid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Voluntary Disability (2)</w:t>
            </w:r>
          </w:p>
          <w:p w14:paraId="5DC045EE" w14:textId="77777777" w:rsidR="000E297A" w:rsidRPr="00710F1C" w:rsidRDefault="000E297A" w:rsidP="00E251C1">
            <w:pPr>
              <w:keepNext/>
              <w:keepLines/>
              <w:spacing w:before="40" w:after="40"/>
              <w:rPr>
                <w:rFonts w:ascii="Arial Narrow" w:hAnsi="Arial Narrow"/>
                <w:sz w:val="20"/>
                <w:szCs w:val="20"/>
              </w:rPr>
            </w:pPr>
            <w:r w:rsidRPr="00710F1C">
              <w:rPr>
                <w:rFonts w:ascii="Arial Narrow" w:hAnsi="Arial Narrow"/>
                <w:sz w:val="20"/>
                <w:szCs w:val="20"/>
              </w:rPr>
              <w:t>Appointment Ended (1)</w:t>
            </w:r>
          </w:p>
        </w:tc>
        <w:tc>
          <w:tcPr>
            <w:tcW w:w="2205" w:type="dxa"/>
            <w:tcBorders>
              <w:bottom w:val="single" w:sz="4" w:space="0" w:color="A6A6A6" w:themeColor="background1" w:themeShade="A6"/>
              <w:right w:val="nil"/>
            </w:tcBorders>
            <w:shd w:val="clear" w:color="auto" w:fill="FFFFFF" w:themeFill="background1"/>
          </w:tcPr>
          <w:p w14:paraId="3447B046" w14:textId="77777777" w:rsidR="00710F1C" w:rsidRPr="00710F1C" w:rsidRDefault="000E297A" w:rsidP="00E251C1">
            <w:pPr>
              <w:keepNext/>
              <w:keepLines/>
              <w:spacing w:before="40" w:after="40"/>
              <w:rPr>
                <w:rFonts w:ascii="Arial Narrow" w:hAnsi="Arial Narrow"/>
                <w:sz w:val="20"/>
                <w:szCs w:val="20"/>
              </w:rPr>
            </w:pPr>
            <w:r>
              <w:rPr>
                <w:rFonts w:ascii="Arial Narrow" w:hAnsi="Arial Narrow"/>
                <w:sz w:val="20"/>
                <w:szCs w:val="20"/>
              </w:rPr>
              <w:t xml:space="preserve">Washington Management Services </w:t>
            </w:r>
            <w:r w:rsidR="00710F1C" w:rsidRPr="00710F1C">
              <w:rPr>
                <w:rFonts w:ascii="Arial Narrow" w:hAnsi="Arial Narrow"/>
                <w:sz w:val="20"/>
                <w:szCs w:val="20"/>
              </w:rPr>
              <w:t xml:space="preserve"> (1)</w:t>
            </w:r>
          </w:p>
          <w:p w14:paraId="3D424E16"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Transfer (1)</w:t>
            </w:r>
          </w:p>
          <w:p w14:paraId="33BA87F8"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 xml:space="preserve">Project </w:t>
            </w:r>
            <w:r w:rsidR="00B71702">
              <w:rPr>
                <w:rFonts w:ascii="Arial Narrow" w:hAnsi="Arial Narrow"/>
                <w:sz w:val="20"/>
                <w:szCs w:val="20"/>
              </w:rPr>
              <w:t>ended</w:t>
            </w:r>
            <w:r w:rsidRPr="00710F1C">
              <w:rPr>
                <w:rFonts w:ascii="Arial Narrow" w:hAnsi="Arial Narrow"/>
                <w:sz w:val="20"/>
                <w:szCs w:val="20"/>
              </w:rPr>
              <w:t xml:space="preserve">(1) </w:t>
            </w:r>
          </w:p>
          <w:p w14:paraId="15FF171A" w14:textId="77777777" w:rsidR="00710F1C" w:rsidRPr="00710F1C" w:rsidRDefault="00710F1C" w:rsidP="00E251C1">
            <w:pPr>
              <w:keepNext/>
              <w:keepLines/>
              <w:spacing w:before="40" w:after="40"/>
              <w:rPr>
                <w:rFonts w:ascii="Arial Narrow" w:hAnsi="Arial Narrow"/>
                <w:sz w:val="20"/>
                <w:szCs w:val="20"/>
              </w:rPr>
            </w:pPr>
            <w:r w:rsidRPr="00710F1C">
              <w:rPr>
                <w:rFonts w:ascii="Arial Narrow" w:hAnsi="Arial Narrow"/>
                <w:sz w:val="20"/>
                <w:szCs w:val="20"/>
              </w:rPr>
              <w:t>Death (1)</w:t>
            </w:r>
          </w:p>
        </w:tc>
      </w:tr>
      <w:tr w:rsidR="00710F1C" w:rsidRPr="00710F1C" w14:paraId="327CDE92" w14:textId="77777777" w:rsidTr="00583D55">
        <w:tc>
          <w:tcPr>
            <w:tcW w:w="1884" w:type="dxa"/>
            <w:tcBorders>
              <w:left w:val="nil"/>
            </w:tcBorders>
            <w:shd w:val="clear" w:color="auto" w:fill="A6A6A6" w:themeFill="background1" w:themeFillShade="A6"/>
          </w:tcPr>
          <w:p w14:paraId="2C69CF9C" w14:textId="77777777" w:rsidR="00710F1C" w:rsidRPr="00710F1C" w:rsidRDefault="00710F1C" w:rsidP="00E251C1">
            <w:pPr>
              <w:keepNext/>
              <w:keepLines/>
              <w:spacing w:before="40" w:after="40"/>
              <w:rPr>
                <w:rFonts w:ascii="Arial Narrow" w:hAnsi="Arial Narrow"/>
                <w:b/>
                <w:sz w:val="20"/>
                <w:szCs w:val="20"/>
              </w:rPr>
            </w:pPr>
            <w:r w:rsidRPr="00710F1C">
              <w:rPr>
                <w:rFonts w:ascii="Arial Narrow" w:hAnsi="Arial Narrow"/>
                <w:b/>
                <w:sz w:val="20"/>
                <w:szCs w:val="20"/>
              </w:rPr>
              <w:t xml:space="preserve">Echo Glen </w:t>
            </w:r>
          </w:p>
        </w:tc>
        <w:tc>
          <w:tcPr>
            <w:tcW w:w="1446" w:type="dxa"/>
            <w:shd w:val="clear" w:color="auto" w:fill="A6A6A6" w:themeFill="background1" w:themeFillShade="A6"/>
          </w:tcPr>
          <w:p w14:paraId="724E6484" w14:textId="77777777" w:rsidR="00710F1C" w:rsidRPr="00710F1C" w:rsidRDefault="00710F1C" w:rsidP="00E251C1">
            <w:pPr>
              <w:keepNext/>
              <w:keepLines/>
              <w:spacing w:before="40" w:after="40"/>
              <w:rPr>
                <w:rFonts w:ascii="Arial Narrow" w:hAnsi="Arial Narrow"/>
                <w:sz w:val="20"/>
                <w:szCs w:val="20"/>
              </w:rPr>
            </w:pPr>
          </w:p>
        </w:tc>
        <w:tc>
          <w:tcPr>
            <w:tcW w:w="1620" w:type="dxa"/>
            <w:shd w:val="clear" w:color="auto" w:fill="A6A6A6" w:themeFill="background1" w:themeFillShade="A6"/>
          </w:tcPr>
          <w:p w14:paraId="44731BC8" w14:textId="77777777" w:rsidR="00710F1C" w:rsidRPr="00710F1C" w:rsidRDefault="00710F1C" w:rsidP="00E251C1">
            <w:pPr>
              <w:keepNext/>
              <w:keepLines/>
              <w:spacing w:before="40" w:after="40"/>
              <w:rPr>
                <w:rFonts w:ascii="Arial Narrow" w:hAnsi="Arial Narrow"/>
                <w:sz w:val="20"/>
                <w:szCs w:val="20"/>
              </w:rPr>
            </w:pPr>
          </w:p>
        </w:tc>
        <w:tc>
          <w:tcPr>
            <w:tcW w:w="4410" w:type="dxa"/>
            <w:gridSpan w:val="2"/>
            <w:tcBorders>
              <w:right w:val="nil"/>
            </w:tcBorders>
            <w:shd w:val="clear" w:color="auto" w:fill="A6A6A6" w:themeFill="background1" w:themeFillShade="A6"/>
          </w:tcPr>
          <w:p w14:paraId="0EFD9D01" w14:textId="77777777" w:rsidR="00710F1C" w:rsidRPr="00710F1C" w:rsidRDefault="00710F1C" w:rsidP="00E251C1">
            <w:pPr>
              <w:keepNext/>
              <w:keepLines/>
              <w:spacing w:before="40" w:after="40"/>
              <w:rPr>
                <w:rFonts w:ascii="Arial Narrow" w:hAnsi="Arial Narrow"/>
                <w:sz w:val="20"/>
                <w:szCs w:val="20"/>
              </w:rPr>
            </w:pPr>
          </w:p>
        </w:tc>
      </w:tr>
      <w:tr w:rsidR="00710F1C" w:rsidRPr="00710F1C" w14:paraId="2C31A16D"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tcBorders>
            <w:shd w:val="clear" w:color="auto" w:fill="FFFFFF" w:themeFill="background1"/>
          </w:tcPr>
          <w:p w14:paraId="7B734B25" w14:textId="77777777" w:rsidR="00710F1C" w:rsidRPr="00710F1C" w:rsidRDefault="00710F1C" w:rsidP="00E251C1">
            <w:pPr>
              <w:keepNext/>
              <w:keepLines/>
              <w:spacing w:before="40" w:after="40"/>
              <w:ind w:left="180"/>
              <w:rPr>
                <w:rFonts w:ascii="Arial Narrow" w:hAnsi="Arial Narrow"/>
                <w:sz w:val="20"/>
                <w:szCs w:val="20"/>
              </w:rPr>
            </w:pPr>
            <w:r w:rsidRPr="00710F1C">
              <w:rPr>
                <w:rFonts w:ascii="Arial Narrow" w:hAnsi="Arial Narrow"/>
                <w:sz w:val="20"/>
                <w:szCs w:val="20"/>
              </w:rPr>
              <w:t>JRCA</w:t>
            </w:r>
          </w:p>
        </w:tc>
        <w:tc>
          <w:tcPr>
            <w:tcW w:w="1446" w:type="dxa"/>
            <w:shd w:val="clear" w:color="auto" w:fill="FFFFFF" w:themeFill="background1"/>
          </w:tcPr>
          <w:p w14:paraId="1116CEEB" w14:textId="77777777" w:rsidR="00710F1C" w:rsidRPr="00710F1C" w:rsidRDefault="00710F1C" w:rsidP="00E251C1">
            <w:pPr>
              <w:keepNext/>
              <w:keepLines/>
              <w:spacing w:before="40" w:after="40"/>
              <w:jc w:val="center"/>
              <w:rPr>
                <w:rFonts w:ascii="Arial Narrow" w:hAnsi="Arial Narrow"/>
                <w:sz w:val="20"/>
                <w:szCs w:val="20"/>
              </w:rPr>
            </w:pPr>
            <w:r w:rsidRPr="00710F1C">
              <w:rPr>
                <w:rFonts w:ascii="Arial Narrow" w:hAnsi="Arial Narrow"/>
                <w:sz w:val="20"/>
                <w:szCs w:val="20"/>
              </w:rPr>
              <w:t>11</w:t>
            </w:r>
          </w:p>
        </w:tc>
        <w:tc>
          <w:tcPr>
            <w:tcW w:w="1620" w:type="dxa"/>
            <w:shd w:val="clear" w:color="auto" w:fill="FFFFFF" w:themeFill="background1"/>
          </w:tcPr>
          <w:p w14:paraId="330CC63E" w14:textId="77777777" w:rsidR="00710F1C" w:rsidRPr="00710F1C" w:rsidRDefault="00710F1C" w:rsidP="00E251C1">
            <w:pPr>
              <w:keepNext/>
              <w:keepLines/>
              <w:spacing w:before="40" w:after="40"/>
              <w:jc w:val="center"/>
              <w:rPr>
                <w:rFonts w:ascii="Arial Narrow" w:hAnsi="Arial Narrow"/>
                <w:sz w:val="20"/>
                <w:szCs w:val="20"/>
              </w:rPr>
            </w:pPr>
            <w:r w:rsidRPr="00710F1C">
              <w:rPr>
                <w:rFonts w:ascii="Arial Narrow" w:hAnsi="Arial Narrow"/>
                <w:sz w:val="20"/>
                <w:szCs w:val="20"/>
              </w:rPr>
              <w:t>57.9%</w:t>
            </w:r>
          </w:p>
        </w:tc>
        <w:tc>
          <w:tcPr>
            <w:tcW w:w="2205" w:type="dxa"/>
            <w:shd w:val="clear" w:color="auto" w:fill="FFFFFF" w:themeFill="background1"/>
          </w:tcPr>
          <w:p w14:paraId="0C1E0D32" w14:textId="77777777" w:rsidR="00710F1C" w:rsidRPr="00710F1C" w:rsidRDefault="00710F1C" w:rsidP="00E251C1">
            <w:pPr>
              <w:keepNext/>
              <w:keepLines/>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Resignation (6) </w:t>
            </w:r>
          </w:p>
          <w:p w14:paraId="77ECF461" w14:textId="77777777" w:rsidR="00710F1C" w:rsidRPr="00710F1C" w:rsidRDefault="00710F1C" w:rsidP="00E251C1">
            <w:pPr>
              <w:keepNext/>
              <w:keepLines/>
              <w:spacing w:before="40" w:after="40"/>
              <w:ind w:left="130" w:hanging="130"/>
              <w:contextualSpacing/>
              <w:rPr>
                <w:rFonts w:ascii="Arial Narrow" w:hAnsi="Arial Narrow"/>
                <w:sz w:val="20"/>
                <w:szCs w:val="20"/>
              </w:rPr>
            </w:pPr>
            <w:r w:rsidRPr="00710F1C">
              <w:rPr>
                <w:rFonts w:ascii="Arial Narrow" w:hAnsi="Arial Narrow"/>
                <w:sz w:val="20"/>
                <w:szCs w:val="20"/>
              </w:rPr>
              <w:t>Appointment Ended (4)</w:t>
            </w:r>
          </w:p>
        </w:tc>
        <w:tc>
          <w:tcPr>
            <w:tcW w:w="2205" w:type="dxa"/>
            <w:tcBorders>
              <w:right w:val="nil"/>
            </w:tcBorders>
            <w:shd w:val="clear" w:color="auto" w:fill="FFFFFF" w:themeFill="background1"/>
          </w:tcPr>
          <w:p w14:paraId="58681670" w14:textId="77777777" w:rsidR="00710F1C" w:rsidRPr="00710F1C" w:rsidRDefault="00710F1C" w:rsidP="00E251C1">
            <w:pPr>
              <w:keepNext/>
              <w:keepLines/>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Promotion (1)</w:t>
            </w:r>
          </w:p>
        </w:tc>
      </w:tr>
      <w:tr w:rsidR="00710F1C" w:rsidRPr="00710F1C" w14:paraId="4189462F" w14:textId="77777777" w:rsidTr="00583D55">
        <w:tc>
          <w:tcPr>
            <w:tcW w:w="1884" w:type="dxa"/>
            <w:tcBorders>
              <w:left w:val="nil"/>
            </w:tcBorders>
          </w:tcPr>
          <w:p w14:paraId="070AAB2B"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JRRC</w:t>
            </w:r>
          </w:p>
        </w:tc>
        <w:tc>
          <w:tcPr>
            <w:tcW w:w="1446" w:type="dxa"/>
          </w:tcPr>
          <w:p w14:paraId="3F55388F"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11</w:t>
            </w:r>
          </w:p>
        </w:tc>
        <w:tc>
          <w:tcPr>
            <w:tcW w:w="1620" w:type="dxa"/>
          </w:tcPr>
          <w:p w14:paraId="436798AC"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19.3%</w:t>
            </w:r>
          </w:p>
        </w:tc>
        <w:tc>
          <w:tcPr>
            <w:tcW w:w="2205" w:type="dxa"/>
          </w:tcPr>
          <w:p w14:paraId="7858C656"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Resignation (6) </w:t>
            </w:r>
          </w:p>
          <w:p w14:paraId="00BDD8DE"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Promotion (3) </w:t>
            </w:r>
          </w:p>
        </w:tc>
        <w:tc>
          <w:tcPr>
            <w:tcW w:w="2205" w:type="dxa"/>
            <w:tcBorders>
              <w:right w:val="nil"/>
            </w:tcBorders>
          </w:tcPr>
          <w:p w14:paraId="0E356770" w14:textId="77777777" w:rsidR="00710F1C" w:rsidRPr="00710F1C" w:rsidRDefault="00710F1C" w:rsidP="00710F1C">
            <w:pPr>
              <w:keepNext/>
              <w:pBdr>
                <w:top w:val="single" w:sz="2" w:space="1" w:color="808080"/>
              </w:pBdr>
              <w:spacing w:before="40" w:after="40"/>
              <w:ind w:left="130" w:hanging="130"/>
              <w:contextualSpacing/>
              <w:rPr>
                <w:rFonts w:ascii="Arial Narrow" w:hAnsi="Arial Narrow"/>
                <w:sz w:val="20"/>
                <w:szCs w:val="20"/>
              </w:rPr>
            </w:pPr>
            <w:r w:rsidRPr="00710F1C">
              <w:rPr>
                <w:rFonts w:ascii="Arial Narrow" w:hAnsi="Arial Narrow"/>
                <w:sz w:val="20"/>
                <w:szCs w:val="20"/>
              </w:rPr>
              <w:t>Appointment Ended (1)</w:t>
            </w:r>
          </w:p>
          <w:p w14:paraId="31CDDC4D"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WMS (1)</w:t>
            </w:r>
          </w:p>
        </w:tc>
      </w:tr>
      <w:tr w:rsidR="00710F1C" w:rsidRPr="00710F1C" w14:paraId="567FBADC"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tcBorders>
            <w:shd w:val="clear" w:color="auto" w:fill="A6A6A6" w:themeFill="background1" w:themeFillShade="A6"/>
          </w:tcPr>
          <w:p w14:paraId="4A5650DA" w14:textId="77777777" w:rsidR="00710F1C" w:rsidRPr="00710F1C" w:rsidRDefault="00710F1C" w:rsidP="00710F1C">
            <w:pPr>
              <w:spacing w:before="40" w:after="40"/>
              <w:rPr>
                <w:rFonts w:ascii="Arial Narrow" w:hAnsi="Arial Narrow"/>
                <w:b/>
                <w:sz w:val="20"/>
                <w:szCs w:val="20"/>
              </w:rPr>
            </w:pPr>
            <w:r w:rsidRPr="00710F1C">
              <w:rPr>
                <w:rFonts w:ascii="Arial Narrow" w:hAnsi="Arial Narrow"/>
                <w:b/>
                <w:sz w:val="20"/>
                <w:szCs w:val="20"/>
              </w:rPr>
              <w:t xml:space="preserve">Green Hill </w:t>
            </w:r>
          </w:p>
        </w:tc>
        <w:tc>
          <w:tcPr>
            <w:tcW w:w="1446" w:type="dxa"/>
            <w:shd w:val="clear" w:color="auto" w:fill="A6A6A6" w:themeFill="background1" w:themeFillShade="A6"/>
          </w:tcPr>
          <w:p w14:paraId="6C68A032" w14:textId="77777777" w:rsidR="00710F1C" w:rsidRPr="00710F1C" w:rsidRDefault="00710F1C" w:rsidP="00710F1C">
            <w:pPr>
              <w:spacing w:before="40" w:after="40"/>
              <w:jc w:val="center"/>
              <w:rPr>
                <w:rFonts w:ascii="Arial Narrow" w:hAnsi="Arial Narrow"/>
                <w:sz w:val="20"/>
                <w:szCs w:val="20"/>
              </w:rPr>
            </w:pPr>
          </w:p>
        </w:tc>
        <w:tc>
          <w:tcPr>
            <w:tcW w:w="1620" w:type="dxa"/>
            <w:shd w:val="clear" w:color="auto" w:fill="A6A6A6" w:themeFill="background1" w:themeFillShade="A6"/>
          </w:tcPr>
          <w:p w14:paraId="04D698AD" w14:textId="77777777" w:rsidR="00710F1C" w:rsidRPr="00710F1C" w:rsidRDefault="00710F1C" w:rsidP="00710F1C">
            <w:pPr>
              <w:spacing w:before="40" w:after="40"/>
              <w:jc w:val="center"/>
              <w:rPr>
                <w:rFonts w:ascii="Arial Narrow" w:hAnsi="Arial Narrow"/>
                <w:sz w:val="20"/>
                <w:szCs w:val="20"/>
              </w:rPr>
            </w:pPr>
          </w:p>
        </w:tc>
        <w:tc>
          <w:tcPr>
            <w:tcW w:w="4410" w:type="dxa"/>
            <w:gridSpan w:val="2"/>
            <w:tcBorders>
              <w:right w:val="nil"/>
            </w:tcBorders>
            <w:shd w:val="clear" w:color="auto" w:fill="A6A6A6" w:themeFill="background1" w:themeFillShade="A6"/>
          </w:tcPr>
          <w:p w14:paraId="37ABD7BA" w14:textId="77777777" w:rsidR="00710F1C" w:rsidRPr="00710F1C" w:rsidRDefault="00710F1C" w:rsidP="00710F1C">
            <w:pPr>
              <w:spacing w:before="40" w:after="40"/>
              <w:rPr>
                <w:rFonts w:ascii="Arial Narrow" w:hAnsi="Arial Narrow"/>
                <w:sz w:val="20"/>
                <w:szCs w:val="20"/>
              </w:rPr>
            </w:pPr>
          </w:p>
        </w:tc>
      </w:tr>
      <w:tr w:rsidR="00710F1C" w:rsidRPr="00710F1C" w14:paraId="4B275DE4" w14:textId="77777777" w:rsidTr="00583D55">
        <w:tc>
          <w:tcPr>
            <w:tcW w:w="1884" w:type="dxa"/>
            <w:tcBorders>
              <w:left w:val="nil"/>
            </w:tcBorders>
          </w:tcPr>
          <w:p w14:paraId="7D305DEA"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JRCA</w:t>
            </w:r>
          </w:p>
        </w:tc>
        <w:tc>
          <w:tcPr>
            <w:tcW w:w="1446" w:type="dxa"/>
          </w:tcPr>
          <w:p w14:paraId="438FCB99"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8</w:t>
            </w:r>
          </w:p>
        </w:tc>
        <w:tc>
          <w:tcPr>
            <w:tcW w:w="1620" w:type="dxa"/>
          </w:tcPr>
          <w:p w14:paraId="7E829481"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28.6%</w:t>
            </w:r>
          </w:p>
        </w:tc>
        <w:tc>
          <w:tcPr>
            <w:tcW w:w="2205" w:type="dxa"/>
          </w:tcPr>
          <w:p w14:paraId="72881697"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Resignation (6) </w:t>
            </w:r>
          </w:p>
          <w:p w14:paraId="69D79743"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Voluntary Demotion (1) </w:t>
            </w:r>
          </w:p>
        </w:tc>
        <w:tc>
          <w:tcPr>
            <w:tcW w:w="2205" w:type="dxa"/>
            <w:tcBorders>
              <w:right w:val="nil"/>
            </w:tcBorders>
          </w:tcPr>
          <w:p w14:paraId="0ED2E1A6"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Appointment Ended (1)</w:t>
            </w:r>
          </w:p>
        </w:tc>
      </w:tr>
      <w:tr w:rsidR="00710F1C" w:rsidRPr="00710F1C" w14:paraId="7A52B311"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tcBorders>
            <w:shd w:val="clear" w:color="auto" w:fill="FFFFFF" w:themeFill="background1"/>
          </w:tcPr>
          <w:p w14:paraId="4049E3B2"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JRRC</w:t>
            </w:r>
          </w:p>
        </w:tc>
        <w:tc>
          <w:tcPr>
            <w:tcW w:w="1446" w:type="dxa"/>
            <w:shd w:val="clear" w:color="auto" w:fill="FFFFFF" w:themeFill="background1"/>
          </w:tcPr>
          <w:p w14:paraId="6DB104C5"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21</w:t>
            </w:r>
          </w:p>
        </w:tc>
        <w:tc>
          <w:tcPr>
            <w:tcW w:w="1620" w:type="dxa"/>
            <w:shd w:val="clear" w:color="auto" w:fill="FFFFFF" w:themeFill="background1"/>
          </w:tcPr>
          <w:p w14:paraId="3B10E2FE"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42.0%</w:t>
            </w:r>
          </w:p>
        </w:tc>
        <w:tc>
          <w:tcPr>
            <w:tcW w:w="2205" w:type="dxa"/>
            <w:shd w:val="clear" w:color="auto" w:fill="FFFFFF" w:themeFill="background1"/>
          </w:tcPr>
          <w:p w14:paraId="11E0F3A2"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Resignation (9)</w:t>
            </w:r>
          </w:p>
          <w:p w14:paraId="7DEF3AA8"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Promotion (3)</w:t>
            </w:r>
          </w:p>
          <w:p w14:paraId="5DAA30B2"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Retirement (4) </w:t>
            </w:r>
          </w:p>
          <w:p w14:paraId="651B0BA2"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Voluntary Demotion (2)</w:t>
            </w:r>
          </w:p>
        </w:tc>
        <w:tc>
          <w:tcPr>
            <w:tcW w:w="2205" w:type="dxa"/>
            <w:tcBorders>
              <w:right w:val="nil"/>
            </w:tcBorders>
            <w:shd w:val="clear" w:color="auto" w:fill="FFFFFF" w:themeFill="background1"/>
          </w:tcPr>
          <w:p w14:paraId="599A2010"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Voluntary Disability (1)</w:t>
            </w:r>
          </w:p>
          <w:p w14:paraId="08CCFA54"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Death (1)</w:t>
            </w:r>
          </w:p>
          <w:p w14:paraId="3AAC2D4D"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Probationary (1)</w:t>
            </w:r>
          </w:p>
        </w:tc>
      </w:tr>
      <w:tr w:rsidR="00710F1C" w:rsidRPr="00710F1C" w14:paraId="400F87BB" w14:textId="77777777" w:rsidTr="00583D55">
        <w:tc>
          <w:tcPr>
            <w:tcW w:w="1884" w:type="dxa"/>
            <w:tcBorders>
              <w:left w:val="nil"/>
              <w:bottom w:val="single" w:sz="4" w:space="0" w:color="A6A6A6" w:themeColor="background1" w:themeShade="A6"/>
            </w:tcBorders>
            <w:shd w:val="clear" w:color="auto" w:fill="A6A6A6" w:themeFill="background1" w:themeFillShade="A6"/>
          </w:tcPr>
          <w:p w14:paraId="51AC9A0C" w14:textId="77777777" w:rsidR="00710F1C" w:rsidRPr="00710F1C" w:rsidRDefault="00710F1C" w:rsidP="00710F1C">
            <w:pPr>
              <w:spacing w:before="40" w:after="40"/>
              <w:rPr>
                <w:rFonts w:ascii="Arial Narrow" w:hAnsi="Arial Narrow"/>
                <w:b/>
                <w:sz w:val="20"/>
                <w:szCs w:val="20"/>
              </w:rPr>
            </w:pPr>
            <w:r w:rsidRPr="00710F1C">
              <w:rPr>
                <w:rFonts w:ascii="Arial Narrow" w:hAnsi="Arial Narrow"/>
                <w:b/>
                <w:sz w:val="20"/>
                <w:szCs w:val="20"/>
              </w:rPr>
              <w:t>Naselle</w:t>
            </w:r>
          </w:p>
        </w:tc>
        <w:tc>
          <w:tcPr>
            <w:tcW w:w="1446" w:type="dxa"/>
            <w:tcBorders>
              <w:bottom w:val="single" w:sz="4" w:space="0" w:color="A6A6A6" w:themeColor="background1" w:themeShade="A6"/>
            </w:tcBorders>
            <w:shd w:val="clear" w:color="auto" w:fill="A6A6A6" w:themeFill="background1" w:themeFillShade="A6"/>
          </w:tcPr>
          <w:p w14:paraId="659E9666" w14:textId="77777777" w:rsidR="00710F1C" w:rsidRPr="00710F1C" w:rsidRDefault="00710F1C" w:rsidP="00710F1C">
            <w:pPr>
              <w:spacing w:before="40" w:after="40"/>
              <w:jc w:val="center"/>
              <w:rPr>
                <w:rFonts w:ascii="Arial Narrow" w:hAnsi="Arial Narrow"/>
                <w:b/>
                <w:sz w:val="20"/>
                <w:szCs w:val="20"/>
              </w:rPr>
            </w:pPr>
          </w:p>
        </w:tc>
        <w:tc>
          <w:tcPr>
            <w:tcW w:w="1620" w:type="dxa"/>
            <w:tcBorders>
              <w:bottom w:val="single" w:sz="4" w:space="0" w:color="A6A6A6" w:themeColor="background1" w:themeShade="A6"/>
            </w:tcBorders>
            <w:shd w:val="clear" w:color="auto" w:fill="A6A6A6" w:themeFill="background1" w:themeFillShade="A6"/>
          </w:tcPr>
          <w:p w14:paraId="0FFCB14E" w14:textId="77777777" w:rsidR="00710F1C" w:rsidRPr="00710F1C" w:rsidRDefault="00710F1C" w:rsidP="00710F1C">
            <w:pPr>
              <w:spacing w:before="40" w:after="40"/>
              <w:jc w:val="center"/>
              <w:rPr>
                <w:rFonts w:ascii="Arial Narrow" w:hAnsi="Arial Narrow"/>
                <w:b/>
                <w:sz w:val="20"/>
                <w:szCs w:val="20"/>
              </w:rPr>
            </w:pPr>
          </w:p>
        </w:tc>
        <w:tc>
          <w:tcPr>
            <w:tcW w:w="4410" w:type="dxa"/>
            <w:gridSpan w:val="2"/>
            <w:tcBorders>
              <w:bottom w:val="single" w:sz="4" w:space="0" w:color="A6A6A6" w:themeColor="background1" w:themeShade="A6"/>
              <w:right w:val="nil"/>
            </w:tcBorders>
            <w:shd w:val="clear" w:color="auto" w:fill="A6A6A6" w:themeFill="background1" w:themeFillShade="A6"/>
          </w:tcPr>
          <w:p w14:paraId="6C2AC68A" w14:textId="77777777" w:rsidR="00710F1C" w:rsidRPr="00710F1C" w:rsidRDefault="00710F1C" w:rsidP="00710F1C">
            <w:pPr>
              <w:spacing w:before="40" w:after="40"/>
              <w:rPr>
                <w:rFonts w:ascii="Arial Narrow" w:hAnsi="Arial Narrow"/>
                <w:b/>
                <w:sz w:val="20"/>
                <w:szCs w:val="20"/>
              </w:rPr>
            </w:pPr>
          </w:p>
        </w:tc>
      </w:tr>
      <w:tr w:rsidR="00710F1C" w:rsidRPr="00710F1C" w14:paraId="25C2C22C"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bottom w:val="single" w:sz="12" w:space="0" w:color="0046AC"/>
            </w:tcBorders>
            <w:shd w:val="clear" w:color="auto" w:fill="FFFFFF" w:themeFill="background1"/>
          </w:tcPr>
          <w:p w14:paraId="2ED6E47B"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JRCA</w:t>
            </w:r>
          </w:p>
        </w:tc>
        <w:tc>
          <w:tcPr>
            <w:tcW w:w="1446" w:type="dxa"/>
            <w:tcBorders>
              <w:bottom w:val="single" w:sz="12" w:space="0" w:color="0046AC"/>
            </w:tcBorders>
            <w:shd w:val="clear" w:color="auto" w:fill="FFFFFF" w:themeFill="background1"/>
          </w:tcPr>
          <w:p w14:paraId="05080A78"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w:t>
            </w:r>
          </w:p>
        </w:tc>
        <w:tc>
          <w:tcPr>
            <w:tcW w:w="1620" w:type="dxa"/>
            <w:tcBorders>
              <w:bottom w:val="single" w:sz="12" w:space="0" w:color="0046AC"/>
            </w:tcBorders>
            <w:shd w:val="clear" w:color="auto" w:fill="FFFFFF" w:themeFill="background1"/>
          </w:tcPr>
          <w:p w14:paraId="20865185"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22.2%</w:t>
            </w:r>
          </w:p>
        </w:tc>
        <w:tc>
          <w:tcPr>
            <w:tcW w:w="2205" w:type="dxa"/>
            <w:tcBorders>
              <w:bottom w:val="single" w:sz="12" w:space="0" w:color="0046AC"/>
            </w:tcBorders>
            <w:shd w:val="clear" w:color="auto" w:fill="FFFFFF" w:themeFill="background1"/>
          </w:tcPr>
          <w:p w14:paraId="5BF2306F"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Resignation (1) </w:t>
            </w:r>
          </w:p>
        </w:tc>
        <w:tc>
          <w:tcPr>
            <w:tcW w:w="2205" w:type="dxa"/>
            <w:tcBorders>
              <w:bottom w:val="single" w:sz="12" w:space="0" w:color="0046AC"/>
              <w:right w:val="nil"/>
            </w:tcBorders>
            <w:shd w:val="clear" w:color="auto" w:fill="FFFFFF" w:themeFill="background1"/>
          </w:tcPr>
          <w:p w14:paraId="7538F959"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Voluntary Disability (1)</w:t>
            </w:r>
          </w:p>
        </w:tc>
      </w:tr>
      <w:tr w:rsidR="00710F1C" w:rsidRPr="00710F1C" w14:paraId="1A4D5A39" w14:textId="77777777" w:rsidTr="00583D55">
        <w:trPr>
          <w:cantSplit/>
        </w:trPr>
        <w:tc>
          <w:tcPr>
            <w:tcW w:w="1884" w:type="dxa"/>
            <w:tcBorders>
              <w:top w:val="single" w:sz="12" w:space="0" w:color="0046AC"/>
              <w:left w:val="nil"/>
            </w:tcBorders>
          </w:tcPr>
          <w:p w14:paraId="3B9FC8C2"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JRRC</w:t>
            </w:r>
          </w:p>
        </w:tc>
        <w:tc>
          <w:tcPr>
            <w:tcW w:w="1446" w:type="dxa"/>
            <w:tcBorders>
              <w:top w:val="single" w:sz="12" w:space="0" w:color="0046AC"/>
            </w:tcBorders>
          </w:tcPr>
          <w:p w14:paraId="7BE58BD8"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5</w:t>
            </w:r>
          </w:p>
        </w:tc>
        <w:tc>
          <w:tcPr>
            <w:tcW w:w="1620" w:type="dxa"/>
            <w:tcBorders>
              <w:top w:val="single" w:sz="12" w:space="0" w:color="0046AC"/>
            </w:tcBorders>
          </w:tcPr>
          <w:p w14:paraId="3032E7B6"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21.7%</w:t>
            </w:r>
          </w:p>
        </w:tc>
        <w:tc>
          <w:tcPr>
            <w:tcW w:w="2205" w:type="dxa"/>
            <w:tcBorders>
              <w:top w:val="single" w:sz="12" w:space="0" w:color="0046AC"/>
            </w:tcBorders>
          </w:tcPr>
          <w:p w14:paraId="2BF00FE7"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Promotion (2) </w:t>
            </w:r>
          </w:p>
          <w:p w14:paraId="339EE224"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Resignation (1) </w:t>
            </w:r>
          </w:p>
        </w:tc>
        <w:tc>
          <w:tcPr>
            <w:tcW w:w="2205" w:type="dxa"/>
            <w:tcBorders>
              <w:top w:val="single" w:sz="12" w:space="0" w:color="0046AC"/>
              <w:right w:val="nil"/>
            </w:tcBorders>
          </w:tcPr>
          <w:p w14:paraId="71565505"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Retirement (1) </w:t>
            </w:r>
          </w:p>
          <w:p w14:paraId="180887C5"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 xml:space="preserve">Project </w:t>
            </w:r>
            <w:r w:rsidR="000E297A">
              <w:rPr>
                <w:rFonts w:ascii="Arial Narrow" w:hAnsi="Arial Narrow"/>
                <w:sz w:val="20"/>
                <w:szCs w:val="20"/>
              </w:rPr>
              <w:t>ended</w:t>
            </w:r>
            <w:r w:rsidR="00B71702">
              <w:rPr>
                <w:rFonts w:ascii="Arial Narrow" w:hAnsi="Arial Narrow"/>
                <w:sz w:val="20"/>
                <w:szCs w:val="20"/>
              </w:rPr>
              <w:t xml:space="preserve"> </w:t>
            </w:r>
            <w:r w:rsidRPr="00710F1C">
              <w:rPr>
                <w:rFonts w:ascii="Arial Narrow" w:hAnsi="Arial Narrow"/>
                <w:sz w:val="20"/>
                <w:szCs w:val="20"/>
              </w:rPr>
              <w:t xml:space="preserve">(1) </w:t>
            </w:r>
          </w:p>
        </w:tc>
      </w:tr>
      <w:tr w:rsidR="00710F1C" w:rsidRPr="00710F1C" w14:paraId="3593637F"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tcBorders>
            <w:shd w:val="clear" w:color="auto" w:fill="A6A6A6" w:themeFill="background1" w:themeFillShade="A6"/>
          </w:tcPr>
          <w:p w14:paraId="248B0564" w14:textId="77777777" w:rsidR="00710F1C" w:rsidRPr="00710F1C" w:rsidRDefault="00710F1C" w:rsidP="00710F1C">
            <w:pPr>
              <w:spacing w:before="40" w:after="40"/>
              <w:rPr>
                <w:rFonts w:ascii="Arial Narrow" w:hAnsi="Arial Narrow"/>
                <w:b/>
                <w:sz w:val="20"/>
                <w:szCs w:val="20"/>
              </w:rPr>
            </w:pPr>
            <w:r w:rsidRPr="00710F1C">
              <w:rPr>
                <w:rFonts w:ascii="Arial Narrow" w:hAnsi="Arial Narrow"/>
                <w:b/>
                <w:sz w:val="20"/>
                <w:szCs w:val="20"/>
              </w:rPr>
              <w:t xml:space="preserve">Community Facilities </w:t>
            </w:r>
          </w:p>
        </w:tc>
        <w:tc>
          <w:tcPr>
            <w:tcW w:w="1446" w:type="dxa"/>
            <w:shd w:val="clear" w:color="auto" w:fill="A6A6A6" w:themeFill="background1" w:themeFillShade="A6"/>
          </w:tcPr>
          <w:p w14:paraId="045A8827" w14:textId="77777777" w:rsidR="00710F1C" w:rsidRPr="00710F1C" w:rsidRDefault="00710F1C" w:rsidP="00710F1C">
            <w:pPr>
              <w:spacing w:before="40" w:after="40"/>
              <w:jc w:val="center"/>
              <w:rPr>
                <w:rFonts w:ascii="Arial Narrow" w:hAnsi="Arial Narrow"/>
                <w:b/>
                <w:sz w:val="20"/>
                <w:szCs w:val="20"/>
              </w:rPr>
            </w:pPr>
          </w:p>
        </w:tc>
        <w:tc>
          <w:tcPr>
            <w:tcW w:w="1620" w:type="dxa"/>
            <w:shd w:val="clear" w:color="auto" w:fill="A6A6A6" w:themeFill="background1" w:themeFillShade="A6"/>
          </w:tcPr>
          <w:p w14:paraId="2025E3D6" w14:textId="77777777" w:rsidR="00710F1C" w:rsidRPr="00710F1C" w:rsidRDefault="00710F1C" w:rsidP="00710F1C">
            <w:pPr>
              <w:spacing w:before="40" w:after="40"/>
              <w:jc w:val="center"/>
              <w:rPr>
                <w:rFonts w:ascii="Arial Narrow" w:hAnsi="Arial Narrow"/>
                <w:b/>
                <w:sz w:val="20"/>
                <w:szCs w:val="20"/>
              </w:rPr>
            </w:pPr>
          </w:p>
        </w:tc>
        <w:tc>
          <w:tcPr>
            <w:tcW w:w="4410" w:type="dxa"/>
            <w:gridSpan w:val="2"/>
            <w:tcBorders>
              <w:right w:val="nil"/>
            </w:tcBorders>
            <w:shd w:val="clear" w:color="auto" w:fill="A6A6A6" w:themeFill="background1" w:themeFillShade="A6"/>
          </w:tcPr>
          <w:p w14:paraId="68A24DE6" w14:textId="77777777" w:rsidR="00710F1C" w:rsidRPr="00710F1C" w:rsidRDefault="00710F1C" w:rsidP="00710F1C">
            <w:pPr>
              <w:spacing w:before="40" w:after="40"/>
              <w:rPr>
                <w:rFonts w:ascii="Arial Narrow" w:hAnsi="Arial Narrow"/>
                <w:b/>
                <w:sz w:val="20"/>
                <w:szCs w:val="20"/>
              </w:rPr>
            </w:pPr>
          </w:p>
        </w:tc>
      </w:tr>
      <w:tr w:rsidR="00710F1C" w:rsidRPr="00710F1C" w14:paraId="348E39BE" w14:textId="77777777" w:rsidTr="00583D55">
        <w:tc>
          <w:tcPr>
            <w:tcW w:w="1884" w:type="dxa"/>
            <w:tcBorders>
              <w:left w:val="nil"/>
              <w:bottom w:val="single" w:sz="4" w:space="0" w:color="A6A6A6" w:themeColor="background1" w:themeShade="A6"/>
            </w:tcBorders>
          </w:tcPr>
          <w:p w14:paraId="725CCB09"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JRCA</w:t>
            </w:r>
          </w:p>
        </w:tc>
        <w:tc>
          <w:tcPr>
            <w:tcW w:w="1446" w:type="dxa"/>
            <w:tcBorders>
              <w:bottom w:val="single" w:sz="4" w:space="0" w:color="A6A6A6" w:themeColor="background1" w:themeShade="A6"/>
            </w:tcBorders>
          </w:tcPr>
          <w:p w14:paraId="6CE6188B"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 xml:space="preserve">3 </w:t>
            </w:r>
          </w:p>
        </w:tc>
        <w:tc>
          <w:tcPr>
            <w:tcW w:w="1620" w:type="dxa"/>
            <w:tcBorders>
              <w:bottom w:val="single" w:sz="4" w:space="0" w:color="A6A6A6" w:themeColor="background1" w:themeShade="A6"/>
            </w:tcBorders>
          </w:tcPr>
          <w:p w14:paraId="52488B80"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20.0%</w:t>
            </w:r>
          </w:p>
        </w:tc>
        <w:tc>
          <w:tcPr>
            <w:tcW w:w="2205" w:type="dxa"/>
            <w:tcBorders>
              <w:bottom w:val="single" w:sz="4" w:space="0" w:color="A6A6A6" w:themeColor="background1" w:themeShade="A6"/>
            </w:tcBorders>
          </w:tcPr>
          <w:p w14:paraId="441C82D8"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Appointment Ended (2) </w:t>
            </w:r>
          </w:p>
        </w:tc>
        <w:tc>
          <w:tcPr>
            <w:tcW w:w="2205" w:type="dxa"/>
            <w:tcBorders>
              <w:bottom w:val="single" w:sz="4" w:space="0" w:color="A6A6A6" w:themeColor="background1" w:themeShade="A6"/>
              <w:right w:val="nil"/>
            </w:tcBorders>
          </w:tcPr>
          <w:p w14:paraId="14D46E0A"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 xml:space="preserve">Voluntary Demotion (1) </w:t>
            </w:r>
          </w:p>
        </w:tc>
      </w:tr>
      <w:tr w:rsidR="00710F1C" w:rsidRPr="00710F1C" w14:paraId="40B9D65B" w14:textId="77777777" w:rsidTr="00583D55">
        <w:trPr>
          <w:cnfStyle w:val="000000100000" w:firstRow="0" w:lastRow="0" w:firstColumn="0" w:lastColumn="0" w:oddVBand="0" w:evenVBand="0" w:oddHBand="1" w:evenHBand="0" w:firstRowFirstColumn="0" w:firstRowLastColumn="0" w:lastRowFirstColumn="0" w:lastRowLastColumn="0"/>
        </w:trPr>
        <w:tc>
          <w:tcPr>
            <w:tcW w:w="1884" w:type="dxa"/>
            <w:tcBorders>
              <w:left w:val="nil"/>
              <w:bottom w:val="single" w:sz="12" w:space="0" w:color="0046AC"/>
            </w:tcBorders>
            <w:shd w:val="clear" w:color="auto" w:fill="FFFFFF" w:themeFill="background1"/>
          </w:tcPr>
          <w:p w14:paraId="4F4A0C22" w14:textId="77777777" w:rsidR="00710F1C" w:rsidRPr="00710F1C" w:rsidRDefault="00710F1C" w:rsidP="00710F1C">
            <w:pPr>
              <w:spacing w:before="40" w:after="40"/>
              <w:ind w:left="180"/>
              <w:rPr>
                <w:rFonts w:ascii="Arial Narrow" w:hAnsi="Arial Narrow"/>
                <w:sz w:val="20"/>
                <w:szCs w:val="20"/>
              </w:rPr>
            </w:pPr>
            <w:r w:rsidRPr="00710F1C">
              <w:rPr>
                <w:rFonts w:ascii="Arial Narrow" w:hAnsi="Arial Narrow"/>
                <w:sz w:val="20"/>
                <w:szCs w:val="20"/>
              </w:rPr>
              <w:t>JRRC</w:t>
            </w:r>
          </w:p>
        </w:tc>
        <w:tc>
          <w:tcPr>
            <w:tcW w:w="1446" w:type="dxa"/>
            <w:tcBorders>
              <w:bottom w:val="single" w:sz="12" w:space="0" w:color="0046AC"/>
            </w:tcBorders>
            <w:shd w:val="clear" w:color="auto" w:fill="FFFFFF" w:themeFill="background1"/>
          </w:tcPr>
          <w:p w14:paraId="66C05395"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6</w:t>
            </w:r>
          </w:p>
        </w:tc>
        <w:tc>
          <w:tcPr>
            <w:tcW w:w="1620" w:type="dxa"/>
            <w:tcBorders>
              <w:bottom w:val="single" w:sz="12" w:space="0" w:color="0046AC"/>
            </w:tcBorders>
            <w:shd w:val="clear" w:color="auto" w:fill="FFFFFF" w:themeFill="background1"/>
          </w:tcPr>
          <w:p w14:paraId="7B537628" w14:textId="77777777" w:rsidR="00710F1C" w:rsidRPr="00710F1C" w:rsidRDefault="00710F1C" w:rsidP="00710F1C">
            <w:pPr>
              <w:spacing w:before="40" w:after="40"/>
              <w:jc w:val="center"/>
              <w:rPr>
                <w:rFonts w:ascii="Arial Narrow" w:hAnsi="Arial Narrow"/>
                <w:sz w:val="20"/>
                <w:szCs w:val="20"/>
              </w:rPr>
            </w:pPr>
            <w:r w:rsidRPr="00710F1C">
              <w:rPr>
                <w:rFonts w:ascii="Arial Narrow" w:hAnsi="Arial Narrow"/>
                <w:sz w:val="20"/>
                <w:szCs w:val="20"/>
              </w:rPr>
              <w:t>22.2%</w:t>
            </w:r>
          </w:p>
        </w:tc>
        <w:tc>
          <w:tcPr>
            <w:tcW w:w="2205" w:type="dxa"/>
            <w:tcBorders>
              <w:bottom w:val="single" w:sz="12" w:space="0" w:color="0046AC"/>
            </w:tcBorders>
            <w:shd w:val="clear" w:color="auto" w:fill="FFFFFF" w:themeFill="background1"/>
          </w:tcPr>
          <w:p w14:paraId="4BE8E679"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Resignation (2) </w:t>
            </w:r>
          </w:p>
          <w:p w14:paraId="40DE993B"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Promotion (2) </w:t>
            </w:r>
          </w:p>
        </w:tc>
        <w:tc>
          <w:tcPr>
            <w:tcW w:w="2205" w:type="dxa"/>
            <w:tcBorders>
              <w:bottom w:val="single" w:sz="12" w:space="0" w:color="0046AC"/>
              <w:right w:val="nil"/>
            </w:tcBorders>
            <w:shd w:val="clear" w:color="auto" w:fill="FFFFFF" w:themeFill="background1"/>
          </w:tcPr>
          <w:p w14:paraId="36A94E24" w14:textId="77777777" w:rsidR="00710F1C" w:rsidRPr="00710F1C" w:rsidRDefault="00710F1C" w:rsidP="00710F1C">
            <w:pPr>
              <w:keepNext/>
              <w:spacing w:before="40" w:after="40"/>
              <w:ind w:left="130" w:hanging="130"/>
              <w:contextualSpacing/>
              <w:rPr>
                <w:rFonts w:ascii="Arial Narrow" w:hAnsi="Arial Narrow"/>
                <w:sz w:val="20"/>
                <w:szCs w:val="20"/>
              </w:rPr>
            </w:pPr>
            <w:r w:rsidRPr="00710F1C">
              <w:rPr>
                <w:rFonts w:ascii="Arial Narrow" w:hAnsi="Arial Narrow"/>
                <w:sz w:val="20"/>
                <w:szCs w:val="20"/>
              </w:rPr>
              <w:t xml:space="preserve">Transfer (1) </w:t>
            </w:r>
          </w:p>
          <w:p w14:paraId="18278F86" w14:textId="77777777" w:rsidR="00710F1C" w:rsidRPr="00710F1C" w:rsidRDefault="00710F1C" w:rsidP="00710F1C">
            <w:pPr>
              <w:keepNext/>
              <w:spacing w:before="40" w:after="40"/>
              <w:ind w:left="130" w:hanging="130"/>
              <w:contextualSpacing/>
              <w:rPr>
                <w:rFonts w:ascii="Arial Narrow" w:hAnsi="Arial Narrow"/>
                <w:sz w:val="20"/>
                <w:szCs w:val="20"/>
                <w:highlight w:val="yellow"/>
              </w:rPr>
            </w:pPr>
            <w:r w:rsidRPr="00710F1C">
              <w:rPr>
                <w:rFonts w:ascii="Arial Narrow" w:hAnsi="Arial Narrow"/>
                <w:sz w:val="20"/>
                <w:szCs w:val="20"/>
              </w:rPr>
              <w:t xml:space="preserve">Voluntary Demotion (1) </w:t>
            </w:r>
          </w:p>
        </w:tc>
      </w:tr>
    </w:tbl>
    <w:p w14:paraId="34613042" w14:textId="77777777" w:rsidR="00716021" w:rsidRPr="00716021" w:rsidRDefault="00A9035B" w:rsidP="00716021">
      <w:pPr>
        <w:pStyle w:val="Heading3"/>
      </w:pPr>
      <w:bookmarkStart w:id="78" w:name="_Toc531597516"/>
      <w:r>
        <w:lastRenderedPageBreak/>
        <w:t>Turnover Intent</w:t>
      </w:r>
      <w:bookmarkEnd w:id="78"/>
    </w:p>
    <w:p w14:paraId="0F852D98" w14:textId="77777777" w:rsidR="000F6B0B" w:rsidRDefault="00A9035B" w:rsidP="00EE3E1C">
      <w:r w:rsidRPr="008D14F3">
        <w:t xml:space="preserve">Exhibit </w:t>
      </w:r>
      <w:r w:rsidR="005E430A">
        <w:t>5</w:t>
      </w:r>
      <w:r w:rsidR="00D4764C" w:rsidRPr="008D14F3">
        <w:t>-</w:t>
      </w:r>
      <w:r w:rsidR="00A05906">
        <w:t>28</w:t>
      </w:r>
      <w:r w:rsidR="00A05906" w:rsidRPr="008D14F3">
        <w:t xml:space="preserve"> </w:t>
      </w:r>
      <w:r w:rsidRPr="008D14F3">
        <w:t xml:space="preserve">provides information on the turnover intentions of staff </w:t>
      </w:r>
      <w:r w:rsidR="009B02FA" w:rsidRPr="008D14F3">
        <w:t>at the three institutions and the eight community facilities.</w:t>
      </w:r>
      <w:r w:rsidR="000F6B0B" w:rsidRPr="008D14F3">
        <w:t xml:space="preserve"> The </w:t>
      </w:r>
      <w:r w:rsidR="00E251C1" w:rsidRPr="008D14F3">
        <w:t>staff survey</w:t>
      </w:r>
      <w:r w:rsidR="000F6B0B" w:rsidRPr="008D14F3">
        <w:t xml:space="preserve"> asked participant</w:t>
      </w:r>
      <w:r w:rsidR="00C73DBE">
        <w:t>s</w:t>
      </w:r>
      <w:r w:rsidR="000F6B0B" w:rsidRPr="008D14F3">
        <w:t xml:space="preserve"> to indicate how long they </w:t>
      </w:r>
      <w:r w:rsidR="00B134C8" w:rsidRPr="008D14F3">
        <w:t>foresee</w:t>
      </w:r>
      <w:r w:rsidR="000F6B0B" w:rsidRPr="008D14F3">
        <w:t xml:space="preserve"> themselves working in their current position. </w:t>
      </w:r>
      <w:r w:rsidR="001A4889" w:rsidRPr="008D14F3">
        <w:t>There is a significant number of staff</w:t>
      </w:r>
      <w:r w:rsidR="008A053C" w:rsidRPr="008D14F3">
        <w:t xml:space="preserve"> at all the facilities that do not see themselves working in their current position for longer than two years. </w:t>
      </w:r>
      <w:r w:rsidR="007C1B3F" w:rsidRPr="008D14F3">
        <w:t xml:space="preserve">Almost half (45.7%) of the staff participating in the </w:t>
      </w:r>
      <w:r w:rsidR="00E251C1" w:rsidRPr="008D14F3">
        <w:t>staff survey</w:t>
      </w:r>
      <w:r w:rsidR="007C1B3F" w:rsidRPr="008D14F3">
        <w:t xml:space="preserve"> from the community facilities indicated they did not see themselves working</w:t>
      </w:r>
      <w:r w:rsidR="005E2DE4" w:rsidRPr="008D14F3">
        <w:t xml:space="preserve"> at the facility in 2 years; 20</w:t>
      </w:r>
      <w:r w:rsidR="004962BA" w:rsidRPr="008D14F3">
        <w:t xml:space="preserve">% </w:t>
      </w:r>
      <w:r w:rsidR="00815960">
        <w:t xml:space="preserve">said </w:t>
      </w:r>
      <w:r w:rsidR="007C1B3F" w:rsidRPr="008D14F3">
        <w:t xml:space="preserve">they would likely leave their position in less than a year. </w:t>
      </w:r>
      <w:r w:rsidR="005E2DE4" w:rsidRPr="008D14F3">
        <w:t>Almost 4</w:t>
      </w:r>
      <w:r w:rsidR="004962BA" w:rsidRPr="008D14F3">
        <w:t>1%</w:t>
      </w:r>
      <w:r w:rsidR="008A053C" w:rsidRPr="008D14F3">
        <w:t xml:space="preserve"> of participants from Echo Glen </w:t>
      </w:r>
      <w:r w:rsidR="007C1B3F" w:rsidRPr="008D14F3">
        <w:t>did not expect to be</w:t>
      </w:r>
      <w:r w:rsidR="008A053C" w:rsidRPr="008D14F3">
        <w:t xml:space="preserve"> working there in </w:t>
      </w:r>
      <w:r w:rsidR="00815960">
        <w:t>two</w:t>
      </w:r>
      <w:r w:rsidR="008A053C" w:rsidRPr="008D14F3">
        <w:t xml:space="preserve"> years;</w:t>
      </w:r>
      <w:r w:rsidR="005E2DE4" w:rsidRPr="008D14F3">
        <w:t xml:space="preserve"> </w:t>
      </w:r>
      <w:r w:rsidR="00815960">
        <w:t xml:space="preserve">and </w:t>
      </w:r>
      <w:r w:rsidR="005E2DE4" w:rsidRPr="008D14F3">
        <w:t>22.2</w:t>
      </w:r>
      <w:r w:rsidR="004962BA" w:rsidRPr="008D14F3">
        <w:t xml:space="preserve">% </w:t>
      </w:r>
      <w:r w:rsidR="00D23D86" w:rsidRPr="008D14F3">
        <w:t>expected to be in their current position</w:t>
      </w:r>
      <w:r w:rsidR="008A053C" w:rsidRPr="008D14F3">
        <w:t xml:space="preserve"> for less than a year. </w:t>
      </w:r>
      <w:r w:rsidR="007C1B3F" w:rsidRPr="008D14F3">
        <w:t>Of the staff</w:t>
      </w:r>
      <w:r w:rsidR="008A053C" w:rsidRPr="008D14F3">
        <w:t xml:space="preserve"> </w:t>
      </w:r>
      <w:r w:rsidR="007C1B3F" w:rsidRPr="008D14F3">
        <w:t xml:space="preserve">at </w:t>
      </w:r>
      <w:r w:rsidR="008A053C" w:rsidRPr="008D14F3">
        <w:t>Green Hill</w:t>
      </w:r>
      <w:r w:rsidR="005E2DE4" w:rsidRPr="008D14F3">
        <w:t>, 30.2</w:t>
      </w:r>
      <w:r w:rsidR="004962BA" w:rsidRPr="008D14F3">
        <w:t xml:space="preserve">% </w:t>
      </w:r>
      <w:r w:rsidR="008A053C" w:rsidRPr="008D14F3">
        <w:t>did not see themselves in th</w:t>
      </w:r>
      <w:r w:rsidR="005E2DE4" w:rsidRPr="008D14F3">
        <w:t xml:space="preserve">eir current position in </w:t>
      </w:r>
      <w:r w:rsidR="00815960">
        <w:t>two</w:t>
      </w:r>
      <w:r w:rsidR="005E2DE4" w:rsidRPr="008D14F3">
        <w:t xml:space="preserve"> years.</w:t>
      </w:r>
      <w:r w:rsidR="007C1B3F">
        <w:t xml:space="preserve"> </w:t>
      </w:r>
      <w:r w:rsidR="00A8484D">
        <w:t>The percentage of staff at Naselle who did not see themselves working there in 2 years was relatively lower at 18.5%.</w:t>
      </w:r>
    </w:p>
    <w:p w14:paraId="0332DCFD" w14:textId="77777777" w:rsidR="000F6B0B" w:rsidRPr="0068129D" w:rsidRDefault="00D4764C" w:rsidP="003F6A2B">
      <w:pPr>
        <w:pStyle w:val="Caption"/>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28</w:t>
      </w:r>
      <w:r w:rsidR="00E251C1">
        <w:t>.</w:t>
      </w:r>
      <w:r w:rsidR="003F6A2B">
        <w:t xml:space="preserve"> </w:t>
      </w:r>
      <w:r w:rsidR="000F6B0B">
        <w:t xml:space="preserve">Turnover Intent, by Facility and Position  </w:t>
      </w:r>
    </w:p>
    <w:tbl>
      <w:tblPr>
        <w:tblStyle w:val="HyzerTable"/>
        <w:tblW w:w="8984" w:type="dxa"/>
        <w:tblLayout w:type="fixed"/>
        <w:tblLook w:val="0420" w:firstRow="1" w:lastRow="0" w:firstColumn="0" w:lastColumn="0" w:noHBand="0" w:noVBand="1"/>
      </w:tblPr>
      <w:tblGrid>
        <w:gridCol w:w="2512"/>
        <w:gridCol w:w="1294"/>
        <w:gridCol w:w="1294"/>
        <w:gridCol w:w="1295"/>
        <w:gridCol w:w="1294"/>
        <w:gridCol w:w="1295"/>
      </w:tblGrid>
      <w:tr w:rsidR="000F6B0B" w:rsidRPr="00CD1826" w14:paraId="75E981C0" w14:textId="77777777" w:rsidTr="00F168E8">
        <w:trPr>
          <w:cnfStyle w:val="100000000000" w:firstRow="1" w:lastRow="0" w:firstColumn="0" w:lastColumn="0" w:oddVBand="0" w:evenVBand="0" w:oddHBand="0" w:evenHBand="0" w:firstRowFirstColumn="0" w:firstRowLastColumn="0" w:lastRowFirstColumn="0" w:lastRowLastColumn="0"/>
          <w:trHeight w:val="438"/>
          <w:tblHeader/>
        </w:trPr>
        <w:tc>
          <w:tcPr>
            <w:tcW w:w="2512" w:type="dxa"/>
            <w:tcBorders>
              <w:bottom w:val="single" w:sz="2" w:space="0" w:color="808080" w:themeColor="text1" w:themeTint="7F"/>
            </w:tcBorders>
            <w:vAlign w:val="center"/>
          </w:tcPr>
          <w:p w14:paraId="5154954C" w14:textId="77777777" w:rsidR="000F6B0B" w:rsidRPr="00D94984" w:rsidRDefault="000F6B0B" w:rsidP="00C32C1A">
            <w:pPr>
              <w:pStyle w:val="tableheaderwhite"/>
              <w:keepNext/>
              <w:spacing w:before="20" w:after="20"/>
              <w:rPr>
                <w:sz w:val="22"/>
              </w:rPr>
            </w:pPr>
            <w:r w:rsidRPr="1FF1B213">
              <w:rPr>
                <w:sz w:val="22"/>
                <w:szCs w:val="22"/>
              </w:rPr>
              <w:t>Facility</w:t>
            </w:r>
          </w:p>
        </w:tc>
        <w:tc>
          <w:tcPr>
            <w:tcW w:w="1294" w:type="dxa"/>
            <w:tcBorders>
              <w:bottom w:val="single" w:sz="2" w:space="0" w:color="808080" w:themeColor="text1" w:themeTint="7F"/>
            </w:tcBorders>
            <w:vAlign w:val="center"/>
          </w:tcPr>
          <w:p w14:paraId="34F07814" w14:textId="77777777" w:rsidR="000F6B0B" w:rsidRPr="00D94984" w:rsidRDefault="000F6B0B" w:rsidP="00C32C1A">
            <w:pPr>
              <w:pStyle w:val="tableheaderwhite"/>
              <w:keepNext/>
              <w:spacing w:before="20" w:after="20"/>
              <w:rPr>
                <w:sz w:val="22"/>
              </w:rPr>
            </w:pPr>
            <w:r w:rsidRPr="1FF1B213">
              <w:rPr>
                <w:sz w:val="22"/>
                <w:szCs w:val="22"/>
              </w:rPr>
              <w:t>Less than 1 Year</w:t>
            </w:r>
          </w:p>
        </w:tc>
        <w:tc>
          <w:tcPr>
            <w:tcW w:w="1294" w:type="dxa"/>
            <w:tcBorders>
              <w:bottom w:val="single" w:sz="2" w:space="0" w:color="808080" w:themeColor="text1" w:themeTint="7F"/>
            </w:tcBorders>
            <w:vAlign w:val="center"/>
          </w:tcPr>
          <w:p w14:paraId="083B5E3A" w14:textId="77777777" w:rsidR="000F6B0B" w:rsidRPr="00D94984" w:rsidRDefault="000F6B0B" w:rsidP="00C32C1A">
            <w:pPr>
              <w:pStyle w:val="tableheaderwhite"/>
              <w:keepNext/>
              <w:spacing w:before="20" w:after="20"/>
              <w:rPr>
                <w:sz w:val="22"/>
              </w:rPr>
            </w:pPr>
            <w:r w:rsidRPr="1FF1B213">
              <w:rPr>
                <w:sz w:val="22"/>
                <w:szCs w:val="22"/>
              </w:rPr>
              <w:t>1-2 Years</w:t>
            </w:r>
          </w:p>
        </w:tc>
        <w:tc>
          <w:tcPr>
            <w:tcW w:w="1295" w:type="dxa"/>
            <w:tcBorders>
              <w:bottom w:val="single" w:sz="2" w:space="0" w:color="808080" w:themeColor="text1" w:themeTint="7F"/>
            </w:tcBorders>
            <w:vAlign w:val="center"/>
          </w:tcPr>
          <w:p w14:paraId="689A8B12" w14:textId="77777777" w:rsidR="000F6B0B" w:rsidRPr="00D94984" w:rsidRDefault="000F6B0B" w:rsidP="00C32C1A">
            <w:pPr>
              <w:pStyle w:val="tableheaderwhite"/>
              <w:keepNext/>
              <w:spacing w:before="20" w:after="20"/>
              <w:rPr>
                <w:sz w:val="22"/>
              </w:rPr>
            </w:pPr>
            <w:r w:rsidRPr="1FF1B213">
              <w:rPr>
                <w:sz w:val="22"/>
                <w:szCs w:val="22"/>
              </w:rPr>
              <w:t>2-5 Years</w:t>
            </w:r>
          </w:p>
        </w:tc>
        <w:tc>
          <w:tcPr>
            <w:tcW w:w="1294" w:type="dxa"/>
            <w:tcBorders>
              <w:bottom w:val="single" w:sz="2" w:space="0" w:color="808080" w:themeColor="text1" w:themeTint="7F"/>
            </w:tcBorders>
            <w:vAlign w:val="center"/>
          </w:tcPr>
          <w:p w14:paraId="0BD60DA1" w14:textId="77777777" w:rsidR="000F6B0B" w:rsidRPr="00D94984" w:rsidRDefault="000F6B0B" w:rsidP="00C32C1A">
            <w:pPr>
              <w:pStyle w:val="tableheaderwhite"/>
              <w:keepNext/>
              <w:spacing w:before="20" w:after="20"/>
              <w:rPr>
                <w:sz w:val="22"/>
              </w:rPr>
            </w:pPr>
            <w:r w:rsidRPr="1FF1B213">
              <w:rPr>
                <w:sz w:val="22"/>
                <w:szCs w:val="22"/>
              </w:rPr>
              <w:t>Uncertain</w:t>
            </w:r>
          </w:p>
        </w:tc>
        <w:tc>
          <w:tcPr>
            <w:tcW w:w="1295" w:type="dxa"/>
            <w:tcBorders>
              <w:bottom w:val="single" w:sz="2" w:space="0" w:color="808080" w:themeColor="text1" w:themeTint="7F"/>
            </w:tcBorders>
            <w:vAlign w:val="center"/>
          </w:tcPr>
          <w:p w14:paraId="2DD59608" w14:textId="77777777" w:rsidR="000F6B0B" w:rsidRPr="00D94984" w:rsidRDefault="000F6B0B" w:rsidP="00C32C1A">
            <w:pPr>
              <w:pStyle w:val="tableheaderwhite"/>
              <w:keepNext/>
              <w:spacing w:before="20" w:after="20"/>
              <w:rPr>
                <w:sz w:val="22"/>
              </w:rPr>
            </w:pPr>
            <w:r w:rsidRPr="1FF1B213">
              <w:rPr>
                <w:sz w:val="22"/>
                <w:szCs w:val="22"/>
              </w:rPr>
              <w:t>Until Retirement</w:t>
            </w:r>
          </w:p>
        </w:tc>
      </w:tr>
      <w:tr w:rsidR="000F6B0B" w:rsidRPr="00CD1826" w14:paraId="6FDCF730"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Borders>
              <w:top w:val="single" w:sz="2" w:space="0" w:color="808080" w:themeColor="text1" w:themeTint="7F"/>
              <w:bottom w:val="single" w:sz="2" w:space="0" w:color="808080" w:themeColor="text1" w:themeTint="7F"/>
            </w:tcBorders>
            <w:shd w:val="clear" w:color="auto" w:fill="999999"/>
          </w:tcPr>
          <w:p w14:paraId="1A23A295" w14:textId="77777777" w:rsidR="000F6B0B" w:rsidRPr="00CD1826" w:rsidRDefault="000F6B0B" w:rsidP="00C32C1A">
            <w:pPr>
              <w:pStyle w:val="TableTextRight"/>
              <w:keepNext/>
              <w:jc w:val="left"/>
            </w:pPr>
            <w:r w:rsidRPr="004A5C18">
              <w:rPr>
                <w:b/>
              </w:rPr>
              <w:t>Echo Glen</w:t>
            </w:r>
            <w:r>
              <w:rPr>
                <w:b/>
              </w:rPr>
              <w:t xml:space="preserve"> (n=27)</w:t>
            </w:r>
          </w:p>
        </w:tc>
        <w:tc>
          <w:tcPr>
            <w:tcW w:w="1294" w:type="dxa"/>
            <w:tcBorders>
              <w:top w:val="single" w:sz="2" w:space="0" w:color="808080" w:themeColor="text1" w:themeTint="7F"/>
              <w:bottom w:val="single" w:sz="2" w:space="0" w:color="808080" w:themeColor="text1" w:themeTint="7F"/>
            </w:tcBorders>
            <w:shd w:val="clear" w:color="auto" w:fill="999999"/>
          </w:tcPr>
          <w:p w14:paraId="6420DD1B" w14:textId="77777777" w:rsidR="000F6B0B" w:rsidRPr="00E3085B" w:rsidRDefault="000F6B0B" w:rsidP="00C32C1A">
            <w:pPr>
              <w:pStyle w:val="tabletextcenter"/>
              <w:keepNext/>
              <w:rPr>
                <w:b/>
              </w:rPr>
            </w:pPr>
            <w:r w:rsidRPr="00E3085B">
              <w:rPr>
                <w:b/>
              </w:rPr>
              <w:t>22.2%</w:t>
            </w:r>
          </w:p>
        </w:tc>
        <w:tc>
          <w:tcPr>
            <w:tcW w:w="1294" w:type="dxa"/>
            <w:tcBorders>
              <w:top w:val="single" w:sz="2" w:space="0" w:color="808080" w:themeColor="text1" w:themeTint="7F"/>
              <w:bottom w:val="single" w:sz="2" w:space="0" w:color="808080" w:themeColor="text1" w:themeTint="7F"/>
            </w:tcBorders>
            <w:shd w:val="clear" w:color="auto" w:fill="999999"/>
          </w:tcPr>
          <w:p w14:paraId="5BCF50BD" w14:textId="77777777" w:rsidR="000F6B0B" w:rsidRPr="00E3085B" w:rsidRDefault="000F6B0B" w:rsidP="00C32C1A">
            <w:pPr>
              <w:pStyle w:val="tabletextcenter"/>
              <w:keepNext/>
              <w:rPr>
                <w:b/>
              </w:rPr>
            </w:pPr>
            <w:r w:rsidRPr="00E3085B">
              <w:rPr>
                <w:b/>
              </w:rPr>
              <w:t>18.5%</w:t>
            </w:r>
          </w:p>
        </w:tc>
        <w:tc>
          <w:tcPr>
            <w:tcW w:w="1295" w:type="dxa"/>
            <w:tcBorders>
              <w:top w:val="single" w:sz="2" w:space="0" w:color="808080" w:themeColor="text1" w:themeTint="7F"/>
              <w:bottom w:val="single" w:sz="2" w:space="0" w:color="808080" w:themeColor="text1" w:themeTint="7F"/>
            </w:tcBorders>
            <w:shd w:val="clear" w:color="auto" w:fill="999999"/>
          </w:tcPr>
          <w:p w14:paraId="3B594D22" w14:textId="77777777" w:rsidR="000F6B0B" w:rsidRPr="00E3085B" w:rsidRDefault="000F6B0B" w:rsidP="00C32C1A">
            <w:pPr>
              <w:pStyle w:val="tabletextcenter"/>
              <w:keepNext/>
              <w:rPr>
                <w:b/>
              </w:rPr>
            </w:pPr>
            <w:r w:rsidRPr="00E3085B">
              <w:rPr>
                <w:b/>
              </w:rPr>
              <w:t>0.0%</w:t>
            </w:r>
          </w:p>
        </w:tc>
        <w:tc>
          <w:tcPr>
            <w:tcW w:w="1294" w:type="dxa"/>
            <w:tcBorders>
              <w:top w:val="single" w:sz="2" w:space="0" w:color="808080" w:themeColor="text1" w:themeTint="7F"/>
              <w:bottom w:val="single" w:sz="2" w:space="0" w:color="808080" w:themeColor="text1" w:themeTint="7F"/>
            </w:tcBorders>
            <w:shd w:val="clear" w:color="auto" w:fill="999999"/>
          </w:tcPr>
          <w:p w14:paraId="6BF0EF76" w14:textId="77777777" w:rsidR="000F6B0B" w:rsidRPr="00E3085B" w:rsidRDefault="000F6B0B" w:rsidP="00C32C1A">
            <w:pPr>
              <w:pStyle w:val="tabletextcenter"/>
              <w:keepNext/>
              <w:rPr>
                <w:b/>
              </w:rPr>
            </w:pPr>
            <w:r w:rsidRPr="00E3085B">
              <w:rPr>
                <w:b/>
              </w:rPr>
              <w:t>25.9%</w:t>
            </w:r>
          </w:p>
        </w:tc>
        <w:tc>
          <w:tcPr>
            <w:tcW w:w="1295" w:type="dxa"/>
            <w:tcBorders>
              <w:top w:val="single" w:sz="2" w:space="0" w:color="808080" w:themeColor="text1" w:themeTint="7F"/>
              <w:bottom w:val="single" w:sz="2" w:space="0" w:color="808080" w:themeColor="text1" w:themeTint="7F"/>
            </w:tcBorders>
            <w:shd w:val="clear" w:color="auto" w:fill="999999"/>
          </w:tcPr>
          <w:p w14:paraId="151F611B" w14:textId="77777777" w:rsidR="000F6B0B" w:rsidRPr="00E3085B" w:rsidRDefault="000F6B0B" w:rsidP="00C32C1A">
            <w:pPr>
              <w:pStyle w:val="tabletextcenter"/>
              <w:keepNext/>
              <w:rPr>
                <w:b/>
              </w:rPr>
            </w:pPr>
            <w:r w:rsidRPr="00E3085B">
              <w:rPr>
                <w:b/>
              </w:rPr>
              <w:t>33.3%</w:t>
            </w:r>
          </w:p>
        </w:tc>
      </w:tr>
      <w:tr w:rsidR="000F6B0B" w:rsidRPr="00507F7B" w14:paraId="2F0DFD70" w14:textId="77777777" w:rsidTr="00381EE9">
        <w:tc>
          <w:tcPr>
            <w:tcW w:w="2512" w:type="dxa"/>
            <w:tcBorders>
              <w:top w:val="single" w:sz="2" w:space="0" w:color="808080" w:themeColor="text1" w:themeTint="7F"/>
            </w:tcBorders>
          </w:tcPr>
          <w:p w14:paraId="0B03D6FD" w14:textId="77777777" w:rsidR="000F6B0B" w:rsidRPr="00507F7B" w:rsidRDefault="00A51B6F" w:rsidP="00A51B6F">
            <w:pPr>
              <w:pStyle w:val="TableBullet"/>
              <w:numPr>
                <w:ilvl w:val="0"/>
                <w:numId w:val="0"/>
              </w:numPr>
              <w:ind w:left="130" w:hanging="130"/>
            </w:pPr>
            <w:r>
              <w:t xml:space="preserve">     </w:t>
            </w:r>
            <w:r w:rsidR="000F6B0B" w:rsidRPr="00507F7B">
              <w:t>JRRCs and JRCAs</w:t>
            </w:r>
            <w:r w:rsidR="000F6B0B">
              <w:t xml:space="preserve"> (n=24)</w:t>
            </w:r>
          </w:p>
        </w:tc>
        <w:tc>
          <w:tcPr>
            <w:tcW w:w="1294" w:type="dxa"/>
            <w:tcBorders>
              <w:top w:val="single" w:sz="2" w:space="0" w:color="808080" w:themeColor="text1" w:themeTint="7F"/>
            </w:tcBorders>
          </w:tcPr>
          <w:p w14:paraId="2D5B66C7" w14:textId="77777777" w:rsidR="000F6B0B" w:rsidRPr="00507F7B" w:rsidRDefault="000F6B0B" w:rsidP="00C32C1A">
            <w:pPr>
              <w:pStyle w:val="tabletextcenter"/>
              <w:keepNext/>
            </w:pPr>
            <w:r w:rsidRPr="004E7794">
              <w:t>25.0%</w:t>
            </w:r>
          </w:p>
        </w:tc>
        <w:tc>
          <w:tcPr>
            <w:tcW w:w="1294" w:type="dxa"/>
            <w:tcBorders>
              <w:top w:val="single" w:sz="2" w:space="0" w:color="808080" w:themeColor="text1" w:themeTint="7F"/>
            </w:tcBorders>
          </w:tcPr>
          <w:p w14:paraId="2682A2FB" w14:textId="77777777" w:rsidR="000F6B0B" w:rsidRPr="00507F7B" w:rsidRDefault="000F6B0B" w:rsidP="00C32C1A">
            <w:pPr>
              <w:pStyle w:val="tabletextcenter"/>
              <w:keepNext/>
            </w:pPr>
            <w:r w:rsidRPr="005B1DBC">
              <w:t>20.8%</w:t>
            </w:r>
          </w:p>
        </w:tc>
        <w:tc>
          <w:tcPr>
            <w:tcW w:w="1295" w:type="dxa"/>
            <w:tcBorders>
              <w:top w:val="single" w:sz="2" w:space="0" w:color="808080" w:themeColor="text1" w:themeTint="7F"/>
            </w:tcBorders>
          </w:tcPr>
          <w:p w14:paraId="7CB343FB" w14:textId="77777777" w:rsidR="000F6B0B" w:rsidRPr="00507F7B" w:rsidRDefault="000F6B0B" w:rsidP="00C32C1A">
            <w:pPr>
              <w:pStyle w:val="tabletextcenter"/>
              <w:keepNext/>
            </w:pPr>
            <w:r w:rsidRPr="00387148">
              <w:t>0.0%</w:t>
            </w:r>
          </w:p>
        </w:tc>
        <w:tc>
          <w:tcPr>
            <w:tcW w:w="1294" w:type="dxa"/>
            <w:tcBorders>
              <w:top w:val="single" w:sz="2" w:space="0" w:color="808080" w:themeColor="text1" w:themeTint="7F"/>
            </w:tcBorders>
          </w:tcPr>
          <w:p w14:paraId="0443FB5C" w14:textId="77777777" w:rsidR="000F6B0B" w:rsidRPr="00507F7B" w:rsidRDefault="000F6B0B" w:rsidP="00C32C1A">
            <w:pPr>
              <w:pStyle w:val="tabletextcenter"/>
              <w:keepNext/>
            </w:pPr>
            <w:r w:rsidRPr="002F2AD3">
              <w:t>29.2%</w:t>
            </w:r>
          </w:p>
        </w:tc>
        <w:tc>
          <w:tcPr>
            <w:tcW w:w="1295" w:type="dxa"/>
            <w:tcBorders>
              <w:top w:val="single" w:sz="2" w:space="0" w:color="808080" w:themeColor="text1" w:themeTint="7F"/>
            </w:tcBorders>
          </w:tcPr>
          <w:p w14:paraId="3F0E9F9C" w14:textId="77777777" w:rsidR="000F6B0B" w:rsidRPr="00507F7B" w:rsidRDefault="000F6B0B" w:rsidP="00C32C1A">
            <w:pPr>
              <w:pStyle w:val="tabletextcenter"/>
              <w:keepNext/>
              <w:rPr>
                <w:b/>
              </w:rPr>
            </w:pPr>
            <w:r w:rsidRPr="00B97B2F">
              <w:t>25.0%</w:t>
            </w:r>
          </w:p>
        </w:tc>
      </w:tr>
      <w:tr w:rsidR="000F6B0B" w:rsidRPr="00CD1826" w14:paraId="78C1B93A"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Borders>
              <w:bottom w:val="single" w:sz="2" w:space="0" w:color="808080" w:themeColor="text1" w:themeTint="7F"/>
            </w:tcBorders>
          </w:tcPr>
          <w:p w14:paraId="46C07C64" w14:textId="77777777" w:rsidR="000F6B0B" w:rsidRPr="00507F7B" w:rsidRDefault="00A51B6F" w:rsidP="00A51B6F">
            <w:pPr>
              <w:pStyle w:val="TableBullet"/>
              <w:numPr>
                <w:ilvl w:val="0"/>
                <w:numId w:val="0"/>
              </w:numPr>
              <w:ind w:left="130" w:hanging="130"/>
            </w:pPr>
            <w:r>
              <w:t xml:space="preserve">     </w:t>
            </w:r>
            <w:r w:rsidR="000F6B0B">
              <w:t>JRSOs (n=2)</w:t>
            </w:r>
          </w:p>
        </w:tc>
        <w:tc>
          <w:tcPr>
            <w:tcW w:w="1294" w:type="dxa"/>
            <w:tcBorders>
              <w:bottom w:val="single" w:sz="2" w:space="0" w:color="808080" w:themeColor="text1" w:themeTint="7F"/>
            </w:tcBorders>
          </w:tcPr>
          <w:p w14:paraId="6170E5D6" w14:textId="77777777" w:rsidR="000F6B0B" w:rsidRPr="006D322C" w:rsidRDefault="000F6B0B" w:rsidP="00C32C1A">
            <w:pPr>
              <w:pStyle w:val="tabletextcenter"/>
              <w:keepNext/>
            </w:pPr>
            <w:r w:rsidRPr="004E7794">
              <w:t>0.0%</w:t>
            </w:r>
          </w:p>
        </w:tc>
        <w:tc>
          <w:tcPr>
            <w:tcW w:w="1294" w:type="dxa"/>
            <w:tcBorders>
              <w:bottom w:val="single" w:sz="2" w:space="0" w:color="808080" w:themeColor="text1" w:themeTint="7F"/>
            </w:tcBorders>
          </w:tcPr>
          <w:p w14:paraId="432E36F5" w14:textId="77777777" w:rsidR="000F6B0B" w:rsidRPr="006D322C" w:rsidRDefault="000F6B0B" w:rsidP="00C32C1A">
            <w:pPr>
              <w:pStyle w:val="tabletextcenter"/>
              <w:keepNext/>
            </w:pPr>
            <w:r w:rsidRPr="005B1DBC">
              <w:t>0.0%</w:t>
            </w:r>
          </w:p>
        </w:tc>
        <w:tc>
          <w:tcPr>
            <w:tcW w:w="1295" w:type="dxa"/>
            <w:tcBorders>
              <w:bottom w:val="single" w:sz="2" w:space="0" w:color="808080" w:themeColor="text1" w:themeTint="7F"/>
            </w:tcBorders>
          </w:tcPr>
          <w:p w14:paraId="5EFF2447" w14:textId="77777777" w:rsidR="000F6B0B" w:rsidRPr="006D322C" w:rsidRDefault="000F6B0B" w:rsidP="00C32C1A">
            <w:pPr>
              <w:pStyle w:val="tabletextcenter"/>
              <w:keepNext/>
            </w:pPr>
            <w:r w:rsidRPr="00387148">
              <w:t>0.0%</w:t>
            </w:r>
          </w:p>
        </w:tc>
        <w:tc>
          <w:tcPr>
            <w:tcW w:w="1294" w:type="dxa"/>
            <w:tcBorders>
              <w:bottom w:val="single" w:sz="2" w:space="0" w:color="808080" w:themeColor="text1" w:themeTint="7F"/>
            </w:tcBorders>
          </w:tcPr>
          <w:p w14:paraId="7D1F985F" w14:textId="77777777" w:rsidR="000F6B0B" w:rsidRPr="006D322C" w:rsidRDefault="000F6B0B" w:rsidP="00C32C1A">
            <w:pPr>
              <w:pStyle w:val="tabletextcenter"/>
              <w:keepNext/>
            </w:pPr>
            <w:r w:rsidRPr="002F2AD3">
              <w:t>0.0%</w:t>
            </w:r>
          </w:p>
        </w:tc>
        <w:tc>
          <w:tcPr>
            <w:tcW w:w="1295" w:type="dxa"/>
            <w:tcBorders>
              <w:bottom w:val="single" w:sz="2" w:space="0" w:color="808080" w:themeColor="text1" w:themeTint="7F"/>
            </w:tcBorders>
          </w:tcPr>
          <w:p w14:paraId="402579E2" w14:textId="77777777" w:rsidR="000F6B0B" w:rsidRPr="00CD1826" w:rsidRDefault="000F6B0B" w:rsidP="00C32C1A">
            <w:pPr>
              <w:pStyle w:val="tabletextcenter"/>
              <w:keepNext/>
            </w:pPr>
            <w:r w:rsidRPr="00B97B2F">
              <w:t>100.0%</w:t>
            </w:r>
          </w:p>
        </w:tc>
      </w:tr>
      <w:tr w:rsidR="000F6B0B" w:rsidRPr="00CD1826" w14:paraId="2CD25324" w14:textId="77777777" w:rsidTr="00381EE9">
        <w:tc>
          <w:tcPr>
            <w:tcW w:w="2512" w:type="dxa"/>
            <w:tcBorders>
              <w:bottom w:val="single" w:sz="2" w:space="0" w:color="808080" w:themeColor="text1" w:themeTint="7F"/>
            </w:tcBorders>
          </w:tcPr>
          <w:p w14:paraId="3AEBD604" w14:textId="77777777" w:rsidR="000F6B0B" w:rsidRPr="00507F7B" w:rsidRDefault="00A51B6F" w:rsidP="00A51B6F">
            <w:pPr>
              <w:pStyle w:val="TableBullet"/>
              <w:numPr>
                <w:ilvl w:val="0"/>
                <w:numId w:val="0"/>
              </w:numPr>
            </w:pPr>
            <w:r>
              <w:t xml:space="preserve">     </w:t>
            </w:r>
            <w:r w:rsidR="000F6B0B">
              <w:t>On-Call Staff (n=1)</w:t>
            </w:r>
          </w:p>
        </w:tc>
        <w:tc>
          <w:tcPr>
            <w:tcW w:w="1294" w:type="dxa"/>
            <w:tcBorders>
              <w:bottom w:val="single" w:sz="2" w:space="0" w:color="808080" w:themeColor="text1" w:themeTint="7F"/>
            </w:tcBorders>
          </w:tcPr>
          <w:p w14:paraId="047E1952" w14:textId="77777777" w:rsidR="000F6B0B" w:rsidRPr="006D322C" w:rsidRDefault="000F6B0B" w:rsidP="00381EE9">
            <w:pPr>
              <w:pStyle w:val="tabletextcenter"/>
            </w:pPr>
            <w:r w:rsidRPr="004E7794">
              <w:t>0.0%</w:t>
            </w:r>
          </w:p>
        </w:tc>
        <w:tc>
          <w:tcPr>
            <w:tcW w:w="1294" w:type="dxa"/>
            <w:tcBorders>
              <w:bottom w:val="single" w:sz="2" w:space="0" w:color="808080" w:themeColor="text1" w:themeTint="7F"/>
            </w:tcBorders>
          </w:tcPr>
          <w:p w14:paraId="749E054D" w14:textId="77777777" w:rsidR="000F6B0B" w:rsidRPr="006D322C" w:rsidRDefault="000F6B0B" w:rsidP="00381EE9">
            <w:pPr>
              <w:pStyle w:val="tabletextcenter"/>
            </w:pPr>
            <w:r w:rsidRPr="005B1DBC">
              <w:t>0.0%</w:t>
            </w:r>
          </w:p>
        </w:tc>
        <w:tc>
          <w:tcPr>
            <w:tcW w:w="1295" w:type="dxa"/>
            <w:tcBorders>
              <w:bottom w:val="single" w:sz="2" w:space="0" w:color="808080" w:themeColor="text1" w:themeTint="7F"/>
            </w:tcBorders>
          </w:tcPr>
          <w:p w14:paraId="6D3E42BF" w14:textId="77777777" w:rsidR="000F6B0B" w:rsidRPr="006D322C" w:rsidRDefault="000F6B0B" w:rsidP="00381EE9">
            <w:pPr>
              <w:pStyle w:val="tabletextcenter"/>
            </w:pPr>
            <w:r w:rsidRPr="00387148">
              <w:t>0.0%</w:t>
            </w:r>
          </w:p>
        </w:tc>
        <w:tc>
          <w:tcPr>
            <w:tcW w:w="1294" w:type="dxa"/>
            <w:tcBorders>
              <w:bottom w:val="single" w:sz="2" w:space="0" w:color="808080" w:themeColor="text1" w:themeTint="7F"/>
            </w:tcBorders>
          </w:tcPr>
          <w:p w14:paraId="08938942" w14:textId="77777777" w:rsidR="000F6B0B" w:rsidRPr="006D322C" w:rsidRDefault="000F6B0B" w:rsidP="00381EE9">
            <w:pPr>
              <w:pStyle w:val="tabletextcenter"/>
            </w:pPr>
            <w:r w:rsidRPr="002F2AD3">
              <w:t>0.0%</w:t>
            </w:r>
          </w:p>
        </w:tc>
        <w:tc>
          <w:tcPr>
            <w:tcW w:w="1295" w:type="dxa"/>
            <w:tcBorders>
              <w:bottom w:val="single" w:sz="2" w:space="0" w:color="808080" w:themeColor="text1" w:themeTint="7F"/>
            </w:tcBorders>
          </w:tcPr>
          <w:p w14:paraId="1F0563CC" w14:textId="77777777" w:rsidR="000F6B0B" w:rsidRPr="00CD1826" w:rsidRDefault="000F6B0B" w:rsidP="00381EE9">
            <w:pPr>
              <w:pStyle w:val="tabletextcenter"/>
            </w:pPr>
            <w:r w:rsidRPr="00B97B2F">
              <w:t>100.0%</w:t>
            </w:r>
          </w:p>
        </w:tc>
      </w:tr>
      <w:tr w:rsidR="000F6B0B" w:rsidRPr="00CD1826" w14:paraId="7A4FC190" w14:textId="77777777" w:rsidTr="00381EE9">
        <w:trPr>
          <w:cnfStyle w:val="000000100000" w:firstRow="0" w:lastRow="0" w:firstColumn="0" w:lastColumn="0" w:oddVBand="0" w:evenVBand="0" w:oddHBand="1" w:evenHBand="0" w:firstRowFirstColumn="0" w:firstRowLastColumn="0" w:lastRowFirstColumn="0" w:lastRowLastColumn="0"/>
          <w:trHeight w:val="265"/>
        </w:trPr>
        <w:tc>
          <w:tcPr>
            <w:tcW w:w="2512" w:type="dxa"/>
            <w:tcBorders>
              <w:top w:val="single" w:sz="2" w:space="0" w:color="808080" w:themeColor="text1" w:themeTint="7F"/>
              <w:bottom w:val="single" w:sz="2" w:space="0" w:color="808080" w:themeColor="text1" w:themeTint="7F"/>
            </w:tcBorders>
            <w:shd w:val="clear" w:color="auto" w:fill="999999"/>
          </w:tcPr>
          <w:p w14:paraId="1BCC513D" w14:textId="77777777" w:rsidR="000F6B0B" w:rsidRPr="00507F7B" w:rsidRDefault="000F6B0B" w:rsidP="00381EE9">
            <w:pPr>
              <w:pStyle w:val="TableTextBoldRight"/>
              <w:jc w:val="left"/>
              <w:rPr>
                <w:rStyle w:val="TableTextBold"/>
              </w:rPr>
            </w:pPr>
            <w:r>
              <w:t>Green Hill (n=73)</w:t>
            </w:r>
          </w:p>
        </w:tc>
        <w:tc>
          <w:tcPr>
            <w:tcW w:w="1294" w:type="dxa"/>
            <w:tcBorders>
              <w:top w:val="single" w:sz="2" w:space="0" w:color="808080" w:themeColor="text1" w:themeTint="7F"/>
              <w:bottom w:val="single" w:sz="2" w:space="0" w:color="808080" w:themeColor="text1" w:themeTint="7F"/>
            </w:tcBorders>
            <w:shd w:val="clear" w:color="auto" w:fill="999999"/>
          </w:tcPr>
          <w:p w14:paraId="08555DBE" w14:textId="77777777" w:rsidR="000F6B0B" w:rsidRPr="00E3085B" w:rsidRDefault="000F6B0B" w:rsidP="00381EE9">
            <w:pPr>
              <w:pStyle w:val="tabletextcenter"/>
              <w:rPr>
                <w:rStyle w:val="TableTextBold"/>
                <w:b w:val="0"/>
              </w:rPr>
            </w:pPr>
            <w:r w:rsidRPr="00E3085B">
              <w:rPr>
                <w:b/>
              </w:rPr>
              <w:t>15.1%</w:t>
            </w:r>
          </w:p>
        </w:tc>
        <w:tc>
          <w:tcPr>
            <w:tcW w:w="1294" w:type="dxa"/>
            <w:tcBorders>
              <w:top w:val="single" w:sz="2" w:space="0" w:color="808080" w:themeColor="text1" w:themeTint="7F"/>
              <w:bottom w:val="single" w:sz="2" w:space="0" w:color="808080" w:themeColor="text1" w:themeTint="7F"/>
            </w:tcBorders>
            <w:shd w:val="clear" w:color="auto" w:fill="999999"/>
          </w:tcPr>
          <w:p w14:paraId="4DF9E790" w14:textId="77777777" w:rsidR="000F6B0B" w:rsidRPr="00E3085B" w:rsidRDefault="000F6B0B" w:rsidP="00381EE9">
            <w:pPr>
              <w:pStyle w:val="tabletextcenter"/>
              <w:rPr>
                <w:rStyle w:val="TableTextBold"/>
                <w:b w:val="0"/>
              </w:rPr>
            </w:pPr>
            <w:r w:rsidRPr="00E3085B">
              <w:rPr>
                <w:b/>
              </w:rPr>
              <w:t>15.1%</w:t>
            </w:r>
          </w:p>
        </w:tc>
        <w:tc>
          <w:tcPr>
            <w:tcW w:w="1295" w:type="dxa"/>
            <w:tcBorders>
              <w:top w:val="single" w:sz="2" w:space="0" w:color="808080" w:themeColor="text1" w:themeTint="7F"/>
              <w:bottom w:val="single" w:sz="2" w:space="0" w:color="808080" w:themeColor="text1" w:themeTint="7F"/>
            </w:tcBorders>
            <w:shd w:val="clear" w:color="auto" w:fill="999999"/>
          </w:tcPr>
          <w:p w14:paraId="0735593B" w14:textId="77777777" w:rsidR="000F6B0B" w:rsidRPr="00E3085B" w:rsidRDefault="000F6B0B" w:rsidP="00381EE9">
            <w:pPr>
              <w:pStyle w:val="tabletextcenter"/>
              <w:rPr>
                <w:rStyle w:val="TableTextBold"/>
                <w:b w:val="0"/>
              </w:rPr>
            </w:pPr>
            <w:r w:rsidRPr="00E3085B">
              <w:rPr>
                <w:b/>
              </w:rPr>
              <w:t>11.0%</w:t>
            </w:r>
          </w:p>
        </w:tc>
        <w:tc>
          <w:tcPr>
            <w:tcW w:w="1294" w:type="dxa"/>
            <w:tcBorders>
              <w:top w:val="single" w:sz="2" w:space="0" w:color="808080" w:themeColor="text1" w:themeTint="7F"/>
              <w:bottom w:val="single" w:sz="2" w:space="0" w:color="808080" w:themeColor="text1" w:themeTint="7F"/>
            </w:tcBorders>
            <w:shd w:val="clear" w:color="auto" w:fill="999999"/>
          </w:tcPr>
          <w:p w14:paraId="24ACDEB6" w14:textId="77777777" w:rsidR="000F6B0B" w:rsidRPr="00E3085B" w:rsidRDefault="000F6B0B" w:rsidP="00381EE9">
            <w:pPr>
              <w:pStyle w:val="tabletextcenter"/>
              <w:rPr>
                <w:rStyle w:val="TableTextBold"/>
                <w:b w:val="0"/>
              </w:rPr>
            </w:pPr>
            <w:r w:rsidRPr="00E3085B">
              <w:rPr>
                <w:b/>
              </w:rPr>
              <w:t>42.5%</w:t>
            </w:r>
          </w:p>
        </w:tc>
        <w:tc>
          <w:tcPr>
            <w:tcW w:w="1295" w:type="dxa"/>
            <w:tcBorders>
              <w:top w:val="single" w:sz="2" w:space="0" w:color="808080" w:themeColor="text1" w:themeTint="7F"/>
              <w:bottom w:val="single" w:sz="2" w:space="0" w:color="808080" w:themeColor="text1" w:themeTint="7F"/>
            </w:tcBorders>
            <w:shd w:val="clear" w:color="auto" w:fill="999999"/>
          </w:tcPr>
          <w:p w14:paraId="16E8C163" w14:textId="77777777" w:rsidR="000F6B0B" w:rsidRPr="00E3085B" w:rsidRDefault="000F6B0B" w:rsidP="00381EE9">
            <w:pPr>
              <w:pStyle w:val="tabletextcenter"/>
              <w:rPr>
                <w:rStyle w:val="TableTextBold"/>
                <w:b w:val="0"/>
              </w:rPr>
            </w:pPr>
            <w:r w:rsidRPr="00E3085B">
              <w:rPr>
                <w:b/>
              </w:rPr>
              <w:t>16.4%</w:t>
            </w:r>
          </w:p>
        </w:tc>
      </w:tr>
      <w:tr w:rsidR="000F6B0B" w:rsidRPr="00CD1826" w14:paraId="7318DA3E" w14:textId="77777777" w:rsidTr="00381EE9">
        <w:tc>
          <w:tcPr>
            <w:tcW w:w="2512" w:type="dxa"/>
            <w:tcBorders>
              <w:top w:val="single" w:sz="2" w:space="0" w:color="808080" w:themeColor="text1" w:themeTint="7F"/>
            </w:tcBorders>
          </w:tcPr>
          <w:p w14:paraId="60C19FE8" w14:textId="77777777" w:rsidR="000F6B0B" w:rsidRPr="004A5C18" w:rsidRDefault="00A51B6F" w:rsidP="00A51B6F">
            <w:pPr>
              <w:pStyle w:val="TableBullet"/>
              <w:numPr>
                <w:ilvl w:val="0"/>
                <w:numId w:val="0"/>
              </w:numPr>
              <w:ind w:left="130" w:hanging="130"/>
              <w:rPr>
                <w:b/>
              </w:rPr>
            </w:pPr>
            <w:r>
              <w:t xml:space="preserve">    JR</w:t>
            </w:r>
            <w:r w:rsidR="000F6B0B" w:rsidRPr="00507F7B">
              <w:t>RCs and JRCAs</w:t>
            </w:r>
            <w:r w:rsidR="000F6B0B">
              <w:t xml:space="preserve"> (n=37)</w:t>
            </w:r>
          </w:p>
        </w:tc>
        <w:tc>
          <w:tcPr>
            <w:tcW w:w="1294" w:type="dxa"/>
            <w:tcBorders>
              <w:top w:val="single" w:sz="2" w:space="0" w:color="808080" w:themeColor="text1" w:themeTint="7F"/>
            </w:tcBorders>
          </w:tcPr>
          <w:p w14:paraId="7F206503" w14:textId="77777777" w:rsidR="000F6B0B" w:rsidRPr="006D322C" w:rsidRDefault="000F6B0B" w:rsidP="00381EE9">
            <w:pPr>
              <w:pStyle w:val="tabletextcenter"/>
            </w:pPr>
            <w:r w:rsidRPr="004E7794">
              <w:t>13.5%</w:t>
            </w:r>
          </w:p>
        </w:tc>
        <w:tc>
          <w:tcPr>
            <w:tcW w:w="1294" w:type="dxa"/>
            <w:tcBorders>
              <w:top w:val="single" w:sz="2" w:space="0" w:color="808080" w:themeColor="text1" w:themeTint="7F"/>
            </w:tcBorders>
          </w:tcPr>
          <w:p w14:paraId="18D02D36" w14:textId="77777777" w:rsidR="000F6B0B" w:rsidRPr="006D322C" w:rsidRDefault="000F6B0B" w:rsidP="00381EE9">
            <w:pPr>
              <w:pStyle w:val="tabletextcenter"/>
            </w:pPr>
            <w:r w:rsidRPr="005B1DBC">
              <w:t>13.5%</w:t>
            </w:r>
          </w:p>
        </w:tc>
        <w:tc>
          <w:tcPr>
            <w:tcW w:w="1295" w:type="dxa"/>
            <w:tcBorders>
              <w:top w:val="single" w:sz="2" w:space="0" w:color="808080" w:themeColor="text1" w:themeTint="7F"/>
            </w:tcBorders>
          </w:tcPr>
          <w:p w14:paraId="056333AF" w14:textId="77777777" w:rsidR="000F6B0B" w:rsidRPr="006D322C" w:rsidRDefault="000F6B0B" w:rsidP="00381EE9">
            <w:pPr>
              <w:pStyle w:val="tabletextcenter"/>
            </w:pPr>
            <w:r w:rsidRPr="00387148">
              <w:t>13.5%</w:t>
            </w:r>
          </w:p>
        </w:tc>
        <w:tc>
          <w:tcPr>
            <w:tcW w:w="1294" w:type="dxa"/>
            <w:tcBorders>
              <w:top w:val="single" w:sz="2" w:space="0" w:color="808080" w:themeColor="text1" w:themeTint="7F"/>
            </w:tcBorders>
          </w:tcPr>
          <w:p w14:paraId="49C2637E" w14:textId="77777777" w:rsidR="000F6B0B" w:rsidRPr="006D322C" w:rsidRDefault="000F6B0B" w:rsidP="00381EE9">
            <w:pPr>
              <w:pStyle w:val="tabletextcenter"/>
            </w:pPr>
            <w:r w:rsidRPr="002F2AD3">
              <w:t>37.8%</w:t>
            </w:r>
          </w:p>
        </w:tc>
        <w:tc>
          <w:tcPr>
            <w:tcW w:w="1295" w:type="dxa"/>
            <w:tcBorders>
              <w:top w:val="single" w:sz="2" w:space="0" w:color="808080" w:themeColor="text1" w:themeTint="7F"/>
            </w:tcBorders>
          </w:tcPr>
          <w:p w14:paraId="416FA4FA" w14:textId="77777777" w:rsidR="000F6B0B" w:rsidRPr="00CD1826" w:rsidRDefault="000F6B0B" w:rsidP="00381EE9">
            <w:pPr>
              <w:pStyle w:val="tabletextcenter"/>
            </w:pPr>
            <w:r w:rsidRPr="00B97B2F">
              <w:t>21.6%</w:t>
            </w:r>
          </w:p>
        </w:tc>
      </w:tr>
      <w:tr w:rsidR="000F6B0B" w:rsidRPr="00CD1826" w14:paraId="65EE74DD"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Borders>
              <w:bottom w:val="single" w:sz="2" w:space="0" w:color="808080" w:themeColor="text1" w:themeTint="7F"/>
            </w:tcBorders>
          </w:tcPr>
          <w:p w14:paraId="1B796B0C" w14:textId="77777777" w:rsidR="000F6B0B" w:rsidRPr="00507F7B" w:rsidRDefault="000F6B0B" w:rsidP="00381EE9">
            <w:pPr>
              <w:pStyle w:val="TableText"/>
              <w:ind w:firstLine="180"/>
            </w:pPr>
            <w:r>
              <w:t>JRSOs (n=23)</w:t>
            </w:r>
          </w:p>
        </w:tc>
        <w:tc>
          <w:tcPr>
            <w:tcW w:w="1294" w:type="dxa"/>
            <w:tcBorders>
              <w:bottom w:val="single" w:sz="2" w:space="0" w:color="808080" w:themeColor="text1" w:themeTint="7F"/>
            </w:tcBorders>
          </w:tcPr>
          <w:p w14:paraId="1C0C5BD7" w14:textId="77777777" w:rsidR="000F6B0B" w:rsidRDefault="000F6B0B" w:rsidP="00381EE9">
            <w:pPr>
              <w:pStyle w:val="tabletextcenter"/>
            </w:pPr>
            <w:r w:rsidRPr="004E7794">
              <w:t>13.0%</w:t>
            </w:r>
          </w:p>
        </w:tc>
        <w:tc>
          <w:tcPr>
            <w:tcW w:w="1294" w:type="dxa"/>
            <w:tcBorders>
              <w:bottom w:val="single" w:sz="2" w:space="0" w:color="808080" w:themeColor="text1" w:themeTint="7F"/>
            </w:tcBorders>
          </w:tcPr>
          <w:p w14:paraId="212C0E97" w14:textId="77777777" w:rsidR="000F6B0B" w:rsidRDefault="000F6B0B" w:rsidP="00381EE9">
            <w:pPr>
              <w:pStyle w:val="tabletextcenter"/>
            </w:pPr>
            <w:r w:rsidRPr="005B1DBC">
              <w:t>17.4%</w:t>
            </w:r>
          </w:p>
        </w:tc>
        <w:tc>
          <w:tcPr>
            <w:tcW w:w="1295" w:type="dxa"/>
            <w:tcBorders>
              <w:bottom w:val="single" w:sz="2" w:space="0" w:color="808080" w:themeColor="text1" w:themeTint="7F"/>
            </w:tcBorders>
          </w:tcPr>
          <w:p w14:paraId="32387546" w14:textId="77777777" w:rsidR="000F6B0B" w:rsidRDefault="000F6B0B" w:rsidP="00381EE9">
            <w:pPr>
              <w:pStyle w:val="tabletextcenter"/>
            </w:pPr>
            <w:r w:rsidRPr="00387148">
              <w:t>8.7%</w:t>
            </w:r>
          </w:p>
        </w:tc>
        <w:tc>
          <w:tcPr>
            <w:tcW w:w="1294" w:type="dxa"/>
            <w:tcBorders>
              <w:bottom w:val="single" w:sz="2" w:space="0" w:color="808080" w:themeColor="text1" w:themeTint="7F"/>
            </w:tcBorders>
          </w:tcPr>
          <w:p w14:paraId="3AF7BDAB" w14:textId="77777777" w:rsidR="000F6B0B" w:rsidRPr="00CD1826" w:rsidRDefault="000F6B0B" w:rsidP="00381EE9">
            <w:pPr>
              <w:pStyle w:val="tabletextcenter"/>
            </w:pPr>
            <w:r w:rsidRPr="002F2AD3">
              <w:t>52.2%</w:t>
            </w:r>
          </w:p>
        </w:tc>
        <w:tc>
          <w:tcPr>
            <w:tcW w:w="1295" w:type="dxa"/>
            <w:tcBorders>
              <w:bottom w:val="single" w:sz="2" w:space="0" w:color="808080" w:themeColor="text1" w:themeTint="7F"/>
            </w:tcBorders>
          </w:tcPr>
          <w:p w14:paraId="4D342EA6" w14:textId="77777777" w:rsidR="000F6B0B" w:rsidRPr="00CD1826" w:rsidRDefault="000F6B0B" w:rsidP="00381EE9">
            <w:pPr>
              <w:pStyle w:val="tabletextcenter"/>
            </w:pPr>
            <w:r w:rsidRPr="00B97B2F">
              <w:t>8.7%</w:t>
            </w:r>
          </w:p>
        </w:tc>
      </w:tr>
      <w:tr w:rsidR="000F6B0B" w:rsidRPr="00CD1826" w14:paraId="46C8698A" w14:textId="77777777" w:rsidTr="00381EE9">
        <w:tc>
          <w:tcPr>
            <w:tcW w:w="2512" w:type="dxa"/>
            <w:tcBorders>
              <w:bottom w:val="single" w:sz="2" w:space="0" w:color="808080" w:themeColor="text1" w:themeTint="7F"/>
            </w:tcBorders>
          </w:tcPr>
          <w:p w14:paraId="080624F8" w14:textId="77777777" w:rsidR="000F6B0B" w:rsidRPr="004A5C18" w:rsidRDefault="000F6B0B" w:rsidP="00381EE9">
            <w:pPr>
              <w:pStyle w:val="TableText"/>
              <w:ind w:firstLine="180"/>
              <w:rPr>
                <w:b/>
              </w:rPr>
            </w:pPr>
            <w:r>
              <w:t>On-Call Staff (n=2134)</w:t>
            </w:r>
          </w:p>
        </w:tc>
        <w:tc>
          <w:tcPr>
            <w:tcW w:w="1294" w:type="dxa"/>
            <w:tcBorders>
              <w:bottom w:val="single" w:sz="2" w:space="0" w:color="808080" w:themeColor="text1" w:themeTint="7F"/>
            </w:tcBorders>
          </w:tcPr>
          <w:p w14:paraId="6EC4FA09" w14:textId="77777777" w:rsidR="000F6B0B" w:rsidRDefault="000F6B0B" w:rsidP="00381EE9">
            <w:pPr>
              <w:pStyle w:val="tabletextcenter"/>
            </w:pPr>
            <w:r w:rsidRPr="004E7794">
              <w:t>23.1%</w:t>
            </w:r>
          </w:p>
        </w:tc>
        <w:tc>
          <w:tcPr>
            <w:tcW w:w="1294" w:type="dxa"/>
            <w:tcBorders>
              <w:bottom w:val="single" w:sz="2" w:space="0" w:color="808080" w:themeColor="text1" w:themeTint="7F"/>
            </w:tcBorders>
          </w:tcPr>
          <w:p w14:paraId="15B9111A" w14:textId="77777777" w:rsidR="000F6B0B" w:rsidRDefault="000F6B0B" w:rsidP="00381EE9">
            <w:pPr>
              <w:pStyle w:val="tabletextcenter"/>
            </w:pPr>
            <w:r w:rsidRPr="005B1DBC">
              <w:t>15.4%</w:t>
            </w:r>
          </w:p>
        </w:tc>
        <w:tc>
          <w:tcPr>
            <w:tcW w:w="1295" w:type="dxa"/>
            <w:tcBorders>
              <w:bottom w:val="single" w:sz="2" w:space="0" w:color="808080" w:themeColor="text1" w:themeTint="7F"/>
            </w:tcBorders>
          </w:tcPr>
          <w:p w14:paraId="77D1C039" w14:textId="77777777" w:rsidR="000F6B0B" w:rsidRDefault="000F6B0B" w:rsidP="00381EE9">
            <w:pPr>
              <w:pStyle w:val="tabletextcenter"/>
            </w:pPr>
            <w:r w:rsidRPr="00387148">
              <w:t>7.7%</w:t>
            </w:r>
          </w:p>
        </w:tc>
        <w:tc>
          <w:tcPr>
            <w:tcW w:w="1294" w:type="dxa"/>
            <w:tcBorders>
              <w:bottom w:val="single" w:sz="2" w:space="0" w:color="808080" w:themeColor="text1" w:themeTint="7F"/>
            </w:tcBorders>
          </w:tcPr>
          <w:p w14:paraId="44C84A3C" w14:textId="77777777" w:rsidR="000F6B0B" w:rsidRPr="00CD1826" w:rsidRDefault="000F6B0B" w:rsidP="00381EE9">
            <w:pPr>
              <w:pStyle w:val="tabletextcenter"/>
            </w:pPr>
            <w:r w:rsidRPr="002F2AD3">
              <w:t>38.5%</w:t>
            </w:r>
          </w:p>
        </w:tc>
        <w:tc>
          <w:tcPr>
            <w:tcW w:w="1295" w:type="dxa"/>
            <w:tcBorders>
              <w:bottom w:val="single" w:sz="2" w:space="0" w:color="808080" w:themeColor="text1" w:themeTint="7F"/>
            </w:tcBorders>
          </w:tcPr>
          <w:p w14:paraId="52D4BFA1" w14:textId="77777777" w:rsidR="000F6B0B" w:rsidRPr="00CD1826" w:rsidRDefault="000F6B0B" w:rsidP="00381EE9">
            <w:pPr>
              <w:pStyle w:val="tabletextcenter"/>
            </w:pPr>
            <w:r w:rsidRPr="00B97B2F">
              <w:t>15.4%</w:t>
            </w:r>
          </w:p>
        </w:tc>
      </w:tr>
      <w:tr w:rsidR="000F6B0B" w:rsidRPr="00CD1826" w14:paraId="662ABBA2"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Borders>
              <w:top w:val="single" w:sz="2" w:space="0" w:color="808080" w:themeColor="text1" w:themeTint="7F"/>
              <w:bottom w:val="single" w:sz="2" w:space="0" w:color="808080" w:themeColor="text1" w:themeTint="7F"/>
            </w:tcBorders>
            <w:shd w:val="clear" w:color="auto" w:fill="999999"/>
          </w:tcPr>
          <w:p w14:paraId="1185BC1C" w14:textId="77777777" w:rsidR="000F6B0B" w:rsidRPr="00CD1826" w:rsidRDefault="000F6B0B" w:rsidP="00381EE9">
            <w:pPr>
              <w:pStyle w:val="TableText"/>
            </w:pPr>
            <w:r>
              <w:rPr>
                <w:b/>
              </w:rPr>
              <w:t xml:space="preserve">Naselle </w:t>
            </w:r>
            <w:r w:rsidRPr="0052097A">
              <w:rPr>
                <w:b/>
              </w:rPr>
              <w:t>(n=2</w:t>
            </w:r>
            <w:r>
              <w:rPr>
                <w:b/>
              </w:rPr>
              <w:t>7</w:t>
            </w:r>
            <w:r w:rsidRPr="0052097A">
              <w:rPr>
                <w:b/>
              </w:rPr>
              <w:t>)</w:t>
            </w:r>
          </w:p>
        </w:tc>
        <w:tc>
          <w:tcPr>
            <w:tcW w:w="1294" w:type="dxa"/>
            <w:tcBorders>
              <w:top w:val="single" w:sz="2" w:space="0" w:color="808080" w:themeColor="text1" w:themeTint="7F"/>
              <w:bottom w:val="single" w:sz="2" w:space="0" w:color="808080" w:themeColor="text1" w:themeTint="7F"/>
            </w:tcBorders>
            <w:shd w:val="clear" w:color="auto" w:fill="999999"/>
          </w:tcPr>
          <w:p w14:paraId="528E4401" w14:textId="77777777" w:rsidR="000F6B0B" w:rsidRPr="00E3085B" w:rsidRDefault="000F6B0B" w:rsidP="00381EE9">
            <w:pPr>
              <w:pStyle w:val="tabletextcenter"/>
              <w:rPr>
                <w:b/>
              </w:rPr>
            </w:pPr>
            <w:r w:rsidRPr="00E3085B">
              <w:rPr>
                <w:b/>
              </w:rPr>
              <w:t>0.0%</w:t>
            </w:r>
          </w:p>
        </w:tc>
        <w:tc>
          <w:tcPr>
            <w:tcW w:w="1294" w:type="dxa"/>
            <w:tcBorders>
              <w:top w:val="single" w:sz="2" w:space="0" w:color="808080" w:themeColor="text1" w:themeTint="7F"/>
              <w:bottom w:val="single" w:sz="2" w:space="0" w:color="808080" w:themeColor="text1" w:themeTint="7F"/>
            </w:tcBorders>
            <w:shd w:val="clear" w:color="auto" w:fill="999999"/>
          </w:tcPr>
          <w:p w14:paraId="36D3BF4B" w14:textId="77777777" w:rsidR="000F6B0B" w:rsidRPr="00E3085B" w:rsidRDefault="000F6B0B" w:rsidP="00381EE9">
            <w:pPr>
              <w:pStyle w:val="tabletextcenter"/>
              <w:rPr>
                <w:b/>
              </w:rPr>
            </w:pPr>
            <w:r w:rsidRPr="00E3085B">
              <w:rPr>
                <w:b/>
              </w:rPr>
              <w:t>18.5%</w:t>
            </w:r>
          </w:p>
        </w:tc>
        <w:tc>
          <w:tcPr>
            <w:tcW w:w="1295" w:type="dxa"/>
            <w:tcBorders>
              <w:top w:val="single" w:sz="2" w:space="0" w:color="808080" w:themeColor="text1" w:themeTint="7F"/>
              <w:bottom w:val="single" w:sz="2" w:space="0" w:color="808080" w:themeColor="text1" w:themeTint="7F"/>
            </w:tcBorders>
            <w:shd w:val="clear" w:color="auto" w:fill="999999"/>
          </w:tcPr>
          <w:p w14:paraId="745E6D6B" w14:textId="77777777" w:rsidR="000F6B0B" w:rsidRPr="00E3085B" w:rsidRDefault="000F6B0B" w:rsidP="00381EE9">
            <w:pPr>
              <w:pStyle w:val="tabletextcenter"/>
              <w:rPr>
                <w:b/>
              </w:rPr>
            </w:pPr>
            <w:r w:rsidRPr="00E3085B">
              <w:rPr>
                <w:b/>
              </w:rPr>
              <w:t>11.1%</w:t>
            </w:r>
          </w:p>
        </w:tc>
        <w:tc>
          <w:tcPr>
            <w:tcW w:w="1294" w:type="dxa"/>
            <w:tcBorders>
              <w:top w:val="single" w:sz="2" w:space="0" w:color="808080" w:themeColor="text1" w:themeTint="7F"/>
              <w:bottom w:val="single" w:sz="2" w:space="0" w:color="808080" w:themeColor="text1" w:themeTint="7F"/>
            </w:tcBorders>
            <w:shd w:val="clear" w:color="auto" w:fill="999999"/>
          </w:tcPr>
          <w:p w14:paraId="6598A585" w14:textId="77777777" w:rsidR="000F6B0B" w:rsidRPr="00E3085B" w:rsidRDefault="000F6B0B" w:rsidP="00381EE9">
            <w:pPr>
              <w:pStyle w:val="tabletextcenter"/>
              <w:rPr>
                <w:b/>
              </w:rPr>
            </w:pPr>
            <w:r w:rsidRPr="00E3085B">
              <w:rPr>
                <w:b/>
              </w:rPr>
              <w:t>44.4%</w:t>
            </w:r>
          </w:p>
        </w:tc>
        <w:tc>
          <w:tcPr>
            <w:tcW w:w="1295" w:type="dxa"/>
            <w:tcBorders>
              <w:top w:val="single" w:sz="2" w:space="0" w:color="808080" w:themeColor="text1" w:themeTint="7F"/>
              <w:bottom w:val="single" w:sz="2" w:space="0" w:color="808080" w:themeColor="text1" w:themeTint="7F"/>
            </w:tcBorders>
            <w:shd w:val="clear" w:color="auto" w:fill="999999"/>
          </w:tcPr>
          <w:p w14:paraId="2C12BEB4" w14:textId="77777777" w:rsidR="000F6B0B" w:rsidRPr="00E3085B" w:rsidRDefault="000F6B0B" w:rsidP="00381EE9">
            <w:pPr>
              <w:pStyle w:val="tabletextcenter"/>
              <w:rPr>
                <w:b/>
              </w:rPr>
            </w:pPr>
            <w:r w:rsidRPr="00E3085B">
              <w:rPr>
                <w:b/>
              </w:rPr>
              <w:t>25.9%</w:t>
            </w:r>
          </w:p>
        </w:tc>
      </w:tr>
      <w:tr w:rsidR="000F6B0B" w:rsidRPr="00CD1826" w14:paraId="33CD639F" w14:textId="77777777" w:rsidTr="00381EE9">
        <w:tc>
          <w:tcPr>
            <w:tcW w:w="2512" w:type="dxa"/>
            <w:tcBorders>
              <w:top w:val="single" w:sz="2" w:space="0" w:color="808080" w:themeColor="text1" w:themeTint="7F"/>
            </w:tcBorders>
          </w:tcPr>
          <w:p w14:paraId="106D1131" w14:textId="77777777" w:rsidR="000F6B0B" w:rsidRPr="004A5C18" w:rsidRDefault="000F6B0B" w:rsidP="00381EE9">
            <w:pPr>
              <w:pStyle w:val="TableText"/>
              <w:ind w:firstLine="180"/>
              <w:rPr>
                <w:b/>
              </w:rPr>
            </w:pPr>
            <w:r w:rsidRPr="00507F7B">
              <w:t>JRRCs and JRCAs</w:t>
            </w:r>
            <w:r>
              <w:t xml:space="preserve"> (n=18)</w:t>
            </w:r>
          </w:p>
        </w:tc>
        <w:tc>
          <w:tcPr>
            <w:tcW w:w="1294" w:type="dxa"/>
            <w:tcBorders>
              <w:top w:val="single" w:sz="2" w:space="0" w:color="808080" w:themeColor="text1" w:themeTint="7F"/>
            </w:tcBorders>
          </w:tcPr>
          <w:p w14:paraId="43394863" w14:textId="77777777" w:rsidR="000F6B0B" w:rsidRPr="002C1885" w:rsidRDefault="000F6B0B" w:rsidP="00381EE9">
            <w:pPr>
              <w:pStyle w:val="tabletextcenter"/>
              <w:rPr>
                <w:b/>
              </w:rPr>
            </w:pPr>
            <w:r w:rsidRPr="004E7794">
              <w:t>0.0%</w:t>
            </w:r>
          </w:p>
        </w:tc>
        <w:tc>
          <w:tcPr>
            <w:tcW w:w="1294" w:type="dxa"/>
            <w:tcBorders>
              <w:top w:val="single" w:sz="2" w:space="0" w:color="808080" w:themeColor="text1" w:themeTint="7F"/>
            </w:tcBorders>
          </w:tcPr>
          <w:p w14:paraId="079AD1AA" w14:textId="77777777" w:rsidR="000F6B0B" w:rsidRPr="002C1885" w:rsidRDefault="000F6B0B" w:rsidP="00381EE9">
            <w:pPr>
              <w:pStyle w:val="tabletextcenter"/>
              <w:rPr>
                <w:b/>
              </w:rPr>
            </w:pPr>
            <w:r w:rsidRPr="005B1DBC">
              <w:t>11.1%</w:t>
            </w:r>
          </w:p>
        </w:tc>
        <w:tc>
          <w:tcPr>
            <w:tcW w:w="1295" w:type="dxa"/>
            <w:tcBorders>
              <w:top w:val="single" w:sz="2" w:space="0" w:color="808080" w:themeColor="text1" w:themeTint="7F"/>
            </w:tcBorders>
          </w:tcPr>
          <w:p w14:paraId="596A161C" w14:textId="77777777" w:rsidR="000F6B0B" w:rsidRPr="002C1885" w:rsidRDefault="000F6B0B" w:rsidP="00381EE9">
            <w:pPr>
              <w:pStyle w:val="tabletextcenter"/>
              <w:rPr>
                <w:b/>
              </w:rPr>
            </w:pPr>
            <w:r w:rsidRPr="00387148">
              <w:t>11.1%</w:t>
            </w:r>
          </w:p>
        </w:tc>
        <w:tc>
          <w:tcPr>
            <w:tcW w:w="1294" w:type="dxa"/>
            <w:tcBorders>
              <w:top w:val="single" w:sz="2" w:space="0" w:color="808080" w:themeColor="text1" w:themeTint="7F"/>
            </w:tcBorders>
          </w:tcPr>
          <w:p w14:paraId="55DF2895" w14:textId="77777777" w:rsidR="000F6B0B" w:rsidRPr="002C1885" w:rsidRDefault="000F6B0B" w:rsidP="00381EE9">
            <w:pPr>
              <w:pStyle w:val="tabletextcenter"/>
              <w:rPr>
                <w:b/>
              </w:rPr>
            </w:pPr>
            <w:r w:rsidRPr="002F2AD3">
              <w:t>44.4%</w:t>
            </w:r>
          </w:p>
        </w:tc>
        <w:tc>
          <w:tcPr>
            <w:tcW w:w="1295" w:type="dxa"/>
            <w:tcBorders>
              <w:top w:val="single" w:sz="2" w:space="0" w:color="808080" w:themeColor="text1" w:themeTint="7F"/>
            </w:tcBorders>
          </w:tcPr>
          <w:p w14:paraId="6D24B1FF" w14:textId="77777777" w:rsidR="000F6B0B" w:rsidRPr="002C1885" w:rsidRDefault="000F6B0B" w:rsidP="00381EE9">
            <w:pPr>
              <w:pStyle w:val="tabletextcenter"/>
            </w:pPr>
            <w:r w:rsidRPr="00B97B2F">
              <w:t>33.3%</w:t>
            </w:r>
          </w:p>
        </w:tc>
      </w:tr>
      <w:tr w:rsidR="000F6B0B" w:rsidRPr="00CD1826" w14:paraId="46BBA243"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Borders>
              <w:bottom w:val="single" w:sz="2" w:space="0" w:color="808080" w:themeColor="text1" w:themeTint="7F"/>
            </w:tcBorders>
          </w:tcPr>
          <w:p w14:paraId="69739876" w14:textId="77777777" w:rsidR="000F6B0B" w:rsidRPr="00507F7B" w:rsidRDefault="000F6B0B" w:rsidP="00381EE9">
            <w:pPr>
              <w:pStyle w:val="TableText"/>
              <w:ind w:firstLine="180"/>
            </w:pPr>
            <w:r>
              <w:t>JRSOs (n=8)</w:t>
            </w:r>
          </w:p>
        </w:tc>
        <w:tc>
          <w:tcPr>
            <w:tcW w:w="1294" w:type="dxa"/>
            <w:tcBorders>
              <w:bottom w:val="single" w:sz="2" w:space="0" w:color="808080" w:themeColor="text1" w:themeTint="7F"/>
            </w:tcBorders>
          </w:tcPr>
          <w:p w14:paraId="12ACCE92" w14:textId="77777777" w:rsidR="000F6B0B" w:rsidRDefault="000F6B0B" w:rsidP="00381EE9">
            <w:pPr>
              <w:pStyle w:val="tabletextcenter"/>
            </w:pPr>
            <w:r w:rsidRPr="004E7794">
              <w:t>0.0%</w:t>
            </w:r>
          </w:p>
        </w:tc>
        <w:tc>
          <w:tcPr>
            <w:tcW w:w="1294" w:type="dxa"/>
            <w:tcBorders>
              <w:bottom w:val="single" w:sz="2" w:space="0" w:color="808080" w:themeColor="text1" w:themeTint="7F"/>
            </w:tcBorders>
          </w:tcPr>
          <w:p w14:paraId="0A7D7981" w14:textId="77777777" w:rsidR="000F6B0B" w:rsidRDefault="000F6B0B" w:rsidP="00381EE9">
            <w:pPr>
              <w:pStyle w:val="tabletextcenter"/>
            </w:pPr>
            <w:r w:rsidRPr="005B1DBC">
              <w:t>37.5%</w:t>
            </w:r>
          </w:p>
        </w:tc>
        <w:tc>
          <w:tcPr>
            <w:tcW w:w="1295" w:type="dxa"/>
            <w:tcBorders>
              <w:bottom w:val="single" w:sz="2" w:space="0" w:color="808080" w:themeColor="text1" w:themeTint="7F"/>
            </w:tcBorders>
          </w:tcPr>
          <w:p w14:paraId="0AAB01C3" w14:textId="77777777" w:rsidR="000F6B0B" w:rsidRDefault="000F6B0B" w:rsidP="00381EE9">
            <w:pPr>
              <w:pStyle w:val="tabletextcenter"/>
            </w:pPr>
            <w:r w:rsidRPr="00387148">
              <w:t>12.5%</w:t>
            </w:r>
          </w:p>
        </w:tc>
        <w:tc>
          <w:tcPr>
            <w:tcW w:w="1294" w:type="dxa"/>
            <w:tcBorders>
              <w:bottom w:val="single" w:sz="2" w:space="0" w:color="808080" w:themeColor="text1" w:themeTint="7F"/>
            </w:tcBorders>
          </w:tcPr>
          <w:p w14:paraId="5D6F5CA5" w14:textId="77777777" w:rsidR="000F6B0B" w:rsidRPr="00CD1826" w:rsidRDefault="000F6B0B" w:rsidP="00381EE9">
            <w:pPr>
              <w:pStyle w:val="tabletextcenter"/>
            </w:pPr>
            <w:r w:rsidRPr="002F2AD3">
              <w:t>37.5%</w:t>
            </w:r>
          </w:p>
        </w:tc>
        <w:tc>
          <w:tcPr>
            <w:tcW w:w="1295" w:type="dxa"/>
            <w:tcBorders>
              <w:bottom w:val="single" w:sz="2" w:space="0" w:color="808080" w:themeColor="text1" w:themeTint="7F"/>
            </w:tcBorders>
          </w:tcPr>
          <w:p w14:paraId="144218BC" w14:textId="77777777" w:rsidR="000F6B0B" w:rsidRPr="00CD1826" w:rsidRDefault="000F6B0B" w:rsidP="00381EE9">
            <w:pPr>
              <w:pStyle w:val="tabletextcenter"/>
            </w:pPr>
            <w:r w:rsidRPr="00B97B2F">
              <w:t>12.5%</w:t>
            </w:r>
          </w:p>
        </w:tc>
      </w:tr>
      <w:tr w:rsidR="000F6B0B" w:rsidRPr="00CD1826" w14:paraId="1F02B5C7" w14:textId="77777777" w:rsidTr="00381EE9">
        <w:tc>
          <w:tcPr>
            <w:tcW w:w="2512" w:type="dxa"/>
            <w:tcBorders>
              <w:bottom w:val="single" w:sz="2" w:space="0" w:color="808080" w:themeColor="text1" w:themeTint="7F"/>
            </w:tcBorders>
          </w:tcPr>
          <w:p w14:paraId="274CC67F" w14:textId="77777777" w:rsidR="000F6B0B" w:rsidRPr="004A5C18" w:rsidRDefault="000F6B0B" w:rsidP="00381EE9">
            <w:pPr>
              <w:pStyle w:val="TableText"/>
              <w:ind w:firstLine="180"/>
              <w:rPr>
                <w:b/>
              </w:rPr>
            </w:pPr>
            <w:r>
              <w:t>On-Call Staff (n=1)</w:t>
            </w:r>
          </w:p>
        </w:tc>
        <w:tc>
          <w:tcPr>
            <w:tcW w:w="1294" w:type="dxa"/>
            <w:tcBorders>
              <w:bottom w:val="single" w:sz="2" w:space="0" w:color="808080" w:themeColor="text1" w:themeTint="7F"/>
            </w:tcBorders>
          </w:tcPr>
          <w:p w14:paraId="4767CE07" w14:textId="77777777" w:rsidR="000F6B0B" w:rsidRDefault="000F6B0B" w:rsidP="00381EE9">
            <w:pPr>
              <w:pStyle w:val="tabletextcenter"/>
            </w:pPr>
            <w:r w:rsidRPr="004E7794">
              <w:t>0.0%</w:t>
            </w:r>
          </w:p>
        </w:tc>
        <w:tc>
          <w:tcPr>
            <w:tcW w:w="1294" w:type="dxa"/>
            <w:tcBorders>
              <w:bottom w:val="single" w:sz="2" w:space="0" w:color="808080" w:themeColor="text1" w:themeTint="7F"/>
            </w:tcBorders>
          </w:tcPr>
          <w:p w14:paraId="7457BEDA" w14:textId="77777777" w:rsidR="000F6B0B" w:rsidRDefault="000F6B0B" w:rsidP="00381EE9">
            <w:pPr>
              <w:pStyle w:val="tabletextcenter"/>
            </w:pPr>
            <w:r w:rsidRPr="005B1DBC">
              <w:t>0.0%</w:t>
            </w:r>
          </w:p>
        </w:tc>
        <w:tc>
          <w:tcPr>
            <w:tcW w:w="1295" w:type="dxa"/>
            <w:tcBorders>
              <w:bottom w:val="single" w:sz="2" w:space="0" w:color="808080" w:themeColor="text1" w:themeTint="7F"/>
            </w:tcBorders>
          </w:tcPr>
          <w:p w14:paraId="6541A901" w14:textId="77777777" w:rsidR="000F6B0B" w:rsidRDefault="000F6B0B" w:rsidP="00381EE9">
            <w:pPr>
              <w:pStyle w:val="tabletextcenter"/>
            </w:pPr>
            <w:r w:rsidRPr="00387148">
              <w:t>0.0%</w:t>
            </w:r>
          </w:p>
        </w:tc>
        <w:tc>
          <w:tcPr>
            <w:tcW w:w="1294" w:type="dxa"/>
            <w:tcBorders>
              <w:bottom w:val="single" w:sz="2" w:space="0" w:color="808080" w:themeColor="text1" w:themeTint="7F"/>
            </w:tcBorders>
          </w:tcPr>
          <w:p w14:paraId="22FD764A" w14:textId="77777777" w:rsidR="000F6B0B" w:rsidRPr="00CD1826" w:rsidRDefault="000F6B0B" w:rsidP="00381EE9">
            <w:pPr>
              <w:pStyle w:val="tabletextcenter"/>
            </w:pPr>
            <w:r w:rsidRPr="002F2AD3">
              <w:t>100.0%</w:t>
            </w:r>
          </w:p>
        </w:tc>
        <w:tc>
          <w:tcPr>
            <w:tcW w:w="1295" w:type="dxa"/>
            <w:tcBorders>
              <w:bottom w:val="single" w:sz="2" w:space="0" w:color="808080" w:themeColor="text1" w:themeTint="7F"/>
            </w:tcBorders>
          </w:tcPr>
          <w:p w14:paraId="70AFB013" w14:textId="77777777" w:rsidR="000F6B0B" w:rsidRPr="00CD1826" w:rsidRDefault="000F6B0B" w:rsidP="00381EE9">
            <w:pPr>
              <w:pStyle w:val="tabletextcenter"/>
            </w:pPr>
            <w:r w:rsidRPr="00B97B2F">
              <w:t>0.0%</w:t>
            </w:r>
          </w:p>
        </w:tc>
      </w:tr>
      <w:tr w:rsidR="000F6B0B" w:rsidRPr="00CD1826" w14:paraId="77027B9D"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Borders>
              <w:top w:val="single" w:sz="2" w:space="0" w:color="808080" w:themeColor="text1" w:themeTint="7F"/>
              <w:bottom w:val="single" w:sz="2" w:space="0" w:color="808080" w:themeColor="text1" w:themeTint="7F"/>
            </w:tcBorders>
            <w:shd w:val="clear" w:color="auto" w:fill="999999"/>
          </w:tcPr>
          <w:p w14:paraId="460443EC" w14:textId="77777777" w:rsidR="000F6B0B" w:rsidRPr="0052097A" w:rsidRDefault="000F6B0B" w:rsidP="00381EE9">
            <w:pPr>
              <w:pStyle w:val="TableText"/>
              <w:rPr>
                <w:b/>
              </w:rPr>
            </w:pPr>
            <w:r w:rsidRPr="0052097A">
              <w:rPr>
                <w:b/>
              </w:rPr>
              <w:t>Community Facilities (n=35)</w:t>
            </w:r>
          </w:p>
        </w:tc>
        <w:tc>
          <w:tcPr>
            <w:tcW w:w="1294" w:type="dxa"/>
            <w:tcBorders>
              <w:top w:val="single" w:sz="2" w:space="0" w:color="808080" w:themeColor="text1" w:themeTint="7F"/>
              <w:bottom w:val="single" w:sz="2" w:space="0" w:color="808080" w:themeColor="text1" w:themeTint="7F"/>
            </w:tcBorders>
            <w:shd w:val="clear" w:color="auto" w:fill="999999"/>
          </w:tcPr>
          <w:p w14:paraId="2CAE8A27" w14:textId="77777777" w:rsidR="000F6B0B" w:rsidRPr="00E3085B" w:rsidRDefault="000F6B0B" w:rsidP="00381EE9">
            <w:pPr>
              <w:pStyle w:val="tabletextcenter"/>
              <w:rPr>
                <w:b/>
              </w:rPr>
            </w:pPr>
            <w:r w:rsidRPr="00E3085B">
              <w:rPr>
                <w:b/>
              </w:rPr>
              <w:t>20.0%</w:t>
            </w:r>
          </w:p>
        </w:tc>
        <w:tc>
          <w:tcPr>
            <w:tcW w:w="1294" w:type="dxa"/>
            <w:tcBorders>
              <w:top w:val="single" w:sz="2" w:space="0" w:color="808080" w:themeColor="text1" w:themeTint="7F"/>
              <w:bottom w:val="single" w:sz="2" w:space="0" w:color="808080" w:themeColor="text1" w:themeTint="7F"/>
            </w:tcBorders>
            <w:shd w:val="clear" w:color="auto" w:fill="999999"/>
          </w:tcPr>
          <w:p w14:paraId="3EF6D6B4" w14:textId="77777777" w:rsidR="000F6B0B" w:rsidRPr="00E3085B" w:rsidRDefault="000F6B0B" w:rsidP="00381EE9">
            <w:pPr>
              <w:pStyle w:val="tabletextcenter"/>
              <w:rPr>
                <w:b/>
              </w:rPr>
            </w:pPr>
            <w:r w:rsidRPr="00E3085B">
              <w:rPr>
                <w:b/>
              </w:rPr>
              <w:t>25.7%</w:t>
            </w:r>
          </w:p>
        </w:tc>
        <w:tc>
          <w:tcPr>
            <w:tcW w:w="1295" w:type="dxa"/>
            <w:tcBorders>
              <w:top w:val="single" w:sz="2" w:space="0" w:color="808080" w:themeColor="text1" w:themeTint="7F"/>
              <w:bottom w:val="single" w:sz="2" w:space="0" w:color="808080" w:themeColor="text1" w:themeTint="7F"/>
            </w:tcBorders>
            <w:shd w:val="clear" w:color="auto" w:fill="999999"/>
          </w:tcPr>
          <w:p w14:paraId="1E979DBF" w14:textId="77777777" w:rsidR="000F6B0B" w:rsidRPr="00E3085B" w:rsidRDefault="000F6B0B" w:rsidP="00381EE9">
            <w:pPr>
              <w:pStyle w:val="tabletextcenter"/>
              <w:rPr>
                <w:b/>
              </w:rPr>
            </w:pPr>
            <w:r w:rsidRPr="00E3085B">
              <w:rPr>
                <w:b/>
              </w:rPr>
              <w:t>17.1%</w:t>
            </w:r>
          </w:p>
        </w:tc>
        <w:tc>
          <w:tcPr>
            <w:tcW w:w="1294" w:type="dxa"/>
            <w:tcBorders>
              <w:top w:val="single" w:sz="2" w:space="0" w:color="808080" w:themeColor="text1" w:themeTint="7F"/>
              <w:bottom w:val="single" w:sz="2" w:space="0" w:color="808080" w:themeColor="text1" w:themeTint="7F"/>
            </w:tcBorders>
            <w:shd w:val="clear" w:color="auto" w:fill="999999"/>
          </w:tcPr>
          <w:p w14:paraId="398B6082" w14:textId="77777777" w:rsidR="000F6B0B" w:rsidRPr="00E3085B" w:rsidRDefault="000F6B0B" w:rsidP="00381EE9">
            <w:pPr>
              <w:pStyle w:val="tabletextcenter"/>
              <w:rPr>
                <w:b/>
              </w:rPr>
            </w:pPr>
            <w:r w:rsidRPr="00E3085B">
              <w:rPr>
                <w:b/>
              </w:rPr>
              <w:t>25.7%</w:t>
            </w:r>
          </w:p>
        </w:tc>
        <w:tc>
          <w:tcPr>
            <w:tcW w:w="1295" w:type="dxa"/>
            <w:tcBorders>
              <w:top w:val="single" w:sz="2" w:space="0" w:color="808080" w:themeColor="text1" w:themeTint="7F"/>
              <w:bottom w:val="single" w:sz="2" w:space="0" w:color="808080" w:themeColor="text1" w:themeTint="7F"/>
            </w:tcBorders>
            <w:shd w:val="clear" w:color="auto" w:fill="999999"/>
          </w:tcPr>
          <w:p w14:paraId="330236F1" w14:textId="77777777" w:rsidR="000F6B0B" w:rsidRPr="00E3085B" w:rsidRDefault="000F6B0B" w:rsidP="00381EE9">
            <w:pPr>
              <w:pStyle w:val="tabletextcenter"/>
              <w:rPr>
                <w:b/>
              </w:rPr>
            </w:pPr>
            <w:r w:rsidRPr="00E3085B">
              <w:rPr>
                <w:b/>
              </w:rPr>
              <w:t>11.4%</w:t>
            </w:r>
          </w:p>
        </w:tc>
      </w:tr>
      <w:tr w:rsidR="000F6B0B" w:rsidRPr="002C1885" w14:paraId="52FC72E0" w14:textId="77777777" w:rsidTr="00381EE9">
        <w:tc>
          <w:tcPr>
            <w:tcW w:w="2512" w:type="dxa"/>
            <w:tcBorders>
              <w:top w:val="single" w:sz="2" w:space="0" w:color="808080" w:themeColor="text1" w:themeTint="7F"/>
            </w:tcBorders>
          </w:tcPr>
          <w:p w14:paraId="354D1B7D" w14:textId="77777777" w:rsidR="000F6B0B" w:rsidRPr="004A5C18" w:rsidRDefault="000F6B0B" w:rsidP="00381EE9">
            <w:pPr>
              <w:pStyle w:val="TableText"/>
              <w:ind w:left="180"/>
              <w:rPr>
                <w:b/>
              </w:rPr>
            </w:pPr>
            <w:r w:rsidRPr="00507F7B">
              <w:t>JRRCs and JRCAs</w:t>
            </w:r>
            <w:r>
              <w:t xml:space="preserve"> (n=17)</w:t>
            </w:r>
          </w:p>
        </w:tc>
        <w:tc>
          <w:tcPr>
            <w:tcW w:w="1294" w:type="dxa"/>
            <w:tcBorders>
              <w:top w:val="single" w:sz="2" w:space="0" w:color="808080" w:themeColor="text1" w:themeTint="7F"/>
            </w:tcBorders>
          </w:tcPr>
          <w:p w14:paraId="6A246226" w14:textId="77777777" w:rsidR="000F6B0B" w:rsidRPr="002C1885" w:rsidRDefault="000F6B0B" w:rsidP="00381EE9">
            <w:pPr>
              <w:pStyle w:val="tabletextcenter"/>
              <w:rPr>
                <w:b/>
              </w:rPr>
            </w:pPr>
            <w:r w:rsidRPr="004E7794">
              <w:t>11.8%</w:t>
            </w:r>
          </w:p>
        </w:tc>
        <w:tc>
          <w:tcPr>
            <w:tcW w:w="1294" w:type="dxa"/>
            <w:tcBorders>
              <w:top w:val="single" w:sz="2" w:space="0" w:color="808080" w:themeColor="text1" w:themeTint="7F"/>
            </w:tcBorders>
          </w:tcPr>
          <w:p w14:paraId="10D6408C" w14:textId="77777777" w:rsidR="000F6B0B" w:rsidRPr="002C1885" w:rsidRDefault="000F6B0B" w:rsidP="00381EE9">
            <w:pPr>
              <w:pStyle w:val="tabletextcenter"/>
              <w:rPr>
                <w:b/>
              </w:rPr>
            </w:pPr>
            <w:r w:rsidRPr="005B1DBC">
              <w:t>23.5%</w:t>
            </w:r>
          </w:p>
        </w:tc>
        <w:tc>
          <w:tcPr>
            <w:tcW w:w="1295" w:type="dxa"/>
            <w:tcBorders>
              <w:top w:val="single" w:sz="2" w:space="0" w:color="808080" w:themeColor="text1" w:themeTint="7F"/>
            </w:tcBorders>
          </w:tcPr>
          <w:p w14:paraId="0676EE30" w14:textId="77777777" w:rsidR="000F6B0B" w:rsidRPr="002C1885" w:rsidRDefault="000F6B0B" w:rsidP="00381EE9">
            <w:pPr>
              <w:pStyle w:val="tabletextcenter"/>
              <w:rPr>
                <w:b/>
              </w:rPr>
            </w:pPr>
            <w:r w:rsidRPr="00387148">
              <w:t>23.5%</w:t>
            </w:r>
          </w:p>
        </w:tc>
        <w:tc>
          <w:tcPr>
            <w:tcW w:w="1294" w:type="dxa"/>
            <w:tcBorders>
              <w:top w:val="single" w:sz="2" w:space="0" w:color="808080" w:themeColor="text1" w:themeTint="7F"/>
            </w:tcBorders>
          </w:tcPr>
          <w:p w14:paraId="1B9C6B2D" w14:textId="77777777" w:rsidR="000F6B0B" w:rsidRPr="002C1885" w:rsidRDefault="000F6B0B" w:rsidP="00381EE9">
            <w:pPr>
              <w:pStyle w:val="tabletextcenter"/>
              <w:rPr>
                <w:b/>
              </w:rPr>
            </w:pPr>
            <w:r w:rsidRPr="002F2AD3">
              <w:t>35.3%</w:t>
            </w:r>
          </w:p>
        </w:tc>
        <w:tc>
          <w:tcPr>
            <w:tcW w:w="1295" w:type="dxa"/>
            <w:tcBorders>
              <w:top w:val="single" w:sz="2" w:space="0" w:color="808080" w:themeColor="text1" w:themeTint="7F"/>
            </w:tcBorders>
          </w:tcPr>
          <w:p w14:paraId="5AC8589D" w14:textId="77777777" w:rsidR="000F6B0B" w:rsidRPr="002C1885" w:rsidRDefault="000F6B0B" w:rsidP="00381EE9">
            <w:pPr>
              <w:pStyle w:val="tabletextcenter"/>
            </w:pPr>
            <w:r w:rsidRPr="00B97B2F">
              <w:t>5.9%</w:t>
            </w:r>
          </w:p>
        </w:tc>
      </w:tr>
      <w:tr w:rsidR="000F6B0B" w:rsidRPr="00CD1826" w14:paraId="19A20C1F" w14:textId="77777777" w:rsidTr="00381EE9">
        <w:trPr>
          <w:cnfStyle w:val="000000100000" w:firstRow="0" w:lastRow="0" w:firstColumn="0" w:lastColumn="0" w:oddVBand="0" w:evenVBand="0" w:oddHBand="1" w:evenHBand="0" w:firstRowFirstColumn="0" w:firstRowLastColumn="0" w:lastRowFirstColumn="0" w:lastRowLastColumn="0"/>
        </w:trPr>
        <w:tc>
          <w:tcPr>
            <w:tcW w:w="2512" w:type="dxa"/>
          </w:tcPr>
          <w:p w14:paraId="39CFCE2C" w14:textId="77777777" w:rsidR="000F6B0B" w:rsidRPr="00507F7B" w:rsidRDefault="000F6B0B" w:rsidP="00381EE9">
            <w:pPr>
              <w:pStyle w:val="TableText"/>
              <w:ind w:left="180"/>
            </w:pPr>
            <w:r>
              <w:t>JRSOs (n=10)</w:t>
            </w:r>
          </w:p>
        </w:tc>
        <w:tc>
          <w:tcPr>
            <w:tcW w:w="1294" w:type="dxa"/>
          </w:tcPr>
          <w:p w14:paraId="74253CCE" w14:textId="77777777" w:rsidR="000F6B0B" w:rsidRDefault="000F6B0B" w:rsidP="00381EE9">
            <w:pPr>
              <w:pStyle w:val="tabletextcenter"/>
            </w:pPr>
            <w:r w:rsidRPr="004E7794">
              <w:t>30.0%</w:t>
            </w:r>
          </w:p>
        </w:tc>
        <w:tc>
          <w:tcPr>
            <w:tcW w:w="1294" w:type="dxa"/>
          </w:tcPr>
          <w:p w14:paraId="539AAE56" w14:textId="77777777" w:rsidR="000F6B0B" w:rsidRDefault="000F6B0B" w:rsidP="00381EE9">
            <w:pPr>
              <w:pStyle w:val="tabletextcenter"/>
            </w:pPr>
            <w:r w:rsidRPr="005B1DBC">
              <w:t>30.0%</w:t>
            </w:r>
          </w:p>
        </w:tc>
        <w:tc>
          <w:tcPr>
            <w:tcW w:w="1295" w:type="dxa"/>
          </w:tcPr>
          <w:p w14:paraId="701EEAB0" w14:textId="77777777" w:rsidR="000F6B0B" w:rsidRDefault="000F6B0B" w:rsidP="00381EE9">
            <w:pPr>
              <w:pStyle w:val="tabletextcenter"/>
            </w:pPr>
            <w:r w:rsidRPr="00387148">
              <w:t>10.0%</w:t>
            </w:r>
          </w:p>
        </w:tc>
        <w:tc>
          <w:tcPr>
            <w:tcW w:w="1294" w:type="dxa"/>
          </w:tcPr>
          <w:p w14:paraId="6D1E4CC8" w14:textId="77777777" w:rsidR="000F6B0B" w:rsidRPr="00CD1826" w:rsidRDefault="000F6B0B" w:rsidP="00381EE9">
            <w:pPr>
              <w:pStyle w:val="tabletextcenter"/>
            </w:pPr>
            <w:r w:rsidRPr="002F2AD3">
              <w:t>10.0%</w:t>
            </w:r>
          </w:p>
        </w:tc>
        <w:tc>
          <w:tcPr>
            <w:tcW w:w="1295" w:type="dxa"/>
          </w:tcPr>
          <w:p w14:paraId="3E7495C2" w14:textId="77777777" w:rsidR="000F6B0B" w:rsidRPr="00CD1826" w:rsidRDefault="000F6B0B" w:rsidP="00381EE9">
            <w:pPr>
              <w:pStyle w:val="tabletextcenter"/>
            </w:pPr>
            <w:r w:rsidRPr="00B97B2F">
              <w:t>20.0%</w:t>
            </w:r>
          </w:p>
        </w:tc>
      </w:tr>
      <w:tr w:rsidR="000F6B0B" w:rsidRPr="00CD1826" w14:paraId="70EFC4F2" w14:textId="77777777" w:rsidTr="00381EE9">
        <w:tc>
          <w:tcPr>
            <w:tcW w:w="2512" w:type="dxa"/>
          </w:tcPr>
          <w:p w14:paraId="78B7B02A" w14:textId="77777777" w:rsidR="000F6B0B" w:rsidRPr="004A5C18" w:rsidRDefault="000F6B0B" w:rsidP="00381EE9">
            <w:pPr>
              <w:pStyle w:val="TableText"/>
              <w:ind w:left="180"/>
              <w:rPr>
                <w:b/>
              </w:rPr>
            </w:pPr>
            <w:r>
              <w:t>On-Call Staff (n=8)</w:t>
            </w:r>
          </w:p>
        </w:tc>
        <w:tc>
          <w:tcPr>
            <w:tcW w:w="1294" w:type="dxa"/>
          </w:tcPr>
          <w:p w14:paraId="39EE3039" w14:textId="77777777" w:rsidR="000F6B0B" w:rsidRDefault="000F6B0B" w:rsidP="00381EE9">
            <w:pPr>
              <w:pStyle w:val="tabletextcenter"/>
            </w:pPr>
            <w:r w:rsidRPr="004E7794">
              <w:t>25.0%</w:t>
            </w:r>
          </w:p>
        </w:tc>
        <w:tc>
          <w:tcPr>
            <w:tcW w:w="1294" w:type="dxa"/>
          </w:tcPr>
          <w:p w14:paraId="01BCC304" w14:textId="77777777" w:rsidR="000F6B0B" w:rsidRDefault="000F6B0B" w:rsidP="00381EE9">
            <w:pPr>
              <w:pStyle w:val="tabletextcenter"/>
            </w:pPr>
            <w:r w:rsidRPr="005B1DBC">
              <w:t>25.0%</w:t>
            </w:r>
          </w:p>
        </w:tc>
        <w:tc>
          <w:tcPr>
            <w:tcW w:w="1295" w:type="dxa"/>
          </w:tcPr>
          <w:p w14:paraId="41922ECB" w14:textId="77777777" w:rsidR="000F6B0B" w:rsidRDefault="000F6B0B" w:rsidP="00381EE9">
            <w:pPr>
              <w:pStyle w:val="tabletextcenter"/>
            </w:pPr>
            <w:r w:rsidRPr="00387148">
              <w:t>12.5%</w:t>
            </w:r>
          </w:p>
        </w:tc>
        <w:tc>
          <w:tcPr>
            <w:tcW w:w="1294" w:type="dxa"/>
          </w:tcPr>
          <w:p w14:paraId="201A0063" w14:textId="77777777" w:rsidR="000F6B0B" w:rsidRPr="00CD1826" w:rsidRDefault="000F6B0B" w:rsidP="00381EE9">
            <w:pPr>
              <w:pStyle w:val="tabletextcenter"/>
            </w:pPr>
            <w:r w:rsidRPr="002F2AD3">
              <w:t>25.0%</w:t>
            </w:r>
          </w:p>
        </w:tc>
        <w:tc>
          <w:tcPr>
            <w:tcW w:w="1295" w:type="dxa"/>
          </w:tcPr>
          <w:p w14:paraId="208D89E4" w14:textId="77777777" w:rsidR="000F6B0B" w:rsidRPr="00CD1826" w:rsidRDefault="000F6B0B" w:rsidP="00381EE9">
            <w:pPr>
              <w:pStyle w:val="tabletextcenter"/>
            </w:pPr>
            <w:r w:rsidRPr="00B97B2F">
              <w:t>12.5%</w:t>
            </w:r>
          </w:p>
        </w:tc>
      </w:tr>
    </w:tbl>
    <w:p w14:paraId="39635EF1" w14:textId="77777777" w:rsidR="0020321C" w:rsidRDefault="00F75641" w:rsidP="00257324">
      <w:pPr>
        <w:pStyle w:val="Heading2"/>
      </w:pPr>
      <w:bookmarkStart w:id="79" w:name="_Toc531597517"/>
      <w:r>
        <w:t>Factors Linked to Retention/Turnover</w:t>
      </w:r>
      <w:bookmarkEnd w:id="79"/>
      <w:r>
        <w:t xml:space="preserve"> </w:t>
      </w:r>
    </w:p>
    <w:p w14:paraId="343E141A" w14:textId="77777777" w:rsidR="0020321C" w:rsidRPr="00C73B0A" w:rsidRDefault="0020321C" w:rsidP="00257324">
      <w:pPr>
        <w:pStyle w:val="RFPtext"/>
        <w:keepNext/>
        <w:keepLines/>
        <w:rPr>
          <w:b/>
          <w:color w:val="000000" w:themeColor="text1"/>
          <w:sz w:val="24"/>
        </w:rPr>
      </w:pPr>
      <w:r w:rsidRPr="00C73B0A">
        <w:rPr>
          <w:b/>
          <w:color w:val="000000" w:themeColor="text1"/>
          <w:sz w:val="24"/>
        </w:rPr>
        <w:t xml:space="preserve">Working with youth and being able to make a meaningful and positive impact on their lives is why staff want to stay working in their positions. Key reasons for staff wanting to leave their positions include: </w:t>
      </w:r>
      <w:r w:rsidR="00815960" w:rsidRPr="00C73B0A">
        <w:rPr>
          <w:b/>
          <w:color w:val="000000" w:themeColor="text1"/>
          <w:sz w:val="24"/>
        </w:rPr>
        <w:t xml:space="preserve">lack of </w:t>
      </w:r>
      <w:r w:rsidRPr="00C73B0A">
        <w:rPr>
          <w:b/>
          <w:color w:val="000000" w:themeColor="text1"/>
          <w:sz w:val="24"/>
        </w:rPr>
        <w:t>supervision and support; inadequate compensation; unmanageable workloa</w:t>
      </w:r>
      <w:r w:rsidR="005456CD">
        <w:rPr>
          <w:b/>
          <w:color w:val="000000" w:themeColor="text1"/>
          <w:sz w:val="24"/>
        </w:rPr>
        <w:t>d;</w:t>
      </w:r>
      <w:r w:rsidR="00815960" w:rsidRPr="00C73B0A">
        <w:rPr>
          <w:b/>
          <w:color w:val="000000" w:themeColor="text1"/>
          <w:sz w:val="24"/>
        </w:rPr>
        <w:t xml:space="preserve"> poor leadership</w:t>
      </w:r>
      <w:r w:rsidR="005456CD">
        <w:rPr>
          <w:b/>
          <w:color w:val="000000" w:themeColor="text1"/>
          <w:sz w:val="24"/>
        </w:rPr>
        <w:t>;</w:t>
      </w:r>
      <w:r w:rsidRPr="00C73B0A">
        <w:rPr>
          <w:b/>
          <w:color w:val="000000" w:themeColor="text1"/>
          <w:sz w:val="24"/>
        </w:rPr>
        <w:t xml:space="preserve"> and work/life balance.</w:t>
      </w:r>
    </w:p>
    <w:p w14:paraId="4C95E709" w14:textId="77777777" w:rsidR="00117931" w:rsidRDefault="00793402" w:rsidP="006174F9">
      <w:r w:rsidRPr="00793402">
        <w:t xml:space="preserve">Through the </w:t>
      </w:r>
      <w:r w:rsidR="00E251C1">
        <w:t>staff survey</w:t>
      </w:r>
      <w:r w:rsidRPr="00793402">
        <w:t xml:space="preserve">, </w:t>
      </w:r>
      <w:r w:rsidR="00977979">
        <w:t xml:space="preserve">we </w:t>
      </w:r>
      <w:r w:rsidRPr="00793402">
        <w:t>sought to determine</w:t>
      </w:r>
      <w:r>
        <w:t xml:space="preserve"> what makes staff want to continue working for JR </w:t>
      </w:r>
      <w:r w:rsidR="00B23525">
        <w:t xml:space="preserve">and the factors that make them want to leave. In completing these </w:t>
      </w:r>
      <w:r>
        <w:t>question</w:t>
      </w:r>
      <w:r w:rsidR="00B23525">
        <w:t>s</w:t>
      </w:r>
      <w:r>
        <w:t xml:space="preserve">, participants </w:t>
      </w:r>
      <w:r w:rsidR="00815960">
        <w:t xml:space="preserve">could </w:t>
      </w:r>
      <w:r>
        <w:t xml:space="preserve">select </w:t>
      </w:r>
      <w:r w:rsidR="00815960">
        <w:t>multiple answers</w:t>
      </w:r>
      <w:r>
        <w:t xml:space="preserve">. </w:t>
      </w:r>
      <w:r w:rsidR="00D4764C" w:rsidRPr="00815960">
        <w:t xml:space="preserve">Exhibit </w:t>
      </w:r>
      <w:r w:rsidR="005E430A">
        <w:t>5</w:t>
      </w:r>
      <w:r w:rsidR="00D4764C" w:rsidRPr="00815960">
        <w:t>-</w:t>
      </w:r>
      <w:r w:rsidR="00A05906">
        <w:t>29</w:t>
      </w:r>
      <w:r w:rsidR="00A05906" w:rsidRPr="00815960">
        <w:t xml:space="preserve"> </w:t>
      </w:r>
      <w:r w:rsidR="0038523B" w:rsidRPr="00815960">
        <w:t>provides a summary of the</w:t>
      </w:r>
      <w:r w:rsidR="00A8484D">
        <w:t xml:space="preserve"> results regarding what makes staff want to stay in their current positions. </w:t>
      </w:r>
      <w:r w:rsidR="00117931">
        <w:t>In all of the facilities, mor</w:t>
      </w:r>
      <w:r w:rsidR="00DD03ED">
        <w:t>e than half the staff indicated</w:t>
      </w:r>
      <w:r w:rsidR="00C73B0A">
        <w:t xml:space="preserve"> </w:t>
      </w:r>
      <w:r w:rsidR="00117931">
        <w:t xml:space="preserve">the following factors are what makes them want to </w:t>
      </w:r>
      <w:r w:rsidR="00C73B0A">
        <w:t xml:space="preserve">stay </w:t>
      </w:r>
      <w:r w:rsidR="00117931">
        <w:t>in their positions:</w:t>
      </w:r>
    </w:p>
    <w:p w14:paraId="2DCD29F3" w14:textId="77777777" w:rsidR="00FD69B6" w:rsidRDefault="00117931" w:rsidP="003F6A2B">
      <w:pPr>
        <w:pStyle w:val="ListBullet"/>
      </w:pPr>
      <w:r>
        <w:t>They</w:t>
      </w:r>
      <w:r w:rsidR="00815960" w:rsidRPr="00815960">
        <w:t xml:space="preserve"> “feel they are a good fit” for the position</w:t>
      </w:r>
      <w:r w:rsidR="00815960">
        <w:t xml:space="preserve"> (</w:t>
      </w:r>
      <w:r w:rsidR="009C427C">
        <w:t>58.7</w:t>
      </w:r>
      <w:r w:rsidR="00815960">
        <w:t>% of respondents)</w:t>
      </w:r>
      <w:r>
        <w:t>;</w:t>
      </w:r>
      <w:r w:rsidR="00815960" w:rsidRPr="00815960">
        <w:t xml:space="preserve"> </w:t>
      </w:r>
    </w:p>
    <w:p w14:paraId="32CF1569" w14:textId="77777777" w:rsidR="00117931" w:rsidRDefault="00117931" w:rsidP="003F6A2B">
      <w:pPr>
        <w:pStyle w:val="ListBullet"/>
      </w:pPr>
      <w:r>
        <w:lastRenderedPageBreak/>
        <w:t>“Interactions with the youth,” (51.1% of respondents); and</w:t>
      </w:r>
    </w:p>
    <w:p w14:paraId="4D753795" w14:textId="77777777" w:rsidR="00117931" w:rsidRDefault="00117931" w:rsidP="003F6A2B">
      <w:pPr>
        <w:pStyle w:val="ListBullet"/>
      </w:pPr>
      <w:r>
        <w:t>“The job allows me to make a meaningful impact” (50.0%).</w:t>
      </w:r>
    </w:p>
    <w:p w14:paraId="24E23230" w14:textId="77777777" w:rsidR="00A05906" w:rsidRDefault="00A05906" w:rsidP="00A05906">
      <w:pPr>
        <w:pStyle w:val="Caption"/>
      </w:pPr>
      <w:r>
        <w:t xml:space="preserve">Exhibit </w:t>
      </w:r>
      <w:r>
        <w:rPr>
          <w:noProof/>
        </w:rPr>
        <w:fldChar w:fldCharType="begin"/>
      </w:r>
      <w:r>
        <w:rPr>
          <w:noProof/>
        </w:rPr>
        <w:instrText xml:space="preserve"> STYLEREF 1 \s </w:instrText>
      </w:r>
      <w:r>
        <w:rPr>
          <w:noProof/>
        </w:rPr>
        <w:fldChar w:fldCharType="separate"/>
      </w:r>
      <w:r w:rsidR="00FD2536">
        <w:rPr>
          <w:noProof/>
        </w:rPr>
        <w:t>5</w:t>
      </w:r>
      <w:r>
        <w:rPr>
          <w:noProof/>
        </w:rPr>
        <w:fldChar w:fldCharType="end"/>
      </w:r>
      <w:r>
        <w:noBreakHyphen/>
      </w:r>
      <w:r>
        <w:rPr>
          <w:noProof/>
        </w:rPr>
        <w:t>29</w:t>
      </w:r>
      <w:r>
        <w:t xml:space="preserve">. Reasons to Stay, by Facility </w:t>
      </w:r>
    </w:p>
    <w:tbl>
      <w:tblPr>
        <w:tblStyle w:val="HyzerTable"/>
        <w:tblW w:w="0" w:type="auto"/>
        <w:tblLook w:val="04A0" w:firstRow="1" w:lastRow="0" w:firstColumn="1" w:lastColumn="0" w:noHBand="0" w:noVBand="1"/>
      </w:tblPr>
      <w:tblGrid>
        <w:gridCol w:w="1976"/>
        <w:gridCol w:w="1292"/>
        <w:gridCol w:w="1292"/>
        <w:gridCol w:w="1471"/>
        <w:gridCol w:w="1409"/>
        <w:gridCol w:w="1892"/>
      </w:tblGrid>
      <w:tr w:rsidR="0079270B" w14:paraId="6FAA274A" w14:textId="77777777" w:rsidTr="0079270B">
        <w:trPr>
          <w:cnfStyle w:val="100000000000" w:firstRow="1" w:lastRow="0" w:firstColumn="0" w:lastColumn="0" w:oddVBand="0" w:evenVBand="0" w:oddHBand="0" w:evenHBand="0" w:firstRowFirstColumn="0" w:firstRowLastColumn="0" w:lastRowFirstColumn="0" w:lastRowLastColumn="0"/>
          <w:tblHeader/>
        </w:trPr>
        <w:tc>
          <w:tcPr>
            <w:tcW w:w="1976" w:type="dxa"/>
            <w:vAlign w:val="center"/>
          </w:tcPr>
          <w:p w14:paraId="14AC13DD" w14:textId="77777777" w:rsidR="0079270B" w:rsidRPr="003A1CBF" w:rsidRDefault="0079270B" w:rsidP="00257324">
            <w:pPr>
              <w:pStyle w:val="tableheaderwhite"/>
              <w:spacing w:before="20" w:after="20"/>
            </w:pPr>
            <w:r>
              <w:t>Reason</w:t>
            </w:r>
          </w:p>
        </w:tc>
        <w:tc>
          <w:tcPr>
            <w:tcW w:w="1292" w:type="dxa"/>
            <w:vAlign w:val="center"/>
          </w:tcPr>
          <w:p w14:paraId="2882B025" w14:textId="77777777" w:rsidR="0079270B" w:rsidRPr="004962BA" w:rsidRDefault="0079270B" w:rsidP="00257324">
            <w:pPr>
              <w:pStyle w:val="tableheaderwhite"/>
              <w:spacing w:before="20" w:after="20"/>
            </w:pPr>
            <w:r>
              <w:t>JR Overall</w:t>
            </w:r>
          </w:p>
        </w:tc>
        <w:tc>
          <w:tcPr>
            <w:tcW w:w="1292" w:type="dxa"/>
            <w:vAlign w:val="center"/>
          </w:tcPr>
          <w:p w14:paraId="38AC5163" w14:textId="77777777" w:rsidR="0079270B" w:rsidRPr="004962BA" w:rsidRDefault="0079270B" w:rsidP="00257324">
            <w:pPr>
              <w:pStyle w:val="tableheaderwhite"/>
              <w:spacing w:before="20" w:after="20"/>
            </w:pPr>
            <w:r w:rsidRPr="004962BA">
              <w:t>Echo Glen</w:t>
            </w:r>
          </w:p>
        </w:tc>
        <w:tc>
          <w:tcPr>
            <w:tcW w:w="1471" w:type="dxa"/>
            <w:vAlign w:val="center"/>
          </w:tcPr>
          <w:p w14:paraId="45BB038E" w14:textId="77777777" w:rsidR="0079270B" w:rsidRPr="004962BA" w:rsidRDefault="0079270B" w:rsidP="00257324">
            <w:pPr>
              <w:pStyle w:val="tableheaderwhite"/>
              <w:spacing w:before="20" w:after="20"/>
            </w:pPr>
            <w:r w:rsidRPr="004962BA">
              <w:t>Green Hill</w:t>
            </w:r>
          </w:p>
        </w:tc>
        <w:tc>
          <w:tcPr>
            <w:tcW w:w="1409" w:type="dxa"/>
            <w:vAlign w:val="center"/>
          </w:tcPr>
          <w:p w14:paraId="32842817" w14:textId="77777777" w:rsidR="0079270B" w:rsidRPr="004962BA" w:rsidRDefault="0079270B" w:rsidP="00257324">
            <w:pPr>
              <w:pStyle w:val="tableheaderwhite"/>
              <w:spacing w:before="20" w:after="20"/>
            </w:pPr>
            <w:r w:rsidRPr="004962BA">
              <w:t>Naselle</w:t>
            </w:r>
          </w:p>
        </w:tc>
        <w:tc>
          <w:tcPr>
            <w:tcW w:w="1892" w:type="dxa"/>
            <w:vAlign w:val="center"/>
          </w:tcPr>
          <w:p w14:paraId="1302DB77" w14:textId="77777777" w:rsidR="0079270B" w:rsidRPr="004962BA" w:rsidRDefault="0079270B" w:rsidP="00257324">
            <w:pPr>
              <w:pStyle w:val="tableheaderwhite"/>
              <w:spacing w:before="20" w:after="20"/>
            </w:pPr>
            <w:r w:rsidRPr="004962BA">
              <w:t>Community Facilities</w:t>
            </w:r>
          </w:p>
        </w:tc>
      </w:tr>
      <w:tr w:rsidR="00CB4654" w14:paraId="6BDED771" w14:textId="77777777" w:rsidTr="00907D32">
        <w:trPr>
          <w:cnfStyle w:val="000000100000" w:firstRow="0" w:lastRow="0" w:firstColumn="0" w:lastColumn="0" w:oddVBand="0" w:evenVBand="0" w:oddHBand="1" w:evenHBand="0" w:firstRowFirstColumn="0" w:firstRowLastColumn="0" w:lastRowFirstColumn="0" w:lastRowLastColumn="0"/>
        </w:trPr>
        <w:tc>
          <w:tcPr>
            <w:tcW w:w="1976" w:type="dxa"/>
          </w:tcPr>
          <w:p w14:paraId="6DB23186" w14:textId="77777777" w:rsidR="00CB4654" w:rsidRPr="006812A7" w:rsidRDefault="00CB4654" w:rsidP="00CB4654">
            <w:pPr>
              <w:pStyle w:val="TableText"/>
              <w:rPr>
                <w:b/>
              </w:rPr>
            </w:pPr>
            <w:r w:rsidRPr="006812A7">
              <w:rPr>
                <w:b/>
              </w:rPr>
              <w:t xml:space="preserve">Fit </w:t>
            </w:r>
          </w:p>
        </w:tc>
        <w:tc>
          <w:tcPr>
            <w:tcW w:w="1292" w:type="dxa"/>
            <w:vAlign w:val="center"/>
          </w:tcPr>
          <w:p w14:paraId="6822D465" w14:textId="77777777" w:rsidR="00CB4654" w:rsidRDefault="00CB4654" w:rsidP="00907D32">
            <w:pPr>
              <w:pStyle w:val="TableText"/>
              <w:keepNext/>
              <w:keepLines/>
              <w:jc w:val="center"/>
            </w:pPr>
            <w:r>
              <w:t>58.7%</w:t>
            </w:r>
          </w:p>
        </w:tc>
        <w:tc>
          <w:tcPr>
            <w:tcW w:w="1292" w:type="dxa"/>
            <w:vAlign w:val="center"/>
          </w:tcPr>
          <w:p w14:paraId="1B3B0421" w14:textId="77777777" w:rsidR="00CB4654" w:rsidRDefault="00CB4654" w:rsidP="00CB4654">
            <w:pPr>
              <w:pStyle w:val="TableText"/>
              <w:keepNext/>
              <w:keepLines/>
              <w:jc w:val="center"/>
            </w:pPr>
            <w:r>
              <w:t>47%</w:t>
            </w:r>
          </w:p>
        </w:tc>
        <w:tc>
          <w:tcPr>
            <w:tcW w:w="1471" w:type="dxa"/>
            <w:vAlign w:val="center"/>
          </w:tcPr>
          <w:p w14:paraId="421A2CDF" w14:textId="77777777" w:rsidR="00CB4654" w:rsidRDefault="00F97AC5" w:rsidP="00CB4654">
            <w:pPr>
              <w:pStyle w:val="TableText"/>
              <w:keepNext/>
              <w:keepLines/>
              <w:jc w:val="center"/>
            </w:pPr>
            <w:r>
              <w:t>6</w:t>
            </w:r>
            <w:r w:rsidR="00CB4654">
              <w:t>2%</w:t>
            </w:r>
          </w:p>
        </w:tc>
        <w:tc>
          <w:tcPr>
            <w:tcW w:w="1409" w:type="dxa"/>
            <w:vAlign w:val="center"/>
          </w:tcPr>
          <w:p w14:paraId="01383A69" w14:textId="77777777" w:rsidR="00CB4654" w:rsidRDefault="00CB4654" w:rsidP="00CB4654">
            <w:pPr>
              <w:pStyle w:val="TableText"/>
              <w:keepNext/>
              <w:keepLines/>
              <w:jc w:val="center"/>
            </w:pPr>
            <w:r>
              <w:t>5</w:t>
            </w:r>
            <w:r w:rsidR="00F97AC5">
              <w:t>6</w:t>
            </w:r>
            <w:r>
              <w:t>%</w:t>
            </w:r>
          </w:p>
        </w:tc>
        <w:tc>
          <w:tcPr>
            <w:tcW w:w="1892" w:type="dxa"/>
            <w:vAlign w:val="center"/>
          </w:tcPr>
          <w:p w14:paraId="652587FD" w14:textId="77777777" w:rsidR="00CB4654" w:rsidRDefault="00F97AC5" w:rsidP="00CB4654">
            <w:pPr>
              <w:pStyle w:val="TableText"/>
              <w:keepNext/>
              <w:keepLines/>
              <w:jc w:val="center"/>
            </w:pPr>
            <w:r>
              <w:t>64</w:t>
            </w:r>
            <w:r w:rsidR="00CB4654">
              <w:t>%</w:t>
            </w:r>
          </w:p>
        </w:tc>
      </w:tr>
      <w:tr w:rsidR="00CB4654" w14:paraId="580401EA" w14:textId="77777777" w:rsidTr="00907D32">
        <w:tc>
          <w:tcPr>
            <w:tcW w:w="1976" w:type="dxa"/>
          </w:tcPr>
          <w:p w14:paraId="5EFBE9E2" w14:textId="77777777" w:rsidR="00CB4654" w:rsidRPr="006812A7" w:rsidRDefault="00CB4654" w:rsidP="00CB4654">
            <w:pPr>
              <w:pStyle w:val="TableText"/>
              <w:rPr>
                <w:b/>
              </w:rPr>
            </w:pPr>
            <w:r w:rsidRPr="006812A7">
              <w:rPr>
                <w:b/>
              </w:rPr>
              <w:t xml:space="preserve">Youth </w:t>
            </w:r>
          </w:p>
        </w:tc>
        <w:tc>
          <w:tcPr>
            <w:tcW w:w="1292" w:type="dxa"/>
            <w:vAlign w:val="center"/>
          </w:tcPr>
          <w:p w14:paraId="0148693C" w14:textId="77777777" w:rsidR="00CB4654" w:rsidRDefault="00CB4654" w:rsidP="00907D32">
            <w:pPr>
              <w:pStyle w:val="TableText"/>
              <w:keepNext/>
              <w:keepLines/>
              <w:jc w:val="center"/>
            </w:pPr>
            <w:r>
              <w:t>51.1%</w:t>
            </w:r>
          </w:p>
        </w:tc>
        <w:tc>
          <w:tcPr>
            <w:tcW w:w="1292" w:type="dxa"/>
            <w:vAlign w:val="center"/>
          </w:tcPr>
          <w:p w14:paraId="51F9C603" w14:textId="77777777" w:rsidR="00CB4654" w:rsidRDefault="00CB4654" w:rsidP="00CB4654">
            <w:pPr>
              <w:pStyle w:val="TableText"/>
              <w:keepNext/>
              <w:keepLines/>
              <w:jc w:val="center"/>
            </w:pPr>
            <w:r>
              <w:t>38%</w:t>
            </w:r>
          </w:p>
        </w:tc>
        <w:tc>
          <w:tcPr>
            <w:tcW w:w="1471" w:type="dxa"/>
            <w:vAlign w:val="center"/>
          </w:tcPr>
          <w:p w14:paraId="762E492A" w14:textId="77777777" w:rsidR="00CB4654" w:rsidRDefault="00F97AC5" w:rsidP="00CB4654">
            <w:pPr>
              <w:pStyle w:val="TableText"/>
              <w:keepNext/>
              <w:keepLines/>
              <w:jc w:val="center"/>
            </w:pPr>
            <w:r>
              <w:t>51</w:t>
            </w:r>
            <w:r w:rsidR="00CB4654">
              <w:t>%</w:t>
            </w:r>
          </w:p>
        </w:tc>
        <w:tc>
          <w:tcPr>
            <w:tcW w:w="1409" w:type="dxa"/>
            <w:vAlign w:val="center"/>
          </w:tcPr>
          <w:p w14:paraId="68B9C106" w14:textId="77777777" w:rsidR="00CB4654" w:rsidRDefault="00F97AC5" w:rsidP="00CB4654">
            <w:pPr>
              <w:pStyle w:val="TableText"/>
              <w:keepNext/>
              <w:keepLines/>
              <w:jc w:val="center"/>
            </w:pPr>
            <w:r>
              <w:t>47</w:t>
            </w:r>
            <w:r w:rsidR="00CB4654">
              <w:t>%</w:t>
            </w:r>
          </w:p>
        </w:tc>
        <w:tc>
          <w:tcPr>
            <w:tcW w:w="1892" w:type="dxa"/>
            <w:vAlign w:val="center"/>
          </w:tcPr>
          <w:p w14:paraId="392EEB41" w14:textId="77777777" w:rsidR="00CB4654" w:rsidRDefault="00CB4654" w:rsidP="00CB4654">
            <w:pPr>
              <w:pStyle w:val="TableText"/>
              <w:keepNext/>
              <w:keepLines/>
              <w:jc w:val="center"/>
            </w:pPr>
            <w:r>
              <w:t>50%</w:t>
            </w:r>
          </w:p>
        </w:tc>
      </w:tr>
      <w:tr w:rsidR="00CB4654" w14:paraId="75B26A19" w14:textId="77777777" w:rsidTr="00907D32">
        <w:trPr>
          <w:cnfStyle w:val="000000100000" w:firstRow="0" w:lastRow="0" w:firstColumn="0" w:lastColumn="0" w:oddVBand="0" w:evenVBand="0" w:oddHBand="1" w:evenHBand="0" w:firstRowFirstColumn="0" w:firstRowLastColumn="0" w:lastRowFirstColumn="0" w:lastRowLastColumn="0"/>
        </w:trPr>
        <w:tc>
          <w:tcPr>
            <w:tcW w:w="1976" w:type="dxa"/>
          </w:tcPr>
          <w:p w14:paraId="2CCA5E07" w14:textId="77777777" w:rsidR="00CB4654" w:rsidRPr="006812A7" w:rsidRDefault="00CB4654" w:rsidP="00CB4654">
            <w:pPr>
              <w:pStyle w:val="TableText"/>
              <w:rPr>
                <w:b/>
              </w:rPr>
            </w:pPr>
            <w:r w:rsidRPr="006812A7">
              <w:rPr>
                <w:b/>
              </w:rPr>
              <w:t>Impact</w:t>
            </w:r>
          </w:p>
        </w:tc>
        <w:tc>
          <w:tcPr>
            <w:tcW w:w="1292" w:type="dxa"/>
            <w:vAlign w:val="center"/>
          </w:tcPr>
          <w:p w14:paraId="6A85FB39" w14:textId="77777777" w:rsidR="00CB4654" w:rsidRDefault="00CB4654" w:rsidP="00907D32">
            <w:pPr>
              <w:pStyle w:val="TableText"/>
              <w:keepNext/>
              <w:keepLines/>
              <w:jc w:val="center"/>
            </w:pPr>
            <w:r>
              <w:t>50.0%</w:t>
            </w:r>
          </w:p>
        </w:tc>
        <w:tc>
          <w:tcPr>
            <w:tcW w:w="1292" w:type="dxa"/>
            <w:vAlign w:val="center"/>
          </w:tcPr>
          <w:p w14:paraId="31039AE4" w14:textId="77777777" w:rsidR="00CB4654" w:rsidRDefault="00CB4654" w:rsidP="00CB4654">
            <w:pPr>
              <w:pStyle w:val="TableText"/>
              <w:keepNext/>
              <w:keepLines/>
              <w:jc w:val="center"/>
            </w:pPr>
            <w:r>
              <w:t>41%</w:t>
            </w:r>
          </w:p>
        </w:tc>
        <w:tc>
          <w:tcPr>
            <w:tcW w:w="1471" w:type="dxa"/>
            <w:vAlign w:val="center"/>
          </w:tcPr>
          <w:p w14:paraId="7259E6DB" w14:textId="77777777" w:rsidR="00CB4654" w:rsidRDefault="00F97AC5" w:rsidP="00CB4654">
            <w:pPr>
              <w:pStyle w:val="TableText"/>
              <w:keepNext/>
              <w:keepLines/>
              <w:jc w:val="center"/>
            </w:pPr>
            <w:r>
              <w:t>49</w:t>
            </w:r>
            <w:r w:rsidR="00CB4654">
              <w:t>%</w:t>
            </w:r>
          </w:p>
        </w:tc>
        <w:tc>
          <w:tcPr>
            <w:tcW w:w="1409" w:type="dxa"/>
            <w:vAlign w:val="center"/>
          </w:tcPr>
          <w:p w14:paraId="7DFA4B14" w14:textId="77777777" w:rsidR="00CB4654" w:rsidRDefault="00CB4654" w:rsidP="00CB4654">
            <w:pPr>
              <w:pStyle w:val="TableText"/>
              <w:keepNext/>
              <w:keepLines/>
              <w:jc w:val="center"/>
            </w:pPr>
            <w:r>
              <w:t>44%</w:t>
            </w:r>
          </w:p>
        </w:tc>
        <w:tc>
          <w:tcPr>
            <w:tcW w:w="1892" w:type="dxa"/>
            <w:vAlign w:val="center"/>
          </w:tcPr>
          <w:p w14:paraId="061F3149" w14:textId="77777777" w:rsidR="00CB4654" w:rsidRDefault="00F97AC5" w:rsidP="00CB4654">
            <w:pPr>
              <w:pStyle w:val="TableText"/>
              <w:keepNext/>
              <w:keepLines/>
              <w:jc w:val="center"/>
            </w:pPr>
            <w:r>
              <w:t>64</w:t>
            </w:r>
            <w:r w:rsidR="00CB4654">
              <w:t>%</w:t>
            </w:r>
          </w:p>
        </w:tc>
      </w:tr>
      <w:tr w:rsidR="00CB4654" w14:paraId="6E62EE19" w14:textId="77777777" w:rsidTr="00907D32">
        <w:tc>
          <w:tcPr>
            <w:tcW w:w="1976" w:type="dxa"/>
          </w:tcPr>
          <w:p w14:paraId="589D4435" w14:textId="77777777" w:rsidR="00CB4654" w:rsidRPr="006812A7" w:rsidRDefault="00CB4654" w:rsidP="00CB4654">
            <w:pPr>
              <w:pStyle w:val="TableText"/>
              <w:rPr>
                <w:b/>
              </w:rPr>
            </w:pPr>
            <w:r w:rsidRPr="006812A7">
              <w:rPr>
                <w:b/>
              </w:rPr>
              <w:t>Coworkers</w:t>
            </w:r>
          </w:p>
        </w:tc>
        <w:tc>
          <w:tcPr>
            <w:tcW w:w="1292" w:type="dxa"/>
            <w:vAlign w:val="center"/>
          </w:tcPr>
          <w:p w14:paraId="244E7A4D" w14:textId="77777777" w:rsidR="00CB4654" w:rsidRDefault="00CB4654" w:rsidP="00907D32">
            <w:pPr>
              <w:pStyle w:val="TableText"/>
              <w:keepNext/>
              <w:keepLines/>
              <w:jc w:val="center"/>
            </w:pPr>
            <w:r>
              <w:t>44.0%</w:t>
            </w:r>
          </w:p>
        </w:tc>
        <w:tc>
          <w:tcPr>
            <w:tcW w:w="1292" w:type="dxa"/>
            <w:vAlign w:val="center"/>
          </w:tcPr>
          <w:p w14:paraId="71B695AA" w14:textId="77777777" w:rsidR="00CB4654" w:rsidRDefault="00CB4654" w:rsidP="00CB4654">
            <w:pPr>
              <w:pStyle w:val="TableText"/>
              <w:keepNext/>
              <w:keepLines/>
              <w:jc w:val="center"/>
            </w:pPr>
            <w:r>
              <w:t>38%</w:t>
            </w:r>
          </w:p>
        </w:tc>
        <w:tc>
          <w:tcPr>
            <w:tcW w:w="1471" w:type="dxa"/>
            <w:vAlign w:val="center"/>
          </w:tcPr>
          <w:p w14:paraId="049895B8" w14:textId="77777777" w:rsidR="00CB4654" w:rsidRDefault="00F97AC5" w:rsidP="00CB4654">
            <w:pPr>
              <w:pStyle w:val="TableText"/>
              <w:keepNext/>
              <w:keepLines/>
              <w:jc w:val="center"/>
            </w:pPr>
            <w:r>
              <w:t>59</w:t>
            </w:r>
            <w:r w:rsidR="00CB4654">
              <w:t>%</w:t>
            </w:r>
          </w:p>
        </w:tc>
        <w:tc>
          <w:tcPr>
            <w:tcW w:w="1409" w:type="dxa"/>
            <w:vAlign w:val="center"/>
          </w:tcPr>
          <w:p w14:paraId="6CB46A2A" w14:textId="77777777" w:rsidR="00CB4654" w:rsidRDefault="00F97AC5" w:rsidP="00CB4654">
            <w:pPr>
              <w:pStyle w:val="TableText"/>
              <w:keepNext/>
              <w:keepLines/>
              <w:jc w:val="center"/>
            </w:pPr>
            <w:r>
              <w:t>34</w:t>
            </w:r>
            <w:r w:rsidR="00CB4654">
              <w:t>%</w:t>
            </w:r>
          </w:p>
        </w:tc>
        <w:tc>
          <w:tcPr>
            <w:tcW w:w="1892" w:type="dxa"/>
            <w:vAlign w:val="center"/>
          </w:tcPr>
          <w:p w14:paraId="6059C18B" w14:textId="77777777" w:rsidR="00CB4654" w:rsidRDefault="00F97AC5" w:rsidP="00CB4654">
            <w:pPr>
              <w:pStyle w:val="TableText"/>
              <w:keepNext/>
              <w:keepLines/>
              <w:jc w:val="center"/>
            </w:pPr>
            <w:r>
              <w:t>30</w:t>
            </w:r>
            <w:r w:rsidR="00CB4654">
              <w:t>%</w:t>
            </w:r>
          </w:p>
        </w:tc>
      </w:tr>
      <w:tr w:rsidR="003A070D" w14:paraId="73005797" w14:textId="77777777" w:rsidTr="00907D32">
        <w:trPr>
          <w:cnfStyle w:val="000000100000" w:firstRow="0" w:lastRow="0" w:firstColumn="0" w:lastColumn="0" w:oddVBand="0" w:evenVBand="0" w:oddHBand="1" w:evenHBand="0" w:firstRowFirstColumn="0" w:firstRowLastColumn="0" w:lastRowFirstColumn="0" w:lastRowLastColumn="0"/>
        </w:trPr>
        <w:tc>
          <w:tcPr>
            <w:tcW w:w="1976" w:type="dxa"/>
          </w:tcPr>
          <w:p w14:paraId="645537E8" w14:textId="77777777" w:rsidR="00CB4654" w:rsidRPr="006812A7" w:rsidRDefault="00CB4654" w:rsidP="00CB4654">
            <w:pPr>
              <w:pStyle w:val="TableText"/>
              <w:rPr>
                <w:b/>
              </w:rPr>
            </w:pPr>
            <w:r w:rsidRPr="006812A7">
              <w:rPr>
                <w:b/>
              </w:rPr>
              <w:t>Leadership &amp; Supervision Support</w:t>
            </w:r>
          </w:p>
        </w:tc>
        <w:tc>
          <w:tcPr>
            <w:tcW w:w="1292" w:type="dxa"/>
            <w:vAlign w:val="center"/>
          </w:tcPr>
          <w:p w14:paraId="344E9ED1" w14:textId="77777777" w:rsidR="00CB4654" w:rsidRDefault="00CB4654" w:rsidP="00907D32">
            <w:pPr>
              <w:pStyle w:val="TableText"/>
              <w:keepNext/>
              <w:keepLines/>
              <w:jc w:val="center"/>
            </w:pPr>
            <w:r>
              <w:t>30.4%</w:t>
            </w:r>
          </w:p>
        </w:tc>
        <w:tc>
          <w:tcPr>
            <w:tcW w:w="1292" w:type="dxa"/>
            <w:vAlign w:val="center"/>
          </w:tcPr>
          <w:p w14:paraId="472F821B" w14:textId="77777777" w:rsidR="00CB4654" w:rsidRDefault="00CB4654" w:rsidP="00CB4654">
            <w:pPr>
              <w:pStyle w:val="TableText"/>
              <w:keepNext/>
              <w:keepLines/>
              <w:jc w:val="center"/>
            </w:pPr>
            <w:r>
              <w:t>28%</w:t>
            </w:r>
          </w:p>
        </w:tc>
        <w:tc>
          <w:tcPr>
            <w:tcW w:w="1471" w:type="dxa"/>
            <w:vAlign w:val="center"/>
          </w:tcPr>
          <w:p w14:paraId="049F18E8" w14:textId="77777777" w:rsidR="00CB4654" w:rsidRDefault="00F97AC5" w:rsidP="00CB4654">
            <w:pPr>
              <w:pStyle w:val="TableText"/>
              <w:keepNext/>
              <w:keepLines/>
              <w:jc w:val="center"/>
            </w:pPr>
            <w:r>
              <w:t>32</w:t>
            </w:r>
            <w:r w:rsidR="00CB4654">
              <w:t>%</w:t>
            </w:r>
          </w:p>
        </w:tc>
        <w:tc>
          <w:tcPr>
            <w:tcW w:w="1409" w:type="dxa"/>
            <w:vAlign w:val="center"/>
          </w:tcPr>
          <w:p w14:paraId="668B409D" w14:textId="77777777" w:rsidR="00CB4654" w:rsidRDefault="00CB4654" w:rsidP="00CB4654">
            <w:pPr>
              <w:pStyle w:val="TableText"/>
              <w:keepNext/>
              <w:keepLines/>
              <w:jc w:val="center"/>
            </w:pPr>
            <w:r>
              <w:t>25%</w:t>
            </w:r>
          </w:p>
        </w:tc>
        <w:tc>
          <w:tcPr>
            <w:tcW w:w="1892" w:type="dxa"/>
            <w:vAlign w:val="center"/>
          </w:tcPr>
          <w:p w14:paraId="073ABA0E" w14:textId="77777777" w:rsidR="00CB4654" w:rsidRDefault="00F97AC5" w:rsidP="00CB4654">
            <w:pPr>
              <w:pStyle w:val="TableText"/>
              <w:keepNext/>
              <w:keepLines/>
              <w:jc w:val="center"/>
            </w:pPr>
            <w:r>
              <w:t>34</w:t>
            </w:r>
            <w:r w:rsidR="00CB4654">
              <w:t>%</w:t>
            </w:r>
          </w:p>
        </w:tc>
      </w:tr>
      <w:tr w:rsidR="00CB4654" w14:paraId="487BA7A5" w14:textId="77777777" w:rsidTr="00907D32">
        <w:tc>
          <w:tcPr>
            <w:tcW w:w="1976" w:type="dxa"/>
          </w:tcPr>
          <w:p w14:paraId="6F2D3802" w14:textId="77777777" w:rsidR="00CB4654" w:rsidRPr="006812A7" w:rsidRDefault="00CB4654" w:rsidP="00CB4654">
            <w:pPr>
              <w:pStyle w:val="TableText"/>
              <w:rPr>
                <w:b/>
              </w:rPr>
            </w:pPr>
            <w:r w:rsidRPr="006812A7">
              <w:rPr>
                <w:b/>
              </w:rPr>
              <w:t>Salary</w:t>
            </w:r>
          </w:p>
        </w:tc>
        <w:tc>
          <w:tcPr>
            <w:tcW w:w="1292" w:type="dxa"/>
            <w:vAlign w:val="center"/>
          </w:tcPr>
          <w:p w14:paraId="34CAA42E" w14:textId="77777777" w:rsidR="00CB4654" w:rsidRDefault="00CB4654" w:rsidP="00907D32">
            <w:pPr>
              <w:pStyle w:val="TableText"/>
              <w:keepNext/>
              <w:keepLines/>
              <w:jc w:val="center"/>
            </w:pPr>
            <w:r>
              <w:t>28.8%</w:t>
            </w:r>
          </w:p>
        </w:tc>
        <w:tc>
          <w:tcPr>
            <w:tcW w:w="1292" w:type="dxa"/>
            <w:vAlign w:val="center"/>
          </w:tcPr>
          <w:p w14:paraId="5D095180" w14:textId="77777777" w:rsidR="00CB4654" w:rsidRDefault="00CB4654" w:rsidP="00CB4654">
            <w:pPr>
              <w:pStyle w:val="TableText"/>
              <w:keepNext/>
              <w:keepLines/>
              <w:jc w:val="center"/>
            </w:pPr>
            <w:r>
              <w:t>25%</w:t>
            </w:r>
          </w:p>
        </w:tc>
        <w:tc>
          <w:tcPr>
            <w:tcW w:w="1471" w:type="dxa"/>
            <w:vAlign w:val="center"/>
          </w:tcPr>
          <w:p w14:paraId="49887EB4" w14:textId="77777777" w:rsidR="00CB4654" w:rsidRDefault="00F97AC5" w:rsidP="00CB4654">
            <w:pPr>
              <w:pStyle w:val="TableText"/>
              <w:keepNext/>
              <w:keepLines/>
              <w:jc w:val="center"/>
            </w:pPr>
            <w:r>
              <w:t>21</w:t>
            </w:r>
            <w:r w:rsidR="00CB4654">
              <w:t>%</w:t>
            </w:r>
          </w:p>
        </w:tc>
        <w:tc>
          <w:tcPr>
            <w:tcW w:w="1409" w:type="dxa"/>
            <w:vAlign w:val="center"/>
          </w:tcPr>
          <w:p w14:paraId="1471AC1D" w14:textId="77777777" w:rsidR="00CB4654" w:rsidRDefault="00CB4654" w:rsidP="00CB4654">
            <w:pPr>
              <w:pStyle w:val="TableText"/>
              <w:keepNext/>
              <w:keepLines/>
              <w:jc w:val="center"/>
            </w:pPr>
            <w:r>
              <w:t>41%</w:t>
            </w:r>
          </w:p>
        </w:tc>
        <w:tc>
          <w:tcPr>
            <w:tcW w:w="1892" w:type="dxa"/>
            <w:vAlign w:val="center"/>
          </w:tcPr>
          <w:p w14:paraId="67E49D83" w14:textId="77777777" w:rsidR="00CB4654" w:rsidRDefault="00F97AC5" w:rsidP="00CB4654">
            <w:pPr>
              <w:pStyle w:val="TableText"/>
              <w:keepNext/>
              <w:keepLines/>
              <w:jc w:val="center"/>
            </w:pPr>
            <w:r>
              <w:t>18</w:t>
            </w:r>
            <w:r w:rsidR="00CB4654">
              <w:t>%</w:t>
            </w:r>
          </w:p>
        </w:tc>
      </w:tr>
      <w:tr w:rsidR="00CB4654" w14:paraId="0DB7764B" w14:textId="77777777" w:rsidTr="00907D32">
        <w:trPr>
          <w:cnfStyle w:val="000000100000" w:firstRow="0" w:lastRow="0" w:firstColumn="0" w:lastColumn="0" w:oddVBand="0" w:evenVBand="0" w:oddHBand="1" w:evenHBand="0" w:firstRowFirstColumn="0" w:firstRowLastColumn="0" w:lastRowFirstColumn="0" w:lastRowLastColumn="0"/>
        </w:trPr>
        <w:tc>
          <w:tcPr>
            <w:tcW w:w="1976" w:type="dxa"/>
          </w:tcPr>
          <w:p w14:paraId="4ADB44D9" w14:textId="77777777" w:rsidR="00CB4654" w:rsidRPr="006812A7" w:rsidRDefault="00CB4654" w:rsidP="00CB4654">
            <w:pPr>
              <w:pStyle w:val="TableText"/>
              <w:rPr>
                <w:b/>
              </w:rPr>
            </w:pPr>
            <w:r w:rsidRPr="006812A7">
              <w:rPr>
                <w:b/>
              </w:rPr>
              <w:t>Advancement</w:t>
            </w:r>
          </w:p>
        </w:tc>
        <w:tc>
          <w:tcPr>
            <w:tcW w:w="1292" w:type="dxa"/>
            <w:vAlign w:val="center"/>
          </w:tcPr>
          <w:p w14:paraId="58ED25DA" w14:textId="77777777" w:rsidR="00CB4654" w:rsidRDefault="00CB4654" w:rsidP="00907D32">
            <w:pPr>
              <w:pStyle w:val="TableText"/>
              <w:keepNext/>
              <w:keepLines/>
              <w:jc w:val="center"/>
            </w:pPr>
            <w:r>
              <w:t>28.3%</w:t>
            </w:r>
          </w:p>
        </w:tc>
        <w:tc>
          <w:tcPr>
            <w:tcW w:w="1292" w:type="dxa"/>
            <w:vAlign w:val="center"/>
          </w:tcPr>
          <w:p w14:paraId="1CD2010D" w14:textId="77777777" w:rsidR="00CB4654" w:rsidRDefault="00CB4654" w:rsidP="00CB4654">
            <w:pPr>
              <w:pStyle w:val="TableText"/>
              <w:keepNext/>
              <w:keepLines/>
              <w:jc w:val="center"/>
            </w:pPr>
            <w:r>
              <w:t>16%</w:t>
            </w:r>
          </w:p>
        </w:tc>
        <w:tc>
          <w:tcPr>
            <w:tcW w:w="1471" w:type="dxa"/>
            <w:vAlign w:val="center"/>
          </w:tcPr>
          <w:p w14:paraId="3F7F15EE" w14:textId="77777777" w:rsidR="00CB4654" w:rsidRDefault="00F97AC5" w:rsidP="00CB4654">
            <w:pPr>
              <w:pStyle w:val="TableText"/>
              <w:keepNext/>
              <w:keepLines/>
              <w:jc w:val="center"/>
            </w:pPr>
            <w:r>
              <w:t>34</w:t>
            </w:r>
            <w:r w:rsidR="00CB4654">
              <w:t>%</w:t>
            </w:r>
          </w:p>
        </w:tc>
        <w:tc>
          <w:tcPr>
            <w:tcW w:w="1409" w:type="dxa"/>
            <w:vAlign w:val="center"/>
          </w:tcPr>
          <w:p w14:paraId="09792CDF" w14:textId="77777777" w:rsidR="00CB4654" w:rsidRDefault="00CB4654" w:rsidP="00CB4654">
            <w:pPr>
              <w:pStyle w:val="TableText"/>
              <w:keepNext/>
              <w:keepLines/>
              <w:jc w:val="center"/>
            </w:pPr>
            <w:r>
              <w:t>25%</w:t>
            </w:r>
          </w:p>
        </w:tc>
        <w:tc>
          <w:tcPr>
            <w:tcW w:w="1892" w:type="dxa"/>
            <w:vAlign w:val="center"/>
          </w:tcPr>
          <w:p w14:paraId="08BB1F96" w14:textId="77777777" w:rsidR="00CB4654" w:rsidRDefault="00F97AC5" w:rsidP="00CB4654">
            <w:pPr>
              <w:pStyle w:val="TableText"/>
              <w:keepNext/>
              <w:keepLines/>
              <w:jc w:val="center"/>
            </w:pPr>
            <w:r>
              <w:t>30</w:t>
            </w:r>
            <w:r w:rsidR="00CB4654">
              <w:t>%</w:t>
            </w:r>
          </w:p>
        </w:tc>
      </w:tr>
      <w:tr w:rsidR="00CB4654" w14:paraId="1B31EF4B" w14:textId="77777777" w:rsidTr="00907D32">
        <w:tc>
          <w:tcPr>
            <w:tcW w:w="1976" w:type="dxa"/>
          </w:tcPr>
          <w:p w14:paraId="5241C295" w14:textId="77777777" w:rsidR="00CB4654" w:rsidRPr="006812A7" w:rsidRDefault="00CB4654" w:rsidP="00CB4654">
            <w:pPr>
              <w:pStyle w:val="TableText"/>
              <w:rPr>
                <w:b/>
              </w:rPr>
            </w:pPr>
            <w:r w:rsidRPr="006812A7">
              <w:rPr>
                <w:b/>
              </w:rPr>
              <w:t xml:space="preserve">Workload &amp; Work/Life Balance </w:t>
            </w:r>
          </w:p>
        </w:tc>
        <w:tc>
          <w:tcPr>
            <w:tcW w:w="1292" w:type="dxa"/>
            <w:vAlign w:val="center"/>
          </w:tcPr>
          <w:p w14:paraId="3FD2B5D4" w14:textId="77777777" w:rsidR="00CB4654" w:rsidRDefault="00CB4654" w:rsidP="00907D32">
            <w:pPr>
              <w:pStyle w:val="TableText"/>
              <w:jc w:val="center"/>
            </w:pPr>
            <w:r>
              <w:t>26.6%</w:t>
            </w:r>
          </w:p>
        </w:tc>
        <w:tc>
          <w:tcPr>
            <w:tcW w:w="1292" w:type="dxa"/>
            <w:vAlign w:val="center"/>
          </w:tcPr>
          <w:p w14:paraId="11966ED8" w14:textId="77777777" w:rsidR="00CB4654" w:rsidRDefault="00CB4654" w:rsidP="00CB4654">
            <w:pPr>
              <w:pStyle w:val="TableText"/>
              <w:jc w:val="center"/>
            </w:pPr>
            <w:r>
              <w:t>19%</w:t>
            </w:r>
          </w:p>
        </w:tc>
        <w:tc>
          <w:tcPr>
            <w:tcW w:w="1471" w:type="dxa"/>
            <w:vAlign w:val="center"/>
          </w:tcPr>
          <w:p w14:paraId="53270C5D" w14:textId="77777777" w:rsidR="00CB4654" w:rsidRDefault="00264C8F" w:rsidP="00CB4654">
            <w:pPr>
              <w:pStyle w:val="TableText"/>
              <w:jc w:val="center"/>
            </w:pPr>
            <w:r>
              <w:t>3</w:t>
            </w:r>
            <w:r w:rsidR="00CB4654">
              <w:t>4%</w:t>
            </w:r>
          </w:p>
        </w:tc>
        <w:tc>
          <w:tcPr>
            <w:tcW w:w="1409" w:type="dxa"/>
            <w:vAlign w:val="center"/>
          </w:tcPr>
          <w:p w14:paraId="1C1238F5" w14:textId="77777777" w:rsidR="00CB4654" w:rsidRDefault="00CB4654" w:rsidP="00CB4654">
            <w:pPr>
              <w:pStyle w:val="TableText"/>
              <w:jc w:val="center"/>
            </w:pPr>
            <w:r>
              <w:t>25%</w:t>
            </w:r>
          </w:p>
        </w:tc>
        <w:tc>
          <w:tcPr>
            <w:tcW w:w="1892" w:type="dxa"/>
            <w:vAlign w:val="center"/>
          </w:tcPr>
          <w:p w14:paraId="021FDB6F" w14:textId="77777777" w:rsidR="00CB4654" w:rsidRDefault="00264C8F" w:rsidP="00CB4654">
            <w:pPr>
              <w:pStyle w:val="TableText"/>
              <w:jc w:val="center"/>
            </w:pPr>
            <w:r>
              <w:t>20</w:t>
            </w:r>
            <w:r w:rsidR="00CB4654">
              <w:t>%</w:t>
            </w:r>
          </w:p>
        </w:tc>
      </w:tr>
      <w:tr w:rsidR="00CB4654" w14:paraId="155AE29C" w14:textId="77777777" w:rsidTr="00907D32">
        <w:trPr>
          <w:cnfStyle w:val="000000100000" w:firstRow="0" w:lastRow="0" w:firstColumn="0" w:lastColumn="0" w:oddVBand="0" w:evenVBand="0" w:oddHBand="1" w:evenHBand="0" w:firstRowFirstColumn="0" w:firstRowLastColumn="0" w:lastRowFirstColumn="0" w:lastRowLastColumn="0"/>
        </w:trPr>
        <w:tc>
          <w:tcPr>
            <w:tcW w:w="1976" w:type="dxa"/>
          </w:tcPr>
          <w:p w14:paraId="65B5CC0A" w14:textId="77777777" w:rsidR="00CB4654" w:rsidRPr="006812A7" w:rsidRDefault="00CB4654" w:rsidP="00CB4654">
            <w:pPr>
              <w:pStyle w:val="TableText"/>
              <w:rPr>
                <w:b/>
              </w:rPr>
            </w:pPr>
            <w:r w:rsidRPr="006812A7">
              <w:rPr>
                <w:b/>
              </w:rPr>
              <w:t xml:space="preserve">Safety </w:t>
            </w:r>
          </w:p>
        </w:tc>
        <w:tc>
          <w:tcPr>
            <w:tcW w:w="1292" w:type="dxa"/>
            <w:vAlign w:val="center"/>
          </w:tcPr>
          <w:p w14:paraId="0A618A88" w14:textId="77777777" w:rsidR="00CB4654" w:rsidRDefault="00CB4654" w:rsidP="00907D32">
            <w:pPr>
              <w:pStyle w:val="TableText"/>
              <w:jc w:val="center"/>
            </w:pPr>
            <w:r>
              <w:t>17.9%</w:t>
            </w:r>
          </w:p>
        </w:tc>
        <w:tc>
          <w:tcPr>
            <w:tcW w:w="1292" w:type="dxa"/>
            <w:vAlign w:val="center"/>
          </w:tcPr>
          <w:p w14:paraId="5B0C3049" w14:textId="77777777" w:rsidR="00CB4654" w:rsidRDefault="00CB4654" w:rsidP="00CB4654">
            <w:pPr>
              <w:pStyle w:val="TableText"/>
              <w:jc w:val="center"/>
            </w:pPr>
            <w:r>
              <w:t>6%</w:t>
            </w:r>
          </w:p>
        </w:tc>
        <w:tc>
          <w:tcPr>
            <w:tcW w:w="1471" w:type="dxa"/>
            <w:vAlign w:val="center"/>
          </w:tcPr>
          <w:p w14:paraId="7DA55927" w14:textId="77777777" w:rsidR="00CB4654" w:rsidRDefault="00264C8F" w:rsidP="00CB4654">
            <w:pPr>
              <w:pStyle w:val="TableText"/>
              <w:jc w:val="center"/>
            </w:pPr>
            <w:r>
              <w:t>22</w:t>
            </w:r>
            <w:r w:rsidR="00CB4654">
              <w:t>%</w:t>
            </w:r>
          </w:p>
        </w:tc>
        <w:tc>
          <w:tcPr>
            <w:tcW w:w="1409" w:type="dxa"/>
            <w:vAlign w:val="center"/>
          </w:tcPr>
          <w:p w14:paraId="4B5A17F1" w14:textId="77777777" w:rsidR="00CB4654" w:rsidRDefault="00CB4654" w:rsidP="00CB4654">
            <w:pPr>
              <w:pStyle w:val="TableText"/>
              <w:jc w:val="center"/>
            </w:pPr>
            <w:r>
              <w:t>16%</w:t>
            </w:r>
          </w:p>
        </w:tc>
        <w:tc>
          <w:tcPr>
            <w:tcW w:w="1892" w:type="dxa"/>
            <w:vAlign w:val="center"/>
          </w:tcPr>
          <w:p w14:paraId="5A554C3F" w14:textId="77777777" w:rsidR="00CB4654" w:rsidRDefault="00264C8F" w:rsidP="00CB4654">
            <w:pPr>
              <w:pStyle w:val="TableText"/>
              <w:jc w:val="center"/>
            </w:pPr>
            <w:r>
              <w:t>20</w:t>
            </w:r>
            <w:r w:rsidR="00CB4654">
              <w:t>%</w:t>
            </w:r>
          </w:p>
        </w:tc>
      </w:tr>
      <w:tr w:rsidR="00CB4654" w14:paraId="2E3A59E5" w14:textId="77777777" w:rsidTr="00907D32">
        <w:tc>
          <w:tcPr>
            <w:tcW w:w="1976" w:type="dxa"/>
          </w:tcPr>
          <w:p w14:paraId="5AB4265B" w14:textId="77777777" w:rsidR="00CB4654" w:rsidRPr="006812A7" w:rsidRDefault="00CB4654" w:rsidP="00CB4654">
            <w:pPr>
              <w:pStyle w:val="TableText"/>
              <w:rPr>
                <w:b/>
              </w:rPr>
            </w:pPr>
            <w:r w:rsidRPr="006812A7">
              <w:rPr>
                <w:b/>
              </w:rPr>
              <w:t xml:space="preserve">Other </w:t>
            </w:r>
          </w:p>
        </w:tc>
        <w:tc>
          <w:tcPr>
            <w:tcW w:w="1292" w:type="dxa"/>
            <w:vAlign w:val="center"/>
          </w:tcPr>
          <w:p w14:paraId="4C3046ED" w14:textId="77777777" w:rsidR="00CB4654" w:rsidRDefault="00CB4654" w:rsidP="00907D32">
            <w:pPr>
              <w:pStyle w:val="TableText"/>
              <w:jc w:val="center"/>
            </w:pPr>
            <w:r>
              <w:t>14.7%</w:t>
            </w:r>
          </w:p>
        </w:tc>
        <w:tc>
          <w:tcPr>
            <w:tcW w:w="1292" w:type="dxa"/>
            <w:vAlign w:val="center"/>
          </w:tcPr>
          <w:p w14:paraId="731DD214" w14:textId="77777777" w:rsidR="00CB4654" w:rsidRDefault="00CB4654" w:rsidP="00CB4654">
            <w:pPr>
              <w:pStyle w:val="TableText"/>
              <w:jc w:val="center"/>
            </w:pPr>
            <w:r>
              <w:t>19%</w:t>
            </w:r>
          </w:p>
        </w:tc>
        <w:tc>
          <w:tcPr>
            <w:tcW w:w="1471" w:type="dxa"/>
            <w:vAlign w:val="center"/>
          </w:tcPr>
          <w:p w14:paraId="5A113D41" w14:textId="77777777" w:rsidR="00CB4654" w:rsidRDefault="00264C8F" w:rsidP="00CB4654">
            <w:pPr>
              <w:pStyle w:val="TableText"/>
              <w:jc w:val="center"/>
            </w:pPr>
            <w:r>
              <w:t>12</w:t>
            </w:r>
            <w:r w:rsidR="00CB4654">
              <w:t>%</w:t>
            </w:r>
          </w:p>
        </w:tc>
        <w:tc>
          <w:tcPr>
            <w:tcW w:w="1409" w:type="dxa"/>
            <w:vAlign w:val="center"/>
          </w:tcPr>
          <w:p w14:paraId="6267C758" w14:textId="77777777" w:rsidR="00CB4654" w:rsidRDefault="00CB4654" w:rsidP="00CB4654">
            <w:pPr>
              <w:pStyle w:val="TableText"/>
              <w:jc w:val="center"/>
            </w:pPr>
            <w:r>
              <w:t>13%</w:t>
            </w:r>
          </w:p>
        </w:tc>
        <w:tc>
          <w:tcPr>
            <w:tcW w:w="1892" w:type="dxa"/>
            <w:vAlign w:val="center"/>
          </w:tcPr>
          <w:p w14:paraId="425767EA" w14:textId="77777777" w:rsidR="00CB4654" w:rsidRDefault="00264C8F" w:rsidP="00CB4654">
            <w:pPr>
              <w:pStyle w:val="TableText"/>
              <w:jc w:val="center"/>
            </w:pPr>
            <w:r>
              <w:t>18</w:t>
            </w:r>
            <w:r w:rsidR="00CB4654">
              <w:t>%</w:t>
            </w:r>
          </w:p>
        </w:tc>
      </w:tr>
    </w:tbl>
    <w:p w14:paraId="0F977086" w14:textId="77777777" w:rsidR="00355AF7" w:rsidRDefault="00355AF7" w:rsidP="00355AF7">
      <w:pPr>
        <w:spacing w:before="60" w:after="60"/>
      </w:pPr>
    </w:p>
    <w:p w14:paraId="3FC47F59" w14:textId="77777777" w:rsidR="003F6A2B" w:rsidRPr="003F6A2B" w:rsidRDefault="003F6A2B" w:rsidP="003F6A2B">
      <w:pPr>
        <w:pStyle w:val="PullQuote"/>
        <w:framePr w:wrap="around" w:hAnchor="page" w:x="6929" w:y="533"/>
      </w:pPr>
      <w:r w:rsidRPr="003F6A2B">
        <w:t xml:space="preserve">“What I like most about my job is helping youth make changes that will help them </w:t>
      </w:r>
      <w:r w:rsidR="00C20F4C">
        <w:t xml:space="preserve"> </w:t>
      </w:r>
      <w:r w:rsidRPr="003F6A2B">
        <w:t>avoid negative behaviors and become productive citizens.”</w:t>
      </w:r>
    </w:p>
    <w:p w14:paraId="70565BC9" w14:textId="77777777" w:rsidR="003F6A2B" w:rsidRDefault="003F6A2B" w:rsidP="003F6A2B">
      <w:pPr>
        <w:pStyle w:val="PullQuote"/>
        <w:framePr w:wrap="around" w:hAnchor="page" w:x="6929" w:y="533"/>
        <w:jc w:val="right"/>
      </w:pPr>
      <w:r w:rsidRPr="003F6A2B">
        <w:t>—Counselor</w:t>
      </w:r>
    </w:p>
    <w:p w14:paraId="3C0C21C9" w14:textId="77777777" w:rsidR="00AF3A51" w:rsidRDefault="00AF3A51" w:rsidP="005D1137">
      <w:pPr>
        <w:spacing w:before="60" w:after="60"/>
      </w:pPr>
      <w:r>
        <w:t>In all of the interviews with direct services staff, working with the youth was usually identified as what they like most about</w:t>
      </w:r>
      <w:r w:rsidR="003F6A2B">
        <w:t xml:space="preserve"> </w:t>
      </w:r>
      <w:r>
        <w:t xml:space="preserve">their job. Many indicated they get a great sense of accomplishment and satisfaction when they hear from youth or learn about youth who are doing well and thriving </w:t>
      </w:r>
      <w:r w:rsidR="00815960">
        <w:t xml:space="preserve">once they are </w:t>
      </w:r>
      <w:r>
        <w:t xml:space="preserve">back in their communities. </w:t>
      </w:r>
      <w:r w:rsidR="005D1137">
        <w:t xml:space="preserve">Many of the staff also </w:t>
      </w:r>
      <w:r w:rsidR="00815960">
        <w:t xml:space="preserve">said </w:t>
      </w:r>
      <w:r w:rsidR="005D1137">
        <w:t>their relationships with their co-workers was a positive aspect of their job.</w:t>
      </w:r>
    </w:p>
    <w:p w14:paraId="3878E7EC" w14:textId="77777777" w:rsidR="005D125D" w:rsidRPr="003D55DE" w:rsidRDefault="005D125D" w:rsidP="00815960">
      <w:r w:rsidRPr="003D55DE">
        <w:t>There are many factors that contribute to high rates of turnover in juvenile justice facilities. Research indicates organizational-level attributes are the most important factors in retaining staff. Organizational factors include staff perceptions of, and actual work environment characteristics. These characteristics include job satisfaction</w:t>
      </w:r>
      <w:r w:rsidR="002F0963">
        <w:t>,</w:t>
      </w:r>
      <w:r w:rsidRPr="003D55DE">
        <w:t xml:space="preserve"> organizational commitment, stress, support of staff, safety, salary, work hours, workload, supervision, </w:t>
      </w:r>
      <w:r w:rsidR="002F0963">
        <w:t xml:space="preserve">and </w:t>
      </w:r>
      <w:r w:rsidRPr="003D55DE">
        <w:t>promotio</w:t>
      </w:r>
      <w:r w:rsidR="005776A4">
        <w:t>n or opportunity for promotion.</w:t>
      </w:r>
      <w:r w:rsidR="005776A4">
        <w:rPr>
          <w:rStyle w:val="FootnoteReference"/>
        </w:rPr>
        <w:footnoteReference w:id="103"/>
      </w:r>
    </w:p>
    <w:p w14:paraId="116622A7" w14:textId="77777777" w:rsidR="005D125D" w:rsidRDefault="005D125D" w:rsidP="003D55DE">
      <w:r w:rsidRPr="00815960">
        <w:t xml:space="preserve">We analyzed the responses of the </w:t>
      </w:r>
      <w:r w:rsidR="00E251C1" w:rsidRPr="00815960">
        <w:t xml:space="preserve">staff survey </w:t>
      </w:r>
      <w:r w:rsidRPr="00815960">
        <w:t xml:space="preserve">and responses from the interviews with staff to </w:t>
      </w:r>
      <w:r w:rsidR="00815960" w:rsidRPr="00815960">
        <w:t>identify</w:t>
      </w:r>
      <w:r w:rsidRPr="00815960">
        <w:t xml:space="preserve"> </w:t>
      </w:r>
      <w:r w:rsidR="00CC38D4">
        <w:t>t</w:t>
      </w:r>
      <w:r w:rsidR="003D55DE" w:rsidRPr="00815960">
        <w:t>he organizational-level factors that may be impacting turnover and retention of staff</w:t>
      </w:r>
      <w:r w:rsidR="00C73B0A">
        <w:t>.</w:t>
      </w:r>
      <w:r w:rsidR="003D55DE" w:rsidRPr="00815960">
        <w:t xml:space="preserve"> </w:t>
      </w:r>
      <w:r w:rsidR="00D4764C" w:rsidRPr="00815960">
        <w:t xml:space="preserve">Exhibit </w:t>
      </w:r>
      <w:r w:rsidR="005E430A">
        <w:t>5</w:t>
      </w:r>
      <w:r w:rsidR="00D4764C" w:rsidRPr="00815960">
        <w:t>-</w:t>
      </w:r>
      <w:r w:rsidR="00A05906">
        <w:t>30</w:t>
      </w:r>
      <w:r w:rsidR="00A05906" w:rsidRPr="00815960">
        <w:t xml:space="preserve"> </w:t>
      </w:r>
      <w:r w:rsidR="003D55DE" w:rsidRPr="00815960">
        <w:t>provides a summary of the factors identified that would make staff want to leave their positions.</w:t>
      </w:r>
      <w:r w:rsidR="003D55DE" w:rsidRPr="003D55DE">
        <w:t xml:space="preserve"> </w:t>
      </w:r>
    </w:p>
    <w:p w14:paraId="164C12F3" w14:textId="77777777" w:rsidR="003D55DE" w:rsidRDefault="007E595A" w:rsidP="003D55DE">
      <w:r>
        <w:t xml:space="preserve">Among all staff, the </w:t>
      </w:r>
      <w:r w:rsidR="00293B6E">
        <w:t xml:space="preserve">three </w:t>
      </w:r>
      <w:r>
        <w:t>top factor</w:t>
      </w:r>
      <w:r w:rsidR="0098714A">
        <w:t>s</w:t>
      </w:r>
      <w:r w:rsidR="003D55DE" w:rsidRPr="003D55DE">
        <w:t xml:space="preserve"> identified that make them want to leave their position</w:t>
      </w:r>
      <w:r w:rsidR="00293B6E">
        <w:t>, indicated by more than 40% of the staff</w:t>
      </w:r>
      <w:r w:rsidR="003D55DE" w:rsidRPr="003D55DE">
        <w:t xml:space="preserve"> were:</w:t>
      </w:r>
    </w:p>
    <w:p w14:paraId="7F7FA32E" w14:textId="77777777" w:rsidR="0098714A" w:rsidRDefault="0098714A" w:rsidP="003D55DE">
      <w:pPr>
        <w:pStyle w:val="ListBullet"/>
      </w:pPr>
      <w:r>
        <w:t>“Poor leadership, supervision, and support.”</w:t>
      </w:r>
      <w:r w:rsidR="00293B6E">
        <w:t xml:space="preserve"> (62.5%);</w:t>
      </w:r>
    </w:p>
    <w:p w14:paraId="5EA410AC" w14:textId="77777777" w:rsidR="003D55DE" w:rsidRDefault="003D55DE" w:rsidP="003D55DE">
      <w:pPr>
        <w:pStyle w:val="ListBullet"/>
      </w:pPr>
      <w:r>
        <w:lastRenderedPageBreak/>
        <w:t xml:space="preserve">“Inadequate </w:t>
      </w:r>
      <w:r w:rsidR="007E595A">
        <w:t>compensation</w:t>
      </w:r>
      <w:r>
        <w:t>”</w:t>
      </w:r>
      <w:r w:rsidR="00293B6E">
        <w:t xml:space="preserve"> (59.2%);</w:t>
      </w:r>
    </w:p>
    <w:p w14:paraId="57208527" w14:textId="77777777" w:rsidR="00293B6E" w:rsidRDefault="00293B6E" w:rsidP="003D55DE">
      <w:pPr>
        <w:pStyle w:val="ListBullet"/>
      </w:pPr>
      <w:r>
        <w:t>“I do not feel safe in my facility (44.0%)</w:t>
      </w:r>
      <w:r w:rsidR="005E430A">
        <w:t>; and</w:t>
      </w:r>
    </w:p>
    <w:p w14:paraId="15A10DE0" w14:textId="77777777" w:rsidR="007E59CA" w:rsidRDefault="00293B6E" w:rsidP="00293B6E">
      <w:pPr>
        <w:pStyle w:val="ListBullet"/>
      </w:pPr>
      <w:r>
        <w:t>“Unmanageable workload, hours, and work/life balance” (43.5%)</w:t>
      </w:r>
      <w:r w:rsidR="005E430A">
        <w:t>.</w:t>
      </w:r>
    </w:p>
    <w:p w14:paraId="5E9E02A5" w14:textId="77777777" w:rsidR="00BB4E23" w:rsidRDefault="00D4764C" w:rsidP="003F6A2B">
      <w:pPr>
        <w:pStyle w:val="Caption"/>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30</w:t>
      </w:r>
      <w:r w:rsidR="003F6A2B">
        <w:t xml:space="preserve">: </w:t>
      </w:r>
      <w:r w:rsidR="00BB4E23">
        <w:t>Reasons to L</w:t>
      </w:r>
      <w:r w:rsidR="007E59CA">
        <w:t xml:space="preserve">eave Position, by Facility </w:t>
      </w:r>
    </w:p>
    <w:tbl>
      <w:tblPr>
        <w:tblStyle w:val="HyzerTable"/>
        <w:tblW w:w="5000" w:type="pct"/>
        <w:tblLook w:val="04A0" w:firstRow="1" w:lastRow="0" w:firstColumn="1" w:lastColumn="0" w:noHBand="0" w:noVBand="1"/>
      </w:tblPr>
      <w:tblGrid>
        <w:gridCol w:w="2129"/>
        <w:gridCol w:w="1282"/>
        <w:gridCol w:w="1138"/>
        <w:gridCol w:w="1142"/>
        <w:gridCol w:w="1140"/>
        <w:gridCol w:w="2529"/>
      </w:tblGrid>
      <w:tr w:rsidR="00BB777C" w14:paraId="0314A8F1" w14:textId="77777777" w:rsidTr="0079270B">
        <w:trPr>
          <w:cnfStyle w:val="100000000000" w:firstRow="1" w:lastRow="0" w:firstColumn="0" w:lastColumn="0" w:oddVBand="0" w:evenVBand="0" w:oddHBand="0" w:evenHBand="0" w:firstRowFirstColumn="0" w:firstRowLastColumn="0" w:lastRowFirstColumn="0" w:lastRowLastColumn="0"/>
          <w:tblHeader/>
        </w:trPr>
        <w:tc>
          <w:tcPr>
            <w:tcW w:w="1137" w:type="pct"/>
            <w:vAlign w:val="center"/>
          </w:tcPr>
          <w:p w14:paraId="6ED85D96" w14:textId="77777777" w:rsidR="00BB777C" w:rsidRPr="003A1CBF" w:rsidRDefault="00BB777C" w:rsidP="00BC380A">
            <w:pPr>
              <w:pStyle w:val="tableheaderwhite"/>
            </w:pPr>
            <w:r w:rsidRPr="003A1CBF">
              <w:t>Reason</w:t>
            </w:r>
          </w:p>
        </w:tc>
        <w:tc>
          <w:tcPr>
            <w:tcW w:w="685" w:type="pct"/>
            <w:vAlign w:val="center"/>
          </w:tcPr>
          <w:p w14:paraId="7D8B4809" w14:textId="77777777" w:rsidR="00BB777C" w:rsidRPr="00815960" w:rsidRDefault="0079270B" w:rsidP="00BC380A">
            <w:pPr>
              <w:pStyle w:val="tableheaderwhite"/>
            </w:pPr>
            <w:r>
              <w:t xml:space="preserve">JR Overall </w:t>
            </w:r>
          </w:p>
        </w:tc>
        <w:tc>
          <w:tcPr>
            <w:tcW w:w="608" w:type="pct"/>
            <w:vAlign w:val="center"/>
          </w:tcPr>
          <w:p w14:paraId="63578DE8" w14:textId="77777777" w:rsidR="00BB777C" w:rsidRPr="00815960" w:rsidRDefault="00BB777C" w:rsidP="00BC380A">
            <w:pPr>
              <w:pStyle w:val="tableheaderwhite"/>
            </w:pPr>
            <w:r w:rsidRPr="00815960">
              <w:t>Echo Glen</w:t>
            </w:r>
          </w:p>
        </w:tc>
        <w:tc>
          <w:tcPr>
            <w:tcW w:w="610" w:type="pct"/>
            <w:vAlign w:val="center"/>
          </w:tcPr>
          <w:p w14:paraId="30EBFB3D" w14:textId="77777777" w:rsidR="00BB777C" w:rsidRPr="00815960" w:rsidRDefault="00BB777C" w:rsidP="00BC380A">
            <w:pPr>
              <w:pStyle w:val="tableheaderwhite"/>
            </w:pPr>
            <w:r w:rsidRPr="00815960">
              <w:t>Green Hill</w:t>
            </w:r>
          </w:p>
        </w:tc>
        <w:tc>
          <w:tcPr>
            <w:tcW w:w="609" w:type="pct"/>
            <w:vAlign w:val="center"/>
          </w:tcPr>
          <w:p w14:paraId="68121399" w14:textId="77777777" w:rsidR="00BB777C" w:rsidRPr="00815960" w:rsidRDefault="00BB777C" w:rsidP="00BC380A">
            <w:pPr>
              <w:pStyle w:val="tableheaderwhite"/>
            </w:pPr>
            <w:r w:rsidRPr="00815960">
              <w:t>Naselle</w:t>
            </w:r>
          </w:p>
        </w:tc>
        <w:tc>
          <w:tcPr>
            <w:tcW w:w="1351" w:type="pct"/>
            <w:vAlign w:val="center"/>
          </w:tcPr>
          <w:p w14:paraId="1886B684" w14:textId="77777777" w:rsidR="00BB777C" w:rsidRPr="00815960" w:rsidRDefault="00BB777C" w:rsidP="00BC380A">
            <w:pPr>
              <w:pStyle w:val="tableheaderwhite"/>
            </w:pPr>
            <w:r w:rsidRPr="00815960">
              <w:t>Community Facilities</w:t>
            </w:r>
          </w:p>
        </w:tc>
      </w:tr>
      <w:tr w:rsidR="00305F5B" w14:paraId="6F88E5CB" w14:textId="77777777" w:rsidTr="0079270B">
        <w:trPr>
          <w:cnfStyle w:val="000000100000" w:firstRow="0" w:lastRow="0" w:firstColumn="0" w:lastColumn="0" w:oddVBand="0" w:evenVBand="0" w:oddHBand="1" w:evenHBand="0" w:firstRowFirstColumn="0" w:firstRowLastColumn="0" w:lastRowFirstColumn="0" w:lastRowLastColumn="0"/>
        </w:trPr>
        <w:tc>
          <w:tcPr>
            <w:tcW w:w="1137" w:type="pct"/>
          </w:tcPr>
          <w:p w14:paraId="4AA1E7DD" w14:textId="77777777" w:rsidR="00305F5B" w:rsidRPr="006812A7" w:rsidRDefault="00305F5B" w:rsidP="00305F5B">
            <w:pPr>
              <w:pStyle w:val="TableText"/>
              <w:rPr>
                <w:b/>
              </w:rPr>
            </w:pPr>
            <w:r w:rsidRPr="006812A7">
              <w:rPr>
                <w:b/>
              </w:rPr>
              <w:t>Leadership &amp; Supervision Support</w:t>
            </w:r>
          </w:p>
        </w:tc>
        <w:tc>
          <w:tcPr>
            <w:tcW w:w="685" w:type="pct"/>
            <w:vAlign w:val="center"/>
          </w:tcPr>
          <w:p w14:paraId="4048D99C" w14:textId="77777777" w:rsidR="00305F5B" w:rsidRPr="00815960" w:rsidRDefault="00305F5B" w:rsidP="0079270B">
            <w:pPr>
              <w:pStyle w:val="TableText"/>
              <w:jc w:val="center"/>
            </w:pPr>
            <w:r>
              <w:t>62.5%</w:t>
            </w:r>
          </w:p>
        </w:tc>
        <w:tc>
          <w:tcPr>
            <w:tcW w:w="608" w:type="pct"/>
            <w:vAlign w:val="center"/>
          </w:tcPr>
          <w:p w14:paraId="45D11BB9" w14:textId="77777777" w:rsidR="00305F5B" w:rsidRPr="00815960" w:rsidRDefault="00305F5B" w:rsidP="00305F5B">
            <w:pPr>
              <w:pStyle w:val="TableText"/>
              <w:jc w:val="center"/>
            </w:pPr>
            <w:r w:rsidRPr="00815960">
              <w:t>56.3%</w:t>
            </w:r>
          </w:p>
        </w:tc>
        <w:tc>
          <w:tcPr>
            <w:tcW w:w="610" w:type="pct"/>
            <w:vAlign w:val="center"/>
          </w:tcPr>
          <w:p w14:paraId="02217130" w14:textId="77777777" w:rsidR="00305F5B" w:rsidRPr="00815960" w:rsidRDefault="00305F5B" w:rsidP="00305F5B">
            <w:pPr>
              <w:pStyle w:val="TableText"/>
              <w:jc w:val="center"/>
            </w:pPr>
            <w:r w:rsidRPr="00815960">
              <w:t>72.4%</w:t>
            </w:r>
          </w:p>
        </w:tc>
        <w:tc>
          <w:tcPr>
            <w:tcW w:w="609" w:type="pct"/>
            <w:vAlign w:val="center"/>
          </w:tcPr>
          <w:p w14:paraId="57FFDDE8" w14:textId="77777777" w:rsidR="00305F5B" w:rsidRPr="00815960" w:rsidRDefault="00305F5B" w:rsidP="00305F5B">
            <w:pPr>
              <w:pStyle w:val="TableText"/>
              <w:jc w:val="center"/>
            </w:pPr>
            <w:r w:rsidRPr="00815960">
              <w:t>68.8%</w:t>
            </w:r>
          </w:p>
        </w:tc>
        <w:tc>
          <w:tcPr>
            <w:tcW w:w="1351" w:type="pct"/>
            <w:vAlign w:val="center"/>
          </w:tcPr>
          <w:p w14:paraId="0DF0F237" w14:textId="77777777" w:rsidR="00305F5B" w:rsidRPr="00815960" w:rsidRDefault="00305F5B" w:rsidP="00305F5B">
            <w:pPr>
              <w:pStyle w:val="TableText"/>
              <w:jc w:val="center"/>
            </w:pPr>
            <w:r w:rsidRPr="00815960">
              <w:t>44.6%</w:t>
            </w:r>
          </w:p>
        </w:tc>
      </w:tr>
      <w:tr w:rsidR="00305F5B" w14:paraId="307A37B5" w14:textId="77777777" w:rsidTr="0079270B">
        <w:tc>
          <w:tcPr>
            <w:tcW w:w="1137" w:type="pct"/>
          </w:tcPr>
          <w:p w14:paraId="71E49753" w14:textId="77777777" w:rsidR="00305F5B" w:rsidRPr="006812A7" w:rsidRDefault="00305F5B" w:rsidP="00305F5B">
            <w:pPr>
              <w:pStyle w:val="TableText"/>
              <w:rPr>
                <w:b/>
              </w:rPr>
            </w:pPr>
            <w:r w:rsidRPr="006812A7">
              <w:rPr>
                <w:b/>
              </w:rPr>
              <w:t>Salary</w:t>
            </w:r>
          </w:p>
        </w:tc>
        <w:tc>
          <w:tcPr>
            <w:tcW w:w="685" w:type="pct"/>
            <w:vAlign w:val="center"/>
          </w:tcPr>
          <w:p w14:paraId="698E51A5" w14:textId="77777777" w:rsidR="00305F5B" w:rsidRDefault="00305F5B" w:rsidP="0079270B">
            <w:pPr>
              <w:pStyle w:val="TableText"/>
              <w:jc w:val="center"/>
            </w:pPr>
            <w:r>
              <w:t>59.2%</w:t>
            </w:r>
          </w:p>
        </w:tc>
        <w:tc>
          <w:tcPr>
            <w:tcW w:w="608" w:type="pct"/>
            <w:vAlign w:val="center"/>
          </w:tcPr>
          <w:p w14:paraId="13DF28F2" w14:textId="77777777" w:rsidR="00305F5B" w:rsidRPr="00815960" w:rsidRDefault="00305F5B" w:rsidP="00305F5B">
            <w:pPr>
              <w:pStyle w:val="TableText"/>
              <w:jc w:val="center"/>
            </w:pPr>
            <w:r w:rsidRPr="00815960">
              <w:t>65.5%</w:t>
            </w:r>
          </w:p>
        </w:tc>
        <w:tc>
          <w:tcPr>
            <w:tcW w:w="610" w:type="pct"/>
            <w:vAlign w:val="center"/>
          </w:tcPr>
          <w:p w14:paraId="73328502" w14:textId="77777777" w:rsidR="00305F5B" w:rsidRPr="00815960" w:rsidRDefault="00305F5B" w:rsidP="00305F5B">
            <w:pPr>
              <w:pStyle w:val="TableText"/>
              <w:jc w:val="center"/>
            </w:pPr>
            <w:r w:rsidRPr="00815960">
              <w:t>64.5%</w:t>
            </w:r>
          </w:p>
        </w:tc>
        <w:tc>
          <w:tcPr>
            <w:tcW w:w="609" w:type="pct"/>
            <w:vAlign w:val="center"/>
          </w:tcPr>
          <w:p w14:paraId="7425874C" w14:textId="77777777" w:rsidR="00305F5B" w:rsidRPr="00815960" w:rsidRDefault="00305F5B" w:rsidP="00305F5B">
            <w:pPr>
              <w:pStyle w:val="TableText"/>
              <w:jc w:val="center"/>
            </w:pPr>
            <w:r w:rsidRPr="00815960">
              <w:t>50.0%</w:t>
            </w:r>
          </w:p>
        </w:tc>
        <w:tc>
          <w:tcPr>
            <w:tcW w:w="1351" w:type="pct"/>
            <w:vAlign w:val="center"/>
          </w:tcPr>
          <w:p w14:paraId="5EC46C43" w14:textId="77777777" w:rsidR="00305F5B" w:rsidRPr="00815960" w:rsidRDefault="00305F5B" w:rsidP="00305F5B">
            <w:pPr>
              <w:pStyle w:val="TableText"/>
              <w:jc w:val="center"/>
            </w:pPr>
            <w:r w:rsidRPr="00815960">
              <w:t>53.8%</w:t>
            </w:r>
          </w:p>
        </w:tc>
      </w:tr>
      <w:tr w:rsidR="00305F5B" w14:paraId="786386EC" w14:textId="77777777" w:rsidTr="0079270B">
        <w:trPr>
          <w:cnfStyle w:val="000000100000" w:firstRow="0" w:lastRow="0" w:firstColumn="0" w:lastColumn="0" w:oddVBand="0" w:evenVBand="0" w:oddHBand="1" w:evenHBand="0" w:firstRowFirstColumn="0" w:firstRowLastColumn="0" w:lastRowFirstColumn="0" w:lastRowLastColumn="0"/>
        </w:trPr>
        <w:tc>
          <w:tcPr>
            <w:tcW w:w="1137" w:type="pct"/>
          </w:tcPr>
          <w:p w14:paraId="5BB7EDC6" w14:textId="77777777" w:rsidR="00305F5B" w:rsidRPr="006812A7" w:rsidRDefault="00305F5B" w:rsidP="00305F5B">
            <w:pPr>
              <w:pStyle w:val="TableText"/>
              <w:rPr>
                <w:b/>
              </w:rPr>
            </w:pPr>
            <w:r w:rsidRPr="006812A7">
              <w:rPr>
                <w:b/>
              </w:rPr>
              <w:t xml:space="preserve">Safety </w:t>
            </w:r>
          </w:p>
        </w:tc>
        <w:tc>
          <w:tcPr>
            <w:tcW w:w="685" w:type="pct"/>
            <w:vAlign w:val="center"/>
          </w:tcPr>
          <w:p w14:paraId="3A29A8A9" w14:textId="77777777" w:rsidR="00305F5B" w:rsidRDefault="00305F5B" w:rsidP="0079270B">
            <w:pPr>
              <w:pStyle w:val="TableText"/>
              <w:jc w:val="center"/>
            </w:pPr>
            <w:r>
              <w:t>44.0%</w:t>
            </w:r>
          </w:p>
        </w:tc>
        <w:tc>
          <w:tcPr>
            <w:tcW w:w="608" w:type="pct"/>
            <w:vAlign w:val="center"/>
          </w:tcPr>
          <w:p w14:paraId="6B382C2A" w14:textId="77777777" w:rsidR="00305F5B" w:rsidRPr="00815960" w:rsidRDefault="00305F5B" w:rsidP="00305F5B">
            <w:pPr>
              <w:pStyle w:val="TableText"/>
              <w:jc w:val="center"/>
            </w:pPr>
            <w:r w:rsidRPr="00815960">
              <w:t>34.4%</w:t>
            </w:r>
          </w:p>
        </w:tc>
        <w:tc>
          <w:tcPr>
            <w:tcW w:w="610" w:type="pct"/>
            <w:vAlign w:val="center"/>
          </w:tcPr>
          <w:p w14:paraId="6503401D" w14:textId="77777777" w:rsidR="00305F5B" w:rsidRPr="00815960" w:rsidRDefault="00305F5B" w:rsidP="00305F5B">
            <w:pPr>
              <w:pStyle w:val="TableText"/>
              <w:jc w:val="center"/>
            </w:pPr>
            <w:r w:rsidRPr="00815960">
              <w:t>63.2%</w:t>
            </w:r>
          </w:p>
        </w:tc>
        <w:tc>
          <w:tcPr>
            <w:tcW w:w="609" w:type="pct"/>
            <w:vAlign w:val="center"/>
          </w:tcPr>
          <w:p w14:paraId="48BF984A" w14:textId="77777777" w:rsidR="00305F5B" w:rsidRPr="00815960" w:rsidRDefault="00305F5B" w:rsidP="00305F5B">
            <w:pPr>
              <w:pStyle w:val="TableText"/>
              <w:jc w:val="center"/>
            </w:pPr>
            <w:r w:rsidRPr="00815960">
              <w:t>40.6%</w:t>
            </w:r>
          </w:p>
        </w:tc>
        <w:tc>
          <w:tcPr>
            <w:tcW w:w="1351" w:type="pct"/>
            <w:vAlign w:val="center"/>
          </w:tcPr>
          <w:p w14:paraId="79421D1B" w14:textId="77777777" w:rsidR="00305F5B" w:rsidRPr="00815960" w:rsidRDefault="00305F5B" w:rsidP="00305F5B">
            <w:pPr>
              <w:pStyle w:val="TableText"/>
              <w:jc w:val="center"/>
            </w:pPr>
            <w:r w:rsidRPr="00815960">
              <w:t>16.9%</w:t>
            </w:r>
          </w:p>
        </w:tc>
      </w:tr>
      <w:tr w:rsidR="00305F5B" w14:paraId="03D8A2EF" w14:textId="77777777" w:rsidTr="0079270B">
        <w:tc>
          <w:tcPr>
            <w:tcW w:w="1137" w:type="pct"/>
          </w:tcPr>
          <w:p w14:paraId="1D3BFE27" w14:textId="77777777" w:rsidR="00305F5B" w:rsidRPr="006812A7" w:rsidRDefault="00305F5B" w:rsidP="00305F5B">
            <w:pPr>
              <w:pStyle w:val="TableText"/>
              <w:rPr>
                <w:b/>
              </w:rPr>
            </w:pPr>
            <w:r w:rsidRPr="006812A7">
              <w:rPr>
                <w:b/>
              </w:rPr>
              <w:t xml:space="preserve">Workload &amp; Work/Life Balance </w:t>
            </w:r>
          </w:p>
        </w:tc>
        <w:tc>
          <w:tcPr>
            <w:tcW w:w="685" w:type="pct"/>
            <w:vAlign w:val="center"/>
          </w:tcPr>
          <w:p w14:paraId="2191DFBB" w14:textId="77777777" w:rsidR="00305F5B" w:rsidRPr="00815960" w:rsidRDefault="00305F5B" w:rsidP="0079270B">
            <w:pPr>
              <w:pStyle w:val="TableText"/>
              <w:jc w:val="center"/>
            </w:pPr>
            <w:r>
              <w:t>43.5%</w:t>
            </w:r>
          </w:p>
        </w:tc>
        <w:tc>
          <w:tcPr>
            <w:tcW w:w="608" w:type="pct"/>
            <w:vAlign w:val="center"/>
          </w:tcPr>
          <w:p w14:paraId="7440E04C" w14:textId="77777777" w:rsidR="00305F5B" w:rsidRPr="00815960" w:rsidRDefault="00305F5B" w:rsidP="00305F5B">
            <w:pPr>
              <w:pStyle w:val="TableText"/>
              <w:jc w:val="center"/>
            </w:pPr>
            <w:r w:rsidRPr="00815960">
              <w:t>59.4%</w:t>
            </w:r>
          </w:p>
        </w:tc>
        <w:tc>
          <w:tcPr>
            <w:tcW w:w="610" w:type="pct"/>
            <w:vAlign w:val="center"/>
          </w:tcPr>
          <w:p w14:paraId="77E9BBDE" w14:textId="77777777" w:rsidR="00305F5B" w:rsidRPr="00815960" w:rsidRDefault="00305F5B" w:rsidP="00305F5B">
            <w:pPr>
              <w:pStyle w:val="TableText"/>
              <w:jc w:val="center"/>
            </w:pPr>
            <w:r w:rsidRPr="00815960">
              <w:t>42.1%</w:t>
            </w:r>
          </w:p>
        </w:tc>
        <w:tc>
          <w:tcPr>
            <w:tcW w:w="609" w:type="pct"/>
            <w:vAlign w:val="center"/>
          </w:tcPr>
          <w:p w14:paraId="5CD92204" w14:textId="77777777" w:rsidR="00305F5B" w:rsidRPr="00815960" w:rsidRDefault="00305F5B" w:rsidP="00305F5B">
            <w:pPr>
              <w:pStyle w:val="TableText"/>
              <w:jc w:val="center"/>
            </w:pPr>
            <w:r w:rsidRPr="00815960">
              <w:t>43.8%</w:t>
            </w:r>
          </w:p>
        </w:tc>
        <w:tc>
          <w:tcPr>
            <w:tcW w:w="1351" w:type="pct"/>
            <w:vAlign w:val="center"/>
          </w:tcPr>
          <w:p w14:paraId="10FAE2BA" w14:textId="77777777" w:rsidR="00305F5B" w:rsidRPr="00815960" w:rsidRDefault="00305F5B" w:rsidP="00305F5B">
            <w:pPr>
              <w:pStyle w:val="TableText"/>
              <w:jc w:val="center"/>
            </w:pPr>
            <w:r w:rsidRPr="00815960">
              <w:t>40.0%</w:t>
            </w:r>
          </w:p>
        </w:tc>
      </w:tr>
      <w:tr w:rsidR="00305F5B" w14:paraId="64D8E2C5" w14:textId="77777777" w:rsidTr="0079270B">
        <w:trPr>
          <w:cnfStyle w:val="000000100000" w:firstRow="0" w:lastRow="0" w:firstColumn="0" w:lastColumn="0" w:oddVBand="0" w:evenVBand="0" w:oddHBand="1" w:evenHBand="0" w:firstRowFirstColumn="0" w:firstRowLastColumn="0" w:lastRowFirstColumn="0" w:lastRowLastColumn="0"/>
        </w:trPr>
        <w:tc>
          <w:tcPr>
            <w:tcW w:w="1137" w:type="pct"/>
          </w:tcPr>
          <w:p w14:paraId="28EF687E" w14:textId="77777777" w:rsidR="00305F5B" w:rsidRPr="006812A7" w:rsidRDefault="00305F5B" w:rsidP="00305F5B">
            <w:pPr>
              <w:pStyle w:val="TableText"/>
              <w:rPr>
                <w:b/>
              </w:rPr>
            </w:pPr>
            <w:r w:rsidRPr="006812A7">
              <w:rPr>
                <w:b/>
              </w:rPr>
              <w:t>Advancement</w:t>
            </w:r>
          </w:p>
        </w:tc>
        <w:tc>
          <w:tcPr>
            <w:tcW w:w="685" w:type="pct"/>
            <w:vAlign w:val="center"/>
          </w:tcPr>
          <w:p w14:paraId="0388700F" w14:textId="77777777" w:rsidR="00305F5B" w:rsidRPr="00815960" w:rsidRDefault="00305F5B" w:rsidP="0079270B">
            <w:pPr>
              <w:pStyle w:val="TableText"/>
              <w:jc w:val="center"/>
            </w:pPr>
            <w:r>
              <w:t>38.0%</w:t>
            </w:r>
          </w:p>
        </w:tc>
        <w:tc>
          <w:tcPr>
            <w:tcW w:w="608" w:type="pct"/>
            <w:vAlign w:val="center"/>
          </w:tcPr>
          <w:p w14:paraId="243FB177" w14:textId="77777777" w:rsidR="00305F5B" w:rsidRPr="00815960" w:rsidRDefault="00305F5B" w:rsidP="00305F5B">
            <w:pPr>
              <w:pStyle w:val="TableText"/>
              <w:jc w:val="center"/>
            </w:pPr>
            <w:r w:rsidRPr="00815960">
              <w:t>34.4%</w:t>
            </w:r>
          </w:p>
        </w:tc>
        <w:tc>
          <w:tcPr>
            <w:tcW w:w="610" w:type="pct"/>
            <w:vAlign w:val="center"/>
          </w:tcPr>
          <w:p w14:paraId="3A87D6AE" w14:textId="77777777" w:rsidR="00305F5B" w:rsidRPr="00815960" w:rsidRDefault="00305F5B" w:rsidP="00305F5B">
            <w:pPr>
              <w:pStyle w:val="TableText"/>
              <w:jc w:val="center"/>
            </w:pPr>
            <w:r w:rsidRPr="00815960">
              <w:t>50.0%</w:t>
            </w:r>
          </w:p>
        </w:tc>
        <w:tc>
          <w:tcPr>
            <w:tcW w:w="609" w:type="pct"/>
            <w:vAlign w:val="center"/>
          </w:tcPr>
          <w:p w14:paraId="0843B0C0" w14:textId="77777777" w:rsidR="00305F5B" w:rsidRPr="00815960" w:rsidRDefault="00305F5B" w:rsidP="00305F5B">
            <w:pPr>
              <w:pStyle w:val="TableText"/>
              <w:jc w:val="center"/>
            </w:pPr>
            <w:r w:rsidRPr="00815960">
              <w:t>34.4%</w:t>
            </w:r>
          </w:p>
        </w:tc>
        <w:tc>
          <w:tcPr>
            <w:tcW w:w="1351" w:type="pct"/>
            <w:vAlign w:val="center"/>
          </w:tcPr>
          <w:p w14:paraId="27E05991" w14:textId="77777777" w:rsidR="00305F5B" w:rsidRPr="00815960" w:rsidRDefault="00305F5B" w:rsidP="00305F5B">
            <w:pPr>
              <w:pStyle w:val="TableText"/>
              <w:jc w:val="center"/>
            </w:pPr>
            <w:r w:rsidRPr="00815960">
              <w:t>21.5%</w:t>
            </w:r>
          </w:p>
        </w:tc>
      </w:tr>
      <w:tr w:rsidR="00305F5B" w14:paraId="18E91D87" w14:textId="77777777" w:rsidTr="0079270B">
        <w:tc>
          <w:tcPr>
            <w:tcW w:w="1137" w:type="pct"/>
          </w:tcPr>
          <w:p w14:paraId="6F808A43" w14:textId="77777777" w:rsidR="00305F5B" w:rsidRPr="006812A7" w:rsidRDefault="00305F5B" w:rsidP="00305F5B">
            <w:pPr>
              <w:pStyle w:val="TableText"/>
              <w:rPr>
                <w:b/>
              </w:rPr>
            </w:pPr>
            <w:r w:rsidRPr="006812A7">
              <w:rPr>
                <w:b/>
              </w:rPr>
              <w:t>Coworkers</w:t>
            </w:r>
          </w:p>
        </w:tc>
        <w:tc>
          <w:tcPr>
            <w:tcW w:w="685" w:type="pct"/>
            <w:vAlign w:val="center"/>
          </w:tcPr>
          <w:p w14:paraId="31451F5B" w14:textId="77777777" w:rsidR="00305F5B" w:rsidRPr="00815960" w:rsidRDefault="00305F5B" w:rsidP="0079270B">
            <w:pPr>
              <w:pStyle w:val="TableText"/>
              <w:jc w:val="center"/>
            </w:pPr>
            <w:r>
              <w:t>25.5%</w:t>
            </w:r>
          </w:p>
        </w:tc>
        <w:tc>
          <w:tcPr>
            <w:tcW w:w="608" w:type="pct"/>
            <w:vAlign w:val="center"/>
          </w:tcPr>
          <w:p w14:paraId="43D0B901" w14:textId="77777777" w:rsidR="00305F5B" w:rsidRPr="00815960" w:rsidRDefault="00305F5B" w:rsidP="00305F5B">
            <w:pPr>
              <w:pStyle w:val="TableText"/>
              <w:jc w:val="center"/>
            </w:pPr>
            <w:r w:rsidRPr="00815960">
              <w:t>25.0%</w:t>
            </w:r>
          </w:p>
        </w:tc>
        <w:tc>
          <w:tcPr>
            <w:tcW w:w="610" w:type="pct"/>
            <w:vAlign w:val="center"/>
          </w:tcPr>
          <w:p w14:paraId="39563820" w14:textId="77777777" w:rsidR="00305F5B" w:rsidRPr="00815960" w:rsidRDefault="00305F5B" w:rsidP="00305F5B">
            <w:pPr>
              <w:pStyle w:val="TableText"/>
              <w:jc w:val="center"/>
            </w:pPr>
            <w:r w:rsidRPr="00815960">
              <w:t>27.6%</w:t>
            </w:r>
          </w:p>
        </w:tc>
        <w:tc>
          <w:tcPr>
            <w:tcW w:w="609" w:type="pct"/>
            <w:vAlign w:val="center"/>
          </w:tcPr>
          <w:p w14:paraId="3BB3F885" w14:textId="77777777" w:rsidR="00305F5B" w:rsidRPr="00815960" w:rsidRDefault="00305F5B" w:rsidP="00305F5B">
            <w:pPr>
              <w:pStyle w:val="TableText"/>
              <w:jc w:val="center"/>
            </w:pPr>
            <w:r w:rsidRPr="00815960">
              <w:t>18.8%</w:t>
            </w:r>
          </w:p>
        </w:tc>
        <w:tc>
          <w:tcPr>
            <w:tcW w:w="1351" w:type="pct"/>
            <w:vAlign w:val="center"/>
          </w:tcPr>
          <w:p w14:paraId="0251D871" w14:textId="77777777" w:rsidR="00305F5B" w:rsidRPr="00815960" w:rsidRDefault="00305F5B" w:rsidP="00305F5B">
            <w:pPr>
              <w:pStyle w:val="TableText"/>
              <w:jc w:val="center"/>
            </w:pPr>
            <w:r w:rsidRPr="00815960">
              <w:t>26.2%</w:t>
            </w:r>
          </w:p>
        </w:tc>
      </w:tr>
      <w:tr w:rsidR="00305F5B" w14:paraId="43D444AE" w14:textId="77777777" w:rsidTr="0079270B">
        <w:trPr>
          <w:cnfStyle w:val="000000100000" w:firstRow="0" w:lastRow="0" w:firstColumn="0" w:lastColumn="0" w:oddVBand="0" w:evenVBand="0" w:oddHBand="1" w:evenHBand="0" w:firstRowFirstColumn="0" w:firstRowLastColumn="0" w:lastRowFirstColumn="0" w:lastRowLastColumn="0"/>
        </w:trPr>
        <w:tc>
          <w:tcPr>
            <w:tcW w:w="1137" w:type="pct"/>
          </w:tcPr>
          <w:p w14:paraId="421E798B" w14:textId="77777777" w:rsidR="00305F5B" w:rsidRPr="006812A7" w:rsidRDefault="00305F5B" w:rsidP="00305F5B">
            <w:pPr>
              <w:pStyle w:val="TableText"/>
              <w:rPr>
                <w:b/>
              </w:rPr>
            </w:pPr>
            <w:r w:rsidRPr="006812A7">
              <w:rPr>
                <w:b/>
              </w:rPr>
              <w:t>Impact</w:t>
            </w:r>
          </w:p>
        </w:tc>
        <w:tc>
          <w:tcPr>
            <w:tcW w:w="685" w:type="pct"/>
            <w:vAlign w:val="center"/>
          </w:tcPr>
          <w:p w14:paraId="2629AE80" w14:textId="77777777" w:rsidR="00305F5B" w:rsidRPr="00815960" w:rsidRDefault="00305F5B" w:rsidP="0079270B">
            <w:pPr>
              <w:pStyle w:val="TableText"/>
              <w:jc w:val="center"/>
            </w:pPr>
            <w:r>
              <w:t>23.9%</w:t>
            </w:r>
          </w:p>
        </w:tc>
        <w:tc>
          <w:tcPr>
            <w:tcW w:w="608" w:type="pct"/>
            <w:vAlign w:val="center"/>
          </w:tcPr>
          <w:p w14:paraId="281838A5" w14:textId="77777777" w:rsidR="00305F5B" w:rsidRPr="00815960" w:rsidRDefault="00305F5B" w:rsidP="00305F5B">
            <w:pPr>
              <w:pStyle w:val="TableText"/>
              <w:jc w:val="center"/>
            </w:pPr>
            <w:r w:rsidRPr="00815960">
              <w:t>28.1%</w:t>
            </w:r>
          </w:p>
        </w:tc>
        <w:tc>
          <w:tcPr>
            <w:tcW w:w="610" w:type="pct"/>
            <w:vAlign w:val="center"/>
          </w:tcPr>
          <w:p w14:paraId="4441EB1B" w14:textId="77777777" w:rsidR="00305F5B" w:rsidRPr="00815960" w:rsidRDefault="00305F5B" w:rsidP="00305F5B">
            <w:pPr>
              <w:pStyle w:val="TableText"/>
              <w:jc w:val="center"/>
            </w:pPr>
            <w:r w:rsidRPr="00815960">
              <w:t>30.3%</w:t>
            </w:r>
          </w:p>
        </w:tc>
        <w:tc>
          <w:tcPr>
            <w:tcW w:w="609" w:type="pct"/>
            <w:vAlign w:val="center"/>
          </w:tcPr>
          <w:p w14:paraId="2FE54A7E" w14:textId="77777777" w:rsidR="00305F5B" w:rsidRPr="00815960" w:rsidRDefault="00305F5B" w:rsidP="00305F5B">
            <w:pPr>
              <w:pStyle w:val="TableText"/>
              <w:jc w:val="center"/>
            </w:pPr>
            <w:r w:rsidRPr="00815960">
              <w:t>15.6%</w:t>
            </w:r>
          </w:p>
        </w:tc>
        <w:tc>
          <w:tcPr>
            <w:tcW w:w="1351" w:type="pct"/>
            <w:vAlign w:val="center"/>
          </w:tcPr>
          <w:p w14:paraId="0A679BE5" w14:textId="77777777" w:rsidR="00305F5B" w:rsidRPr="00815960" w:rsidRDefault="00305F5B" w:rsidP="00305F5B">
            <w:pPr>
              <w:pStyle w:val="TableText"/>
              <w:jc w:val="center"/>
            </w:pPr>
            <w:r w:rsidRPr="00815960">
              <w:t>15.0%</w:t>
            </w:r>
          </w:p>
        </w:tc>
      </w:tr>
      <w:tr w:rsidR="00305F5B" w14:paraId="72B420B3" w14:textId="77777777" w:rsidTr="0079270B">
        <w:tc>
          <w:tcPr>
            <w:tcW w:w="1137" w:type="pct"/>
          </w:tcPr>
          <w:p w14:paraId="415BB2A9" w14:textId="77777777" w:rsidR="00305F5B" w:rsidRPr="006812A7" w:rsidRDefault="00305F5B" w:rsidP="00305F5B">
            <w:pPr>
              <w:pStyle w:val="TableText"/>
              <w:rPr>
                <w:b/>
              </w:rPr>
            </w:pPr>
            <w:r w:rsidRPr="006812A7">
              <w:rPr>
                <w:b/>
              </w:rPr>
              <w:t xml:space="preserve">Youth </w:t>
            </w:r>
          </w:p>
        </w:tc>
        <w:tc>
          <w:tcPr>
            <w:tcW w:w="685" w:type="pct"/>
            <w:vAlign w:val="center"/>
          </w:tcPr>
          <w:p w14:paraId="75E1C300" w14:textId="77777777" w:rsidR="00305F5B" w:rsidRPr="00815960" w:rsidRDefault="00305F5B" w:rsidP="0079270B">
            <w:pPr>
              <w:pStyle w:val="TableText"/>
              <w:jc w:val="center"/>
            </w:pPr>
            <w:r>
              <w:t>17.4%</w:t>
            </w:r>
          </w:p>
        </w:tc>
        <w:tc>
          <w:tcPr>
            <w:tcW w:w="608" w:type="pct"/>
            <w:vAlign w:val="center"/>
          </w:tcPr>
          <w:p w14:paraId="7102CD62" w14:textId="77777777" w:rsidR="00305F5B" w:rsidRPr="00815960" w:rsidRDefault="00305F5B" w:rsidP="00305F5B">
            <w:pPr>
              <w:pStyle w:val="TableText"/>
              <w:jc w:val="center"/>
            </w:pPr>
            <w:r w:rsidRPr="00815960">
              <w:t>15.6%</w:t>
            </w:r>
          </w:p>
        </w:tc>
        <w:tc>
          <w:tcPr>
            <w:tcW w:w="610" w:type="pct"/>
            <w:vAlign w:val="center"/>
          </w:tcPr>
          <w:p w14:paraId="138E2882" w14:textId="77777777" w:rsidR="00305F5B" w:rsidRPr="00815960" w:rsidRDefault="00305F5B" w:rsidP="00305F5B">
            <w:pPr>
              <w:pStyle w:val="TableText"/>
              <w:jc w:val="center"/>
            </w:pPr>
            <w:r w:rsidRPr="00815960">
              <w:t>19.7%</w:t>
            </w:r>
          </w:p>
        </w:tc>
        <w:tc>
          <w:tcPr>
            <w:tcW w:w="609" w:type="pct"/>
            <w:vAlign w:val="center"/>
          </w:tcPr>
          <w:p w14:paraId="4FB4B919" w14:textId="77777777" w:rsidR="00305F5B" w:rsidRPr="00815960" w:rsidRDefault="00305F5B" w:rsidP="00305F5B">
            <w:pPr>
              <w:pStyle w:val="TableText"/>
              <w:jc w:val="center"/>
            </w:pPr>
            <w:r w:rsidRPr="00815960">
              <w:t>15.6%</w:t>
            </w:r>
          </w:p>
        </w:tc>
        <w:tc>
          <w:tcPr>
            <w:tcW w:w="1351" w:type="pct"/>
            <w:vAlign w:val="center"/>
          </w:tcPr>
          <w:p w14:paraId="632DE4EC" w14:textId="77777777" w:rsidR="00305F5B" w:rsidRPr="00815960" w:rsidRDefault="00305F5B" w:rsidP="00305F5B">
            <w:pPr>
              <w:pStyle w:val="TableText"/>
              <w:jc w:val="center"/>
            </w:pPr>
            <w:r w:rsidRPr="00815960">
              <w:t>15.4%</w:t>
            </w:r>
          </w:p>
        </w:tc>
      </w:tr>
      <w:tr w:rsidR="00305F5B" w14:paraId="560BF9C7" w14:textId="77777777" w:rsidTr="0079270B">
        <w:trPr>
          <w:cnfStyle w:val="000000100000" w:firstRow="0" w:lastRow="0" w:firstColumn="0" w:lastColumn="0" w:oddVBand="0" w:evenVBand="0" w:oddHBand="1" w:evenHBand="0" w:firstRowFirstColumn="0" w:firstRowLastColumn="0" w:lastRowFirstColumn="0" w:lastRowLastColumn="0"/>
        </w:trPr>
        <w:tc>
          <w:tcPr>
            <w:tcW w:w="1137" w:type="pct"/>
          </w:tcPr>
          <w:p w14:paraId="0357739C" w14:textId="77777777" w:rsidR="00305F5B" w:rsidRPr="006812A7" w:rsidRDefault="00305F5B" w:rsidP="00305F5B">
            <w:pPr>
              <w:pStyle w:val="TableText"/>
              <w:rPr>
                <w:b/>
              </w:rPr>
            </w:pPr>
            <w:r w:rsidRPr="006812A7">
              <w:rPr>
                <w:b/>
              </w:rPr>
              <w:t xml:space="preserve">Other </w:t>
            </w:r>
          </w:p>
        </w:tc>
        <w:tc>
          <w:tcPr>
            <w:tcW w:w="685" w:type="pct"/>
            <w:vAlign w:val="center"/>
          </w:tcPr>
          <w:p w14:paraId="4CFACF75" w14:textId="77777777" w:rsidR="00305F5B" w:rsidRPr="00815960" w:rsidRDefault="00305F5B" w:rsidP="0079270B">
            <w:pPr>
              <w:pStyle w:val="TableText"/>
              <w:jc w:val="center"/>
            </w:pPr>
            <w:r>
              <w:t>14.7%</w:t>
            </w:r>
          </w:p>
        </w:tc>
        <w:tc>
          <w:tcPr>
            <w:tcW w:w="608" w:type="pct"/>
            <w:vAlign w:val="center"/>
          </w:tcPr>
          <w:p w14:paraId="4CF5A6A7" w14:textId="77777777" w:rsidR="00305F5B" w:rsidRPr="00815960" w:rsidRDefault="00305F5B" w:rsidP="00305F5B">
            <w:pPr>
              <w:pStyle w:val="TableText"/>
              <w:jc w:val="center"/>
            </w:pPr>
            <w:r w:rsidRPr="00815960">
              <w:t>9.4%</w:t>
            </w:r>
          </w:p>
        </w:tc>
        <w:tc>
          <w:tcPr>
            <w:tcW w:w="610" w:type="pct"/>
            <w:vAlign w:val="center"/>
          </w:tcPr>
          <w:p w14:paraId="070724C5" w14:textId="77777777" w:rsidR="00305F5B" w:rsidRPr="00815960" w:rsidRDefault="00305F5B" w:rsidP="00305F5B">
            <w:pPr>
              <w:pStyle w:val="TableText"/>
              <w:jc w:val="center"/>
            </w:pPr>
            <w:r w:rsidRPr="00815960">
              <w:t>19.7%</w:t>
            </w:r>
          </w:p>
        </w:tc>
        <w:tc>
          <w:tcPr>
            <w:tcW w:w="609" w:type="pct"/>
            <w:vAlign w:val="center"/>
          </w:tcPr>
          <w:p w14:paraId="381A53B6" w14:textId="77777777" w:rsidR="00305F5B" w:rsidRPr="00815960" w:rsidRDefault="00305F5B" w:rsidP="00305F5B">
            <w:pPr>
              <w:pStyle w:val="TableText"/>
              <w:jc w:val="center"/>
            </w:pPr>
            <w:r w:rsidRPr="00815960">
              <w:t>6.3%</w:t>
            </w:r>
          </w:p>
        </w:tc>
        <w:tc>
          <w:tcPr>
            <w:tcW w:w="1351" w:type="pct"/>
            <w:vAlign w:val="center"/>
          </w:tcPr>
          <w:p w14:paraId="650A4528" w14:textId="77777777" w:rsidR="00305F5B" w:rsidRPr="00815960" w:rsidRDefault="00305F5B" w:rsidP="00305F5B">
            <w:pPr>
              <w:pStyle w:val="TableText"/>
              <w:jc w:val="center"/>
            </w:pPr>
            <w:r w:rsidRPr="00815960">
              <w:t>18.5%</w:t>
            </w:r>
          </w:p>
        </w:tc>
      </w:tr>
      <w:tr w:rsidR="00305F5B" w14:paraId="246A4B9B" w14:textId="77777777" w:rsidTr="0079270B">
        <w:tc>
          <w:tcPr>
            <w:tcW w:w="1137" w:type="pct"/>
          </w:tcPr>
          <w:p w14:paraId="247A36DD" w14:textId="77777777" w:rsidR="00305F5B" w:rsidRPr="006812A7" w:rsidRDefault="00305F5B" w:rsidP="00305F5B">
            <w:pPr>
              <w:pStyle w:val="TableText"/>
              <w:rPr>
                <w:b/>
              </w:rPr>
            </w:pPr>
            <w:r w:rsidRPr="006812A7">
              <w:rPr>
                <w:b/>
              </w:rPr>
              <w:t xml:space="preserve">Fit </w:t>
            </w:r>
          </w:p>
        </w:tc>
        <w:tc>
          <w:tcPr>
            <w:tcW w:w="685" w:type="pct"/>
            <w:vAlign w:val="center"/>
          </w:tcPr>
          <w:p w14:paraId="7F978184" w14:textId="77777777" w:rsidR="00305F5B" w:rsidRPr="00815960" w:rsidRDefault="00305F5B" w:rsidP="0079270B">
            <w:pPr>
              <w:pStyle w:val="TableText"/>
              <w:jc w:val="center"/>
            </w:pPr>
            <w:r>
              <w:t>7.1%</w:t>
            </w:r>
          </w:p>
        </w:tc>
        <w:tc>
          <w:tcPr>
            <w:tcW w:w="608" w:type="pct"/>
            <w:vAlign w:val="center"/>
          </w:tcPr>
          <w:p w14:paraId="72509EDC" w14:textId="77777777" w:rsidR="00305F5B" w:rsidRPr="00815960" w:rsidRDefault="00305F5B" w:rsidP="00305F5B">
            <w:pPr>
              <w:pStyle w:val="TableText"/>
              <w:jc w:val="center"/>
            </w:pPr>
            <w:r w:rsidRPr="00815960">
              <w:t>9.4%</w:t>
            </w:r>
          </w:p>
        </w:tc>
        <w:tc>
          <w:tcPr>
            <w:tcW w:w="610" w:type="pct"/>
            <w:vAlign w:val="center"/>
          </w:tcPr>
          <w:p w14:paraId="19EB4C25" w14:textId="77777777" w:rsidR="00305F5B" w:rsidRPr="00815960" w:rsidRDefault="00305F5B" w:rsidP="00305F5B">
            <w:pPr>
              <w:pStyle w:val="TableText"/>
              <w:jc w:val="center"/>
            </w:pPr>
            <w:r w:rsidRPr="00815960">
              <w:t>10.5%</w:t>
            </w:r>
          </w:p>
        </w:tc>
        <w:tc>
          <w:tcPr>
            <w:tcW w:w="609" w:type="pct"/>
            <w:vAlign w:val="center"/>
          </w:tcPr>
          <w:p w14:paraId="72D4E268" w14:textId="77777777" w:rsidR="00305F5B" w:rsidRPr="00815960" w:rsidRDefault="00305F5B" w:rsidP="00305F5B">
            <w:pPr>
              <w:pStyle w:val="TableText"/>
              <w:jc w:val="center"/>
            </w:pPr>
            <w:r w:rsidRPr="00815960">
              <w:t>0.0%</w:t>
            </w:r>
          </w:p>
        </w:tc>
        <w:tc>
          <w:tcPr>
            <w:tcW w:w="1351" w:type="pct"/>
            <w:vAlign w:val="center"/>
          </w:tcPr>
          <w:p w14:paraId="6BFEAE1C" w14:textId="77777777" w:rsidR="00305F5B" w:rsidRPr="00815960" w:rsidRDefault="00305F5B" w:rsidP="00305F5B">
            <w:pPr>
              <w:pStyle w:val="TableText"/>
              <w:jc w:val="center"/>
            </w:pPr>
            <w:r w:rsidRPr="00815960">
              <w:t>3.1%</w:t>
            </w:r>
          </w:p>
        </w:tc>
      </w:tr>
    </w:tbl>
    <w:p w14:paraId="1CE32E49" w14:textId="77777777" w:rsidR="00C32C1A" w:rsidRDefault="00F75641" w:rsidP="00F42D48">
      <w:pPr>
        <w:pStyle w:val="Heading2"/>
      </w:pPr>
      <w:bookmarkStart w:id="80" w:name="_Toc531597518"/>
      <w:r>
        <w:t>Safety</w:t>
      </w:r>
      <w:bookmarkEnd w:id="80"/>
    </w:p>
    <w:p w14:paraId="52736A1B" w14:textId="77777777" w:rsidR="00BC3B17" w:rsidRPr="00C73B0A" w:rsidRDefault="00DF409D" w:rsidP="00BC3B17">
      <w:pPr>
        <w:pStyle w:val="RFPtext"/>
        <w:rPr>
          <w:b/>
          <w:color w:val="000000" w:themeColor="text1"/>
          <w:sz w:val="24"/>
        </w:rPr>
      </w:pPr>
      <w:r w:rsidRPr="00C73B0A">
        <w:rPr>
          <w:b/>
          <w:color w:val="000000" w:themeColor="text1"/>
          <w:sz w:val="24"/>
        </w:rPr>
        <w:t>Overall, s</w:t>
      </w:r>
      <w:r w:rsidR="00BC3B17" w:rsidRPr="00C73B0A">
        <w:rPr>
          <w:b/>
          <w:color w:val="000000" w:themeColor="text1"/>
          <w:sz w:val="24"/>
        </w:rPr>
        <w:t xml:space="preserve">taff in the community facilities </w:t>
      </w:r>
      <w:r w:rsidR="00CB54E7" w:rsidRPr="00C73B0A">
        <w:rPr>
          <w:b/>
          <w:color w:val="000000" w:themeColor="text1"/>
          <w:sz w:val="24"/>
        </w:rPr>
        <w:t>feel</w:t>
      </w:r>
      <w:r w:rsidR="00CB54E7">
        <w:rPr>
          <w:b/>
          <w:color w:val="000000" w:themeColor="text1"/>
          <w:sz w:val="24"/>
        </w:rPr>
        <w:t xml:space="preserve"> “</w:t>
      </w:r>
      <w:r w:rsidR="00BC3B17" w:rsidRPr="00C73B0A">
        <w:rPr>
          <w:b/>
          <w:color w:val="000000" w:themeColor="text1"/>
          <w:sz w:val="24"/>
        </w:rPr>
        <w:t>more safe than unsafe</w:t>
      </w:r>
      <w:r w:rsidR="00CB54E7">
        <w:rPr>
          <w:b/>
          <w:color w:val="000000" w:themeColor="text1"/>
          <w:sz w:val="24"/>
        </w:rPr>
        <w:t>”</w:t>
      </w:r>
      <w:r w:rsidR="00BC3B17" w:rsidRPr="00C73B0A">
        <w:rPr>
          <w:b/>
          <w:color w:val="000000" w:themeColor="text1"/>
          <w:sz w:val="24"/>
        </w:rPr>
        <w:t xml:space="preserve"> or </w:t>
      </w:r>
      <w:r w:rsidR="00CB54E7">
        <w:rPr>
          <w:b/>
          <w:color w:val="000000" w:themeColor="text1"/>
          <w:sz w:val="24"/>
        </w:rPr>
        <w:t>“</w:t>
      </w:r>
      <w:r w:rsidR="00BC3B17" w:rsidRPr="00C73B0A">
        <w:rPr>
          <w:b/>
          <w:color w:val="000000" w:themeColor="text1"/>
          <w:sz w:val="24"/>
        </w:rPr>
        <w:t>very safe</w:t>
      </w:r>
      <w:r w:rsidR="00CB54E7">
        <w:rPr>
          <w:b/>
          <w:color w:val="000000" w:themeColor="text1"/>
          <w:sz w:val="24"/>
        </w:rPr>
        <w:t>”</w:t>
      </w:r>
      <w:r w:rsidR="00BC3B17" w:rsidRPr="00C73B0A">
        <w:rPr>
          <w:b/>
          <w:color w:val="000000" w:themeColor="text1"/>
          <w:sz w:val="24"/>
        </w:rPr>
        <w:t xml:space="preserve"> while working. In contrast, staff in the three institutions feel comparatively less safe. Overall, youth feel safe or very safe.</w:t>
      </w:r>
      <w:r w:rsidRPr="00C73B0A">
        <w:rPr>
          <w:b/>
          <w:color w:val="000000" w:themeColor="text1"/>
          <w:sz w:val="24"/>
        </w:rPr>
        <w:t xml:space="preserve"> Adjusting staff levels to ensure staff safety will be important when considering the new </w:t>
      </w:r>
      <w:r w:rsidR="005D560D" w:rsidRPr="005D560D">
        <w:rPr>
          <w:b/>
          <w:color w:val="000000" w:themeColor="text1"/>
          <w:sz w:val="24"/>
        </w:rPr>
        <w:t xml:space="preserve">residential </w:t>
      </w:r>
      <w:r w:rsidRPr="00C73B0A">
        <w:rPr>
          <w:b/>
          <w:color w:val="000000" w:themeColor="text1"/>
          <w:sz w:val="24"/>
        </w:rPr>
        <w:t xml:space="preserve">staffing model. </w:t>
      </w:r>
      <w:r w:rsidR="00C74AF6" w:rsidRPr="00C73B0A">
        <w:rPr>
          <w:b/>
          <w:color w:val="000000" w:themeColor="text1"/>
          <w:sz w:val="24"/>
        </w:rPr>
        <w:t>Yet, safety is among the top three reasons as to why staff may want to leave their positions.</w:t>
      </w:r>
    </w:p>
    <w:p w14:paraId="30BA6181" w14:textId="77777777" w:rsidR="007C67B0" w:rsidRDefault="00FD762B" w:rsidP="00FD762B">
      <w:r w:rsidRPr="00B0128E">
        <w:t>Staff perceptions of safety are an organizational factor that has been associated with turnover</w:t>
      </w:r>
      <w:r w:rsidR="001E0CB3">
        <w:t>.</w:t>
      </w:r>
      <w:r w:rsidR="005776A4">
        <w:rPr>
          <w:rStyle w:val="FootnoteReference"/>
        </w:rPr>
        <w:footnoteReference w:id="104"/>
      </w:r>
      <w:r w:rsidRPr="00B0128E">
        <w:t xml:space="preserve"> Lower perceptions of safety are linked to increased stress and increased rates of both actual turnover and staff intention to leave</w:t>
      </w:r>
      <w:r w:rsidR="005776A4">
        <w:t>.</w:t>
      </w:r>
      <w:r w:rsidR="005776A4">
        <w:rPr>
          <w:rStyle w:val="FootnoteReference"/>
        </w:rPr>
        <w:footnoteReference w:id="105"/>
      </w:r>
      <w:r w:rsidRPr="00B0128E">
        <w:t xml:space="preserve"> </w:t>
      </w:r>
      <w:r w:rsidR="00985054">
        <w:t>J</w:t>
      </w:r>
      <w:r w:rsidRPr="00B0128E">
        <w:t>ob stress increases when staff perceive a safety threat. In turn, other job responsibilities – such as promoting positive youth development – may become secondary to a focus on control and security.</w:t>
      </w:r>
      <w:r w:rsidR="00985054">
        <w:rPr>
          <w:rStyle w:val="FootnoteReference"/>
        </w:rPr>
        <w:footnoteReference w:id="106"/>
      </w:r>
      <w:r w:rsidR="00C74AF6">
        <w:t xml:space="preserve"> As indicated above, safety was among the top three reasons staff identified as to why they may want to leave their position.</w:t>
      </w:r>
    </w:p>
    <w:p w14:paraId="793B6794" w14:textId="77777777" w:rsidR="006812A7" w:rsidRDefault="006812A7" w:rsidP="006812A7">
      <w:pPr>
        <w:pStyle w:val="PullQuote"/>
        <w:framePr w:w="3217" w:wrap="around" w:hAnchor="page" w:x="7513" w:y="1"/>
      </w:pPr>
      <w:r>
        <w:t>“We are verbally and physically abused more than we ever have been before.”</w:t>
      </w:r>
    </w:p>
    <w:p w14:paraId="7701912C" w14:textId="77777777" w:rsidR="006812A7" w:rsidRDefault="006812A7" w:rsidP="006812A7">
      <w:pPr>
        <w:pStyle w:val="PullQuote"/>
        <w:framePr w:w="3217" w:wrap="around" w:hAnchor="page" w:x="7513" w:y="1"/>
        <w:jc w:val="right"/>
      </w:pPr>
      <w:r>
        <w:t>—CF Leadership</w:t>
      </w:r>
    </w:p>
    <w:p w14:paraId="122B414B" w14:textId="53DA34FD" w:rsidR="007C67B0" w:rsidRDefault="001232BC" w:rsidP="00FD762B">
      <w:r>
        <w:t>In interviews with staff, we heard youth</w:t>
      </w:r>
      <w:r w:rsidR="007C67B0">
        <w:t xml:space="preserve"> frequently exhibit physical or verbal aggressiveness</w:t>
      </w:r>
      <w:r>
        <w:t xml:space="preserve">. Staff working at any of the institutions </w:t>
      </w:r>
      <w:r w:rsidR="007C67B0">
        <w:t xml:space="preserve">are expected to </w:t>
      </w:r>
      <w:r>
        <w:t>take reasonable precautions to prevent physically dangerous situations and must use non-physical interventions and de-</w:t>
      </w:r>
      <w:r w:rsidR="00E046F4">
        <w:t xml:space="preserve">escalation </w:t>
      </w:r>
      <w:r>
        <w:t xml:space="preserve">techniques before using physical restraint unless </w:t>
      </w:r>
      <w:r>
        <w:lastRenderedPageBreak/>
        <w:t xml:space="preserve">there is an imminent risk of harm to self </w:t>
      </w:r>
      <w:r w:rsidR="00F637BA">
        <w:t xml:space="preserve">or </w:t>
      </w:r>
      <w:r>
        <w:t>others.</w:t>
      </w:r>
      <w:r>
        <w:rPr>
          <w:rStyle w:val="FootnoteReference"/>
        </w:rPr>
        <w:footnoteReference w:id="107"/>
      </w:r>
      <w:r w:rsidR="00956835">
        <w:t xml:space="preserve"> Direct services staff working in the institutions as well as supervisors, program managers</w:t>
      </w:r>
      <w:r w:rsidR="006812A7">
        <w:t>,</w:t>
      </w:r>
      <w:r w:rsidR="00956835">
        <w:t xml:space="preserve"> and recreation counselors must complete the minimum standards of the</w:t>
      </w:r>
      <w:r w:rsidR="00956835" w:rsidRPr="00956835">
        <w:t xml:space="preserve"> </w:t>
      </w:r>
      <w:r w:rsidR="00F37F3F">
        <w:t>Dealing with Resistive Youth (</w:t>
      </w:r>
      <w:r w:rsidR="00956835">
        <w:t>DWRY</w:t>
      </w:r>
      <w:r w:rsidR="00F37F3F">
        <w:t>)</w:t>
      </w:r>
      <w:r w:rsidR="00DF409D">
        <w:t xml:space="preserve"> </w:t>
      </w:r>
      <w:r w:rsidR="00956835">
        <w:t>training.</w:t>
      </w:r>
      <w:r w:rsidR="00956835">
        <w:rPr>
          <w:rStyle w:val="FootnoteReference"/>
        </w:rPr>
        <w:footnoteReference w:id="108"/>
      </w:r>
      <w:r w:rsidR="005776A4">
        <w:t xml:space="preserve"> Staff working in </w:t>
      </w:r>
      <w:r w:rsidR="00956835">
        <w:t>communi</w:t>
      </w:r>
      <w:r w:rsidR="004E7C0C">
        <w:t>ty facilities also must complete a version of DWRY training</w:t>
      </w:r>
      <w:r w:rsidR="00E046F4">
        <w:t>, Community Safety Training,</w:t>
      </w:r>
      <w:r w:rsidR="004E7C0C">
        <w:t xml:space="preserve"> for </w:t>
      </w:r>
      <w:r w:rsidR="00E046F4">
        <w:t>c</w:t>
      </w:r>
      <w:r w:rsidR="004E7C0C">
        <w:t xml:space="preserve">ommunity </w:t>
      </w:r>
      <w:r w:rsidR="00E046F4">
        <w:t xml:space="preserve">programs </w:t>
      </w:r>
      <w:r w:rsidR="004E7C0C">
        <w:t xml:space="preserve">and </w:t>
      </w:r>
      <w:r w:rsidR="00E046F4">
        <w:t>community facilities</w:t>
      </w:r>
      <w:r w:rsidR="004E7C0C">
        <w:t>. This training does not include training on any physical restraint of youth as there is a “hands-off” policy in the community facilities. In interviews with community facility staff, they indicated if youth become physically aggressive in the community facilities</w:t>
      </w:r>
      <w:r w:rsidR="00E046F4">
        <w:t xml:space="preserve"> local law enforcement may be called to assist. Youth with egregious physically aggressive behavior or that continue to be physically aggressive may</w:t>
      </w:r>
      <w:r w:rsidR="004E7C0C">
        <w:t xml:space="preserve"> be returned to one of the institutions.</w:t>
      </w:r>
    </w:p>
    <w:p w14:paraId="20749AE9" w14:textId="77777777" w:rsidR="00FD762B" w:rsidRPr="00FD762B" w:rsidRDefault="00FD762B" w:rsidP="00FD762B">
      <w:r w:rsidRPr="00B0128E">
        <w:t>This section sum</w:t>
      </w:r>
      <w:r w:rsidR="001E0CB3">
        <w:t>marizes the findings regarding how safe staff feel in the institutions and community facilities</w:t>
      </w:r>
      <w:r w:rsidR="006812A7">
        <w:t xml:space="preserve">, using data from the </w:t>
      </w:r>
      <w:r w:rsidR="00E251C1">
        <w:t xml:space="preserve">staff survey </w:t>
      </w:r>
      <w:r w:rsidRPr="00B0128E">
        <w:t xml:space="preserve">and </w:t>
      </w:r>
      <w:r w:rsidR="006812A7">
        <w:t xml:space="preserve">information from </w:t>
      </w:r>
      <w:r w:rsidRPr="00B0128E">
        <w:t xml:space="preserve">the </w:t>
      </w:r>
      <w:r>
        <w:t>interviews and focus groups</w:t>
      </w:r>
      <w:r w:rsidRPr="00B0128E">
        <w:t xml:space="preserve">. It also provides </w:t>
      </w:r>
      <w:r>
        <w:t xml:space="preserve">a summary of the feedback received from youth regarding how safe they feel at the </w:t>
      </w:r>
      <w:r w:rsidR="007C67B0">
        <w:t>institutions</w:t>
      </w:r>
      <w:r>
        <w:t xml:space="preserve"> and community facilities.</w:t>
      </w:r>
    </w:p>
    <w:p w14:paraId="3467AD1E" w14:textId="77777777" w:rsidR="002741A3" w:rsidRPr="00C32C1A" w:rsidRDefault="00FD762B" w:rsidP="005E430A">
      <w:pPr>
        <w:pStyle w:val="Heading3"/>
        <w:numPr>
          <w:ilvl w:val="2"/>
          <w:numId w:val="33"/>
        </w:numPr>
        <w:ind w:left="720"/>
      </w:pPr>
      <w:bookmarkStart w:id="81" w:name="_Toc531597519"/>
      <w:r w:rsidRPr="00C32C1A">
        <w:t>Staff Safety</w:t>
      </w:r>
      <w:bookmarkEnd w:id="81"/>
    </w:p>
    <w:p w14:paraId="086934E3" w14:textId="77777777" w:rsidR="00A05906" w:rsidRDefault="00B508E0" w:rsidP="003E1C78">
      <w:r w:rsidRPr="00B0128E">
        <w:t xml:space="preserve">As part of the </w:t>
      </w:r>
      <w:r w:rsidR="00E251C1">
        <w:t>staff survey</w:t>
      </w:r>
      <w:r w:rsidRPr="00B0128E">
        <w:t xml:space="preserve">, </w:t>
      </w:r>
      <w:r w:rsidR="006812A7">
        <w:t xml:space="preserve">we asked </w:t>
      </w:r>
      <w:r w:rsidRPr="00B0128E">
        <w:t>staff how safe they feel while working in the facility usin</w:t>
      </w:r>
      <w:r w:rsidR="00B0128E" w:rsidRPr="00B0128E">
        <w:t>g a five-point Likert scale (1.</w:t>
      </w:r>
      <w:r w:rsidR="006812A7">
        <w:t xml:space="preserve"> </w:t>
      </w:r>
      <w:r w:rsidR="00B0128E" w:rsidRPr="00B0128E">
        <w:t>Very</w:t>
      </w:r>
      <w:r w:rsidRPr="00B0128E">
        <w:t xml:space="preserve"> Unsafe, 2. More Unsafe Than Safe, 3. Unsure/Mixed, 4. More Safe Than Unsafe, and 5. </w:t>
      </w:r>
      <w:r w:rsidR="00B0128E" w:rsidRPr="00B0128E">
        <w:t xml:space="preserve">Very </w:t>
      </w:r>
      <w:r w:rsidRPr="00B0128E">
        <w:t xml:space="preserve">Safe). </w:t>
      </w:r>
    </w:p>
    <w:p w14:paraId="471EABE6" w14:textId="77777777" w:rsidR="00B508E0" w:rsidRDefault="00B508E0" w:rsidP="003E1C78">
      <w:r>
        <w:t xml:space="preserve">As shown in </w:t>
      </w:r>
      <w:r w:rsidRPr="006812A7">
        <w:t xml:space="preserve">Exhibit </w:t>
      </w:r>
      <w:r w:rsidR="005E430A">
        <w:t>5</w:t>
      </w:r>
      <w:r w:rsidR="00D4764C" w:rsidRPr="006812A7">
        <w:t>-</w:t>
      </w:r>
      <w:r w:rsidR="00A05906">
        <w:t>31</w:t>
      </w:r>
      <w:r>
        <w:t xml:space="preserve">, </w:t>
      </w:r>
      <w:r w:rsidR="00503ACD">
        <w:t>a little more than a thi</w:t>
      </w:r>
      <w:r w:rsidR="00826D25">
        <w:t>rd of the staff at Echo Glen (34.6</w:t>
      </w:r>
      <w:r>
        <w:t xml:space="preserve">%) feel </w:t>
      </w:r>
      <w:r w:rsidR="00F96528">
        <w:t>V</w:t>
      </w:r>
      <w:r w:rsidR="00503ACD">
        <w:t>e</w:t>
      </w:r>
      <w:r w:rsidR="00826D25">
        <w:t xml:space="preserve">ry </w:t>
      </w:r>
      <w:r w:rsidR="00F96528">
        <w:t>U</w:t>
      </w:r>
      <w:r w:rsidR="00826D25">
        <w:t xml:space="preserve">nsafe or </w:t>
      </w:r>
      <w:r w:rsidR="00F96528">
        <w:t>M</w:t>
      </w:r>
      <w:r w:rsidR="00826D25">
        <w:t xml:space="preserve">ore </w:t>
      </w:r>
      <w:r w:rsidR="00F96528">
        <w:t>U</w:t>
      </w:r>
      <w:r w:rsidR="00826D25">
        <w:t xml:space="preserve">nsafe than </w:t>
      </w:r>
      <w:r w:rsidR="00F96528">
        <w:t>S</w:t>
      </w:r>
      <w:r w:rsidR="00503ACD">
        <w:t>afe</w:t>
      </w:r>
      <w:r>
        <w:t>.</w:t>
      </w:r>
      <w:r w:rsidR="00503ACD">
        <w:t xml:space="preserve"> More than hal</w:t>
      </w:r>
      <w:r w:rsidR="00826D25">
        <w:t>f of the staff at Green Hill (60.3</w:t>
      </w:r>
      <w:r w:rsidR="00503ACD">
        <w:t xml:space="preserve">%) </w:t>
      </w:r>
      <w:r w:rsidR="00826D25">
        <w:t xml:space="preserve">feel </w:t>
      </w:r>
      <w:r w:rsidR="00F96528">
        <w:t>V</w:t>
      </w:r>
      <w:r w:rsidR="00826D25">
        <w:t xml:space="preserve">ery </w:t>
      </w:r>
      <w:r w:rsidR="00F96528">
        <w:t>U</w:t>
      </w:r>
      <w:r w:rsidR="00826D25">
        <w:t xml:space="preserve">nsafe or </w:t>
      </w:r>
      <w:r w:rsidR="00F96528">
        <w:t>M</w:t>
      </w:r>
      <w:r w:rsidR="00826D25">
        <w:t xml:space="preserve">ore </w:t>
      </w:r>
      <w:r w:rsidR="00F96528">
        <w:t>U</w:t>
      </w:r>
      <w:r w:rsidR="00503ACD">
        <w:t>nsafe</w:t>
      </w:r>
      <w:r w:rsidR="00826D25">
        <w:t xml:space="preserve"> </w:t>
      </w:r>
      <w:r w:rsidR="00F96528">
        <w:t>T</w:t>
      </w:r>
      <w:r w:rsidR="00826D25">
        <w:t xml:space="preserve">han </w:t>
      </w:r>
      <w:r w:rsidR="00F96528">
        <w:t>S</w:t>
      </w:r>
      <w:r w:rsidR="00826D25">
        <w:t>afe</w:t>
      </w:r>
      <w:r w:rsidR="00503ACD">
        <w:t xml:space="preserve">. </w:t>
      </w:r>
      <w:r w:rsidR="00826D25">
        <w:t xml:space="preserve">Almost half of the staff at Naselle (44.4%) feel </w:t>
      </w:r>
      <w:r w:rsidR="00F96528">
        <w:t>V</w:t>
      </w:r>
      <w:r w:rsidR="00826D25">
        <w:t xml:space="preserve">ery </w:t>
      </w:r>
      <w:r w:rsidR="00F96528">
        <w:t>U</w:t>
      </w:r>
      <w:r w:rsidR="00826D25">
        <w:t xml:space="preserve">nsafe or </w:t>
      </w:r>
      <w:r w:rsidR="00F96528">
        <w:t>M</w:t>
      </w:r>
      <w:r w:rsidR="00826D25">
        <w:t xml:space="preserve">ore </w:t>
      </w:r>
      <w:r w:rsidR="00F96528">
        <w:t>U</w:t>
      </w:r>
      <w:r w:rsidR="00826D25">
        <w:t xml:space="preserve">nsafe </w:t>
      </w:r>
      <w:r w:rsidR="00F96528">
        <w:t>T</w:t>
      </w:r>
      <w:r w:rsidR="00826D25">
        <w:t xml:space="preserve">han </w:t>
      </w:r>
      <w:r w:rsidR="00F96528">
        <w:t>S</w:t>
      </w:r>
      <w:r w:rsidR="00826D25">
        <w:t xml:space="preserve">afe. </w:t>
      </w:r>
      <w:r>
        <w:t xml:space="preserve">In contrast, only </w:t>
      </w:r>
      <w:r w:rsidR="003E1C78">
        <w:t>5.6</w:t>
      </w:r>
      <w:r>
        <w:t>%</w:t>
      </w:r>
      <w:r w:rsidR="003E1C78">
        <w:t xml:space="preserve"> </w:t>
      </w:r>
      <w:r>
        <w:t xml:space="preserve">of the staff working </w:t>
      </w:r>
      <w:r w:rsidR="003E1C78">
        <w:t xml:space="preserve">in the community facilities feel </w:t>
      </w:r>
      <w:r w:rsidR="00F96528">
        <w:t>Very Unsafe or More Unsafe Than Safe</w:t>
      </w:r>
      <w:r>
        <w:t xml:space="preserve">. </w:t>
      </w:r>
    </w:p>
    <w:p w14:paraId="7EB582AC" w14:textId="77777777" w:rsidR="00EE3E1C" w:rsidRDefault="00D4764C" w:rsidP="00DC48AB">
      <w:pPr>
        <w:pStyle w:val="Caption"/>
        <w:keepLines/>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31</w:t>
      </w:r>
      <w:r w:rsidR="00E251C1">
        <w:t>.</w:t>
      </w:r>
      <w:r w:rsidR="00221053">
        <w:t xml:space="preserve"> </w:t>
      </w:r>
      <w:r w:rsidR="001232BC">
        <w:t>Safety</w:t>
      </w:r>
      <w:r w:rsidR="001E0CB3">
        <w:t>,</w:t>
      </w:r>
      <w:r w:rsidR="001232BC">
        <w:t xml:space="preserve"> by Facility</w:t>
      </w:r>
      <w:r w:rsidR="00503ACD">
        <w:t xml:space="preserve"> </w:t>
      </w:r>
    </w:p>
    <w:tbl>
      <w:tblPr>
        <w:tblStyle w:val="HyzerTable"/>
        <w:tblW w:w="8582" w:type="dxa"/>
        <w:tblLayout w:type="fixed"/>
        <w:tblLook w:val="0420" w:firstRow="1" w:lastRow="0" w:firstColumn="0" w:lastColumn="0" w:noHBand="0" w:noVBand="1"/>
      </w:tblPr>
      <w:tblGrid>
        <w:gridCol w:w="1947"/>
        <w:gridCol w:w="990"/>
        <w:gridCol w:w="990"/>
        <w:gridCol w:w="1234"/>
        <w:gridCol w:w="1114"/>
        <w:gridCol w:w="1432"/>
        <w:gridCol w:w="875"/>
      </w:tblGrid>
      <w:tr w:rsidR="00826D25" w:rsidRPr="00CD1826" w14:paraId="166DD5BB" w14:textId="77777777" w:rsidTr="00543E69">
        <w:trPr>
          <w:cnfStyle w:val="100000000000" w:firstRow="1" w:lastRow="0" w:firstColumn="0" w:lastColumn="0" w:oddVBand="0" w:evenVBand="0" w:oddHBand="0" w:evenHBand="0" w:firstRowFirstColumn="0" w:firstRowLastColumn="0" w:lastRowFirstColumn="0" w:lastRowLastColumn="0"/>
          <w:tblHeader/>
        </w:trPr>
        <w:tc>
          <w:tcPr>
            <w:tcW w:w="1947" w:type="dxa"/>
            <w:vAlign w:val="center"/>
          </w:tcPr>
          <w:p w14:paraId="146304D0" w14:textId="77777777" w:rsidR="00826D25" w:rsidRPr="003A1CBF" w:rsidRDefault="00826D25" w:rsidP="00DC48AB">
            <w:pPr>
              <w:pStyle w:val="tableheaderwhite"/>
              <w:keepNext/>
              <w:keepLines/>
              <w:spacing w:before="20" w:after="20"/>
              <w:rPr>
                <w:sz w:val="22"/>
              </w:rPr>
            </w:pPr>
            <w:r w:rsidRPr="003A1CBF">
              <w:rPr>
                <w:sz w:val="22"/>
              </w:rPr>
              <w:t>Facility</w:t>
            </w:r>
          </w:p>
        </w:tc>
        <w:tc>
          <w:tcPr>
            <w:tcW w:w="990" w:type="dxa"/>
            <w:vAlign w:val="center"/>
          </w:tcPr>
          <w:p w14:paraId="35BC4AA6" w14:textId="77777777" w:rsidR="00826D25" w:rsidRPr="003A1CBF" w:rsidRDefault="00826D25" w:rsidP="00DC48AB">
            <w:pPr>
              <w:pStyle w:val="tableheaderwhite"/>
              <w:keepNext/>
              <w:keepLines/>
              <w:spacing w:before="20" w:after="20"/>
              <w:rPr>
                <w:sz w:val="22"/>
              </w:rPr>
            </w:pPr>
            <w:r w:rsidRPr="003A1CBF">
              <w:rPr>
                <w:sz w:val="22"/>
              </w:rPr>
              <w:t>Number</w:t>
            </w:r>
          </w:p>
        </w:tc>
        <w:tc>
          <w:tcPr>
            <w:tcW w:w="990" w:type="dxa"/>
            <w:vAlign w:val="center"/>
          </w:tcPr>
          <w:p w14:paraId="138886CB" w14:textId="77777777" w:rsidR="00826D25" w:rsidRPr="003A1CBF" w:rsidRDefault="00826D25" w:rsidP="00DC48AB">
            <w:pPr>
              <w:pStyle w:val="tableheaderwhite"/>
              <w:keepNext/>
              <w:keepLines/>
              <w:spacing w:before="20" w:after="20"/>
              <w:rPr>
                <w:sz w:val="22"/>
              </w:rPr>
            </w:pPr>
            <w:r w:rsidRPr="003A1CBF">
              <w:rPr>
                <w:sz w:val="22"/>
              </w:rPr>
              <w:t>Very Unsafe</w:t>
            </w:r>
          </w:p>
        </w:tc>
        <w:tc>
          <w:tcPr>
            <w:tcW w:w="1234" w:type="dxa"/>
            <w:vAlign w:val="center"/>
          </w:tcPr>
          <w:p w14:paraId="77A7CDF8" w14:textId="77777777" w:rsidR="00826D25" w:rsidRPr="003A1CBF" w:rsidRDefault="00826D25" w:rsidP="00DC48AB">
            <w:pPr>
              <w:pStyle w:val="tableheaderwhite"/>
              <w:keepNext/>
              <w:keepLines/>
              <w:spacing w:before="20" w:after="20"/>
              <w:rPr>
                <w:sz w:val="22"/>
              </w:rPr>
            </w:pPr>
            <w:r w:rsidRPr="003A1CBF">
              <w:rPr>
                <w:sz w:val="22"/>
              </w:rPr>
              <w:t>More Unsafe Than Safe</w:t>
            </w:r>
          </w:p>
        </w:tc>
        <w:tc>
          <w:tcPr>
            <w:tcW w:w="1114" w:type="dxa"/>
            <w:vAlign w:val="center"/>
          </w:tcPr>
          <w:p w14:paraId="7B959415" w14:textId="77777777" w:rsidR="00826D25" w:rsidRPr="003A1CBF" w:rsidRDefault="00826D25" w:rsidP="00DC48AB">
            <w:pPr>
              <w:pStyle w:val="tableheaderwhite"/>
              <w:keepNext/>
              <w:keepLines/>
              <w:spacing w:before="20" w:after="20"/>
              <w:rPr>
                <w:sz w:val="22"/>
              </w:rPr>
            </w:pPr>
            <w:r w:rsidRPr="003A1CBF">
              <w:rPr>
                <w:sz w:val="22"/>
              </w:rPr>
              <w:t>Unsure/</w:t>
            </w:r>
          </w:p>
          <w:p w14:paraId="345EE689" w14:textId="77777777" w:rsidR="00826D25" w:rsidRPr="003A1CBF" w:rsidRDefault="00826D25" w:rsidP="00DC48AB">
            <w:pPr>
              <w:pStyle w:val="tableheaderwhite"/>
              <w:keepNext/>
              <w:keepLines/>
              <w:spacing w:before="20" w:after="20"/>
              <w:rPr>
                <w:sz w:val="22"/>
              </w:rPr>
            </w:pPr>
            <w:r w:rsidRPr="003A1CBF">
              <w:rPr>
                <w:sz w:val="22"/>
              </w:rPr>
              <w:t>Mixed</w:t>
            </w:r>
          </w:p>
        </w:tc>
        <w:tc>
          <w:tcPr>
            <w:tcW w:w="1432" w:type="dxa"/>
            <w:vAlign w:val="center"/>
          </w:tcPr>
          <w:p w14:paraId="37BEE7D1" w14:textId="77777777" w:rsidR="00826D25" w:rsidRPr="003A1CBF" w:rsidRDefault="00826D25" w:rsidP="00DC48AB">
            <w:pPr>
              <w:pStyle w:val="tableheaderwhite"/>
              <w:keepNext/>
              <w:keepLines/>
              <w:spacing w:before="20" w:after="20"/>
              <w:rPr>
                <w:sz w:val="22"/>
              </w:rPr>
            </w:pPr>
            <w:r w:rsidRPr="003A1CBF">
              <w:rPr>
                <w:sz w:val="22"/>
              </w:rPr>
              <w:t>More Safe Than Unsafe</w:t>
            </w:r>
          </w:p>
        </w:tc>
        <w:tc>
          <w:tcPr>
            <w:tcW w:w="875" w:type="dxa"/>
            <w:vAlign w:val="center"/>
          </w:tcPr>
          <w:p w14:paraId="31D012CB" w14:textId="77777777" w:rsidR="00826D25" w:rsidRPr="003A1CBF" w:rsidRDefault="00826D25" w:rsidP="00DC48AB">
            <w:pPr>
              <w:pStyle w:val="tableheaderwhite"/>
              <w:keepNext/>
              <w:keepLines/>
              <w:spacing w:before="20" w:after="20"/>
              <w:rPr>
                <w:sz w:val="22"/>
              </w:rPr>
            </w:pPr>
            <w:r w:rsidRPr="003A1CBF">
              <w:rPr>
                <w:sz w:val="22"/>
              </w:rPr>
              <w:t>Very Safe</w:t>
            </w:r>
          </w:p>
        </w:tc>
      </w:tr>
      <w:tr w:rsidR="00826D25" w:rsidRPr="00CD1826" w14:paraId="53287D2E" w14:textId="77777777" w:rsidTr="00826D25">
        <w:trPr>
          <w:cnfStyle w:val="000000100000" w:firstRow="0" w:lastRow="0" w:firstColumn="0" w:lastColumn="0" w:oddVBand="0" w:evenVBand="0" w:oddHBand="1" w:evenHBand="0" w:firstRowFirstColumn="0" w:firstRowLastColumn="0" w:lastRowFirstColumn="0" w:lastRowLastColumn="0"/>
        </w:trPr>
        <w:tc>
          <w:tcPr>
            <w:tcW w:w="1947" w:type="dxa"/>
          </w:tcPr>
          <w:p w14:paraId="0EAD3490" w14:textId="77777777" w:rsidR="00826D25" w:rsidRPr="00CD1826" w:rsidRDefault="00826D25" w:rsidP="00DC48AB">
            <w:pPr>
              <w:pStyle w:val="TableTextRight"/>
              <w:keepNext/>
              <w:keepLines/>
              <w:jc w:val="left"/>
            </w:pPr>
            <w:r w:rsidRPr="004A5C18">
              <w:rPr>
                <w:b/>
              </w:rPr>
              <w:t>Echo Glen</w:t>
            </w:r>
          </w:p>
        </w:tc>
        <w:tc>
          <w:tcPr>
            <w:tcW w:w="990" w:type="dxa"/>
          </w:tcPr>
          <w:p w14:paraId="25C632AF" w14:textId="77777777" w:rsidR="00826D25" w:rsidRPr="0046527A" w:rsidRDefault="00826D25" w:rsidP="00DC48AB">
            <w:pPr>
              <w:pStyle w:val="TableText"/>
              <w:keepNext/>
              <w:keepLines/>
              <w:jc w:val="center"/>
            </w:pPr>
            <w:r>
              <w:t>26</w:t>
            </w:r>
          </w:p>
        </w:tc>
        <w:tc>
          <w:tcPr>
            <w:tcW w:w="990" w:type="dxa"/>
          </w:tcPr>
          <w:p w14:paraId="3F932A28" w14:textId="77777777" w:rsidR="00826D25" w:rsidRPr="0046527A" w:rsidRDefault="00826D25" w:rsidP="00DC48AB">
            <w:pPr>
              <w:pStyle w:val="TableText"/>
              <w:keepNext/>
              <w:keepLines/>
              <w:jc w:val="center"/>
            </w:pPr>
            <w:r>
              <w:t>11.5%</w:t>
            </w:r>
          </w:p>
        </w:tc>
        <w:tc>
          <w:tcPr>
            <w:tcW w:w="1234" w:type="dxa"/>
          </w:tcPr>
          <w:p w14:paraId="0BC51E6B" w14:textId="77777777" w:rsidR="00826D25" w:rsidRPr="0046527A" w:rsidRDefault="00826D25" w:rsidP="00DC48AB">
            <w:pPr>
              <w:pStyle w:val="TableText"/>
              <w:keepNext/>
              <w:keepLines/>
              <w:jc w:val="center"/>
            </w:pPr>
            <w:r>
              <w:t>23.1%</w:t>
            </w:r>
          </w:p>
        </w:tc>
        <w:tc>
          <w:tcPr>
            <w:tcW w:w="1114" w:type="dxa"/>
          </w:tcPr>
          <w:p w14:paraId="242CB934" w14:textId="77777777" w:rsidR="00826D25" w:rsidRPr="0046527A" w:rsidRDefault="00826D25" w:rsidP="00DC48AB">
            <w:pPr>
              <w:pStyle w:val="TableText"/>
              <w:keepNext/>
              <w:keepLines/>
              <w:jc w:val="center"/>
            </w:pPr>
            <w:r>
              <w:t>42.3%</w:t>
            </w:r>
          </w:p>
        </w:tc>
        <w:tc>
          <w:tcPr>
            <w:tcW w:w="1432" w:type="dxa"/>
          </w:tcPr>
          <w:p w14:paraId="62C9BA8F" w14:textId="77777777" w:rsidR="00826D25" w:rsidRPr="0046527A" w:rsidRDefault="00826D25" w:rsidP="00DC48AB">
            <w:pPr>
              <w:pStyle w:val="TableText"/>
              <w:keepNext/>
              <w:keepLines/>
              <w:jc w:val="center"/>
            </w:pPr>
            <w:r>
              <w:t>23.1%</w:t>
            </w:r>
          </w:p>
        </w:tc>
        <w:tc>
          <w:tcPr>
            <w:tcW w:w="875" w:type="dxa"/>
          </w:tcPr>
          <w:p w14:paraId="7006E267" w14:textId="77777777" w:rsidR="00826D25" w:rsidRPr="0046527A" w:rsidRDefault="00826D25" w:rsidP="00DC48AB">
            <w:pPr>
              <w:pStyle w:val="TableText"/>
              <w:keepNext/>
              <w:keepLines/>
              <w:jc w:val="center"/>
            </w:pPr>
            <w:r w:rsidRPr="0046527A">
              <w:t>0%</w:t>
            </w:r>
          </w:p>
        </w:tc>
      </w:tr>
      <w:tr w:rsidR="00826D25" w:rsidRPr="00CD1826" w14:paraId="75078DCB" w14:textId="77777777" w:rsidTr="00826D25">
        <w:trPr>
          <w:trHeight w:val="266"/>
        </w:trPr>
        <w:tc>
          <w:tcPr>
            <w:tcW w:w="1947" w:type="dxa"/>
          </w:tcPr>
          <w:p w14:paraId="53573FFA" w14:textId="77777777" w:rsidR="00826D25" w:rsidRPr="00507F7B" w:rsidRDefault="00826D25" w:rsidP="00DC48AB">
            <w:pPr>
              <w:pStyle w:val="TableTextBoldRight"/>
              <w:keepNext/>
              <w:keepLines/>
              <w:jc w:val="left"/>
              <w:rPr>
                <w:rStyle w:val="TableTextBold"/>
              </w:rPr>
            </w:pPr>
            <w:r>
              <w:t>Green Hill</w:t>
            </w:r>
          </w:p>
        </w:tc>
        <w:tc>
          <w:tcPr>
            <w:tcW w:w="990" w:type="dxa"/>
          </w:tcPr>
          <w:p w14:paraId="553E33BC" w14:textId="77777777" w:rsidR="00826D25" w:rsidRPr="0046527A" w:rsidRDefault="00826D25" w:rsidP="00DC48AB">
            <w:pPr>
              <w:pStyle w:val="TableText"/>
              <w:keepNext/>
              <w:keepLines/>
              <w:jc w:val="center"/>
            </w:pPr>
            <w:r>
              <w:t>68</w:t>
            </w:r>
          </w:p>
        </w:tc>
        <w:tc>
          <w:tcPr>
            <w:tcW w:w="990" w:type="dxa"/>
          </w:tcPr>
          <w:p w14:paraId="4E538BF0" w14:textId="77777777" w:rsidR="00826D25" w:rsidRPr="0046527A" w:rsidRDefault="00826D25" w:rsidP="00DC48AB">
            <w:pPr>
              <w:pStyle w:val="TableText"/>
              <w:keepNext/>
              <w:keepLines/>
              <w:jc w:val="center"/>
            </w:pPr>
            <w:r>
              <w:t>30.9%</w:t>
            </w:r>
          </w:p>
        </w:tc>
        <w:tc>
          <w:tcPr>
            <w:tcW w:w="1234" w:type="dxa"/>
          </w:tcPr>
          <w:p w14:paraId="762C4B74" w14:textId="77777777" w:rsidR="00826D25" w:rsidRPr="0046527A" w:rsidRDefault="00826D25" w:rsidP="00DC48AB">
            <w:pPr>
              <w:pStyle w:val="TableText"/>
              <w:keepNext/>
              <w:keepLines/>
              <w:jc w:val="center"/>
              <w:rPr>
                <w:rStyle w:val="TableTextBold"/>
                <w:b w:val="0"/>
              </w:rPr>
            </w:pPr>
            <w:r>
              <w:t>29.4%</w:t>
            </w:r>
          </w:p>
        </w:tc>
        <w:tc>
          <w:tcPr>
            <w:tcW w:w="1114" w:type="dxa"/>
          </w:tcPr>
          <w:p w14:paraId="1C57961B" w14:textId="77777777" w:rsidR="00826D25" w:rsidRPr="0046527A" w:rsidRDefault="00826D25" w:rsidP="00DC48AB">
            <w:pPr>
              <w:pStyle w:val="TableText"/>
              <w:keepNext/>
              <w:keepLines/>
              <w:jc w:val="center"/>
              <w:rPr>
                <w:rStyle w:val="TableTextBold"/>
                <w:b w:val="0"/>
              </w:rPr>
            </w:pPr>
            <w:r>
              <w:rPr>
                <w:rStyle w:val="TableTextBold"/>
                <w:b w:val="0"/>
              </w:rPr>
              <w:t>19.1%</w:t>
            </w:r>
          </w:p>
        </w:tc>
        <w:tc>
          <w:tcPr>
            <w:tcW w:w="1432" w:type="dxa"/>
          </w:tcPr>
          <w:p w14:paraId="6726521D" w14:textId="77777777" w:rsidR="00826D25" w:rsidRPr="0046527A" w:rsidRDefault="00826D25" w:rsidP="00DC48AB">
            <w:pPr>
              <w:pStyle w:val="TableText"/>
              <w:keepNext/>
              <w:keepLines/>
              <w:jc w:val="center"/>
              <w:rPr>
                <w:rStyle w:val="TableTextBold"/>
                <w:b w:val="0"/>
              </w:rPr>
            </w:pPr>
            <w:r>
              <w:rPr>
                <w:rStyle w:val="TableTextBold"/>
                <w:b w:val="0"/>
              </w:rPr>
              <w:t>17.6%</w:t>
            </w:r>
          </w:p>
        </w:tc>
        <w:tc>
          <w:tcPr>
            <w:tcW w:w="875" w:type="dxa"/>
          </w:tcPr>
          <w:p w14:paraId="4429073D" w14:textId="77777777" w:rsidR="00826D25" w:rsidRPr="0046527A" w:rsidRDefault="00826D25" w:rsidP="00DC48AB">
            <w:pPr>
              <w:pStyle w:val="TableText"/>
              <w:keepNext/>
              <w:keepLines/>
              <w:jc w:val="center"/>
              <w:rPr>
                <w:rStyle w:val="TableTextBold"/>
                <w:b w:val="0"/>
              </w:rPr>
            </w:pPr>
            <w:r>
              <w:rPr>
                <w:rStyle w:val="TableTextBold"/>
                <w:b w:val="0"/>
              </w:rPr>
              <w:t>2.9%</w:t>
            </w:r>
          </w:p>
        </w:tc>
      </w:tr>
      <w:tr w:rsidR="00826D25" w:rsidRPr="00CD1826" w14:paraId="11C5C0AB" w14:textId="77777777" w:rsidTr="00826D25">
        <w:trPr>
          <w:cnfStyle w:val="000000100000" w:firstRow="0" w:lastRow="0" w:firstColumn="0" w:lastColumn="0" w:oddVBand="0" w:evenVBand="0" w:oddHBand="1" w:evenHBand="0" w:firstRowFirstColumn="0" w:firstRowLastColumn="0" w:lastRowFirstColumn="0" w:lastRowLastColumn="0"/>
          <w:trHeight w:val="264"/>
        </w:trPr>
        <w:tc>
          <w:tcPr>
            <w:tcW w:w="1947" w:type="dxa"/>
          </w:tcPr>
          <w:p w14:paraId="3DD78E65" w14:textId="77777777" w:rsidR="00826D25" w:rsidRPr="0046527A" w:rsidRDefault="00826D25" w:rsidP="00DC48AB">
            <w:pPr>
              <w:pStyle w:val="TableTextBoldRight"/>
              <w:keepNext/>
              <w:keepLines/>
              <w:jc w:val="left"/>
            </w:pPr>
            <w:r w:rsidRPr="0046527A">
              <w:t>Naselle</w:t>
            </w:r>
          </w:p>
        </w:tc>
        <w:tc>
          <w:tcPr>
            <w:tcW w:w="990" w:type="dxa"/>
          </w:tcPr>
          <w:p w14:paraId="117E9707" w14:textId="77777777" w:rsidR="00826D25" w:rsidRPr="0046527A" w:rsidRDefault="00826D25" w:rsidP="00DC48AB">
            <w:pPr>
              <w:pStyle w:val="TableText"/>
              <w:keepNext/>
              <w:keepLines/>
              <w:jc w:val="center"/>
            </w:pPr>
            <w:r>
              <w:t>27</w:t>
            </w:r>
          </w:p>
        </w:tc>
        <w:tc>
          <w:tcPr>
            <w:tcW w:w="990" w:type="dxa"/>
          </w:tcPr>
          <w:p w14:paraId="4074B552" w14:textId="77777777" w:rsidR="00826D25" w:rsidRPr="0046527A" w:rsidRDefault="00826D25" w:rsidP="00DC48AB">
            <w:pPr>
              <w:pStyle w:val="TableText"/>
              <w:keepNext/>
              <w:keepLines/>
              <w:jc w:val="center"/>
            </w:pPr>
            <w:r>
              <w:t>25.9%</w:t>
            </w:r>
          </w:p>
        </w:tc>
        <w:tc>
          <w:tcPr>
            <w:tcW w:w="1234" w:type="dxa"/>
          </w:tcPr>
          <w:p w14:paraId="585CD318" w14:textId="77777777" w:rsidR="00826D25" w:rsidRPr="0046527A" w:rsidRDefault="00826D25" w:rsidP="00DC48AB">
            <w:pPr>
              <w:pStyle w:val="TableText"/>
              <w:keepNext/>
              <w:keepLines/>
              <w:jc w:val="center"/>
            </w:pPr>
            <w:r>
              <w:t>18.5%</w:t>
            </w:r>
          </w:p>
        </w:tc>
        <w:tc>
          <w:tcPr>
            <w:tcW w:w="1114" w:type="dxa"/>
          </w:tcPr>
          <w:p w14:paraId="7C1B246B" w14:textId="77777777" w:rsidR="00826D25" w:rsidRPr="0046527A" w:rsidRDefault="00826D25" w:rsidP="00DC48AB">
            <w:pPr>
              <w:pStyle w:val="TableText"/>
              <w:keepNext/>
              <w:keepLines/>
              <w:jc w:val="center"/>
            </w:pPr>
            <w:r>
              <w:t>37.0%</w:t>
            </w:r>
          </w:p>
        </w:tc>
        <w:tc>
          <w:tcPr>
            <w:tcW w:w="1432" w:type="dxa"/>
          </w:tcPr>
          <w:p w14:paraId="385121DF" w14:textId="77777777" w:rsidR="00826D25" w:rsidRPr="0046527A" w:rsidRDefault="00826D25" w:rsidP="00DC48AB">
            <w:pPr>
              <w:pStyle w:val="TableText"/>
              <w:keepNext/>
              <w:keepLines/>
              <w:jc w:val="center"/>
            </w:pPr>
            <w:r>
              <w:t>14.8%</w:t>
            </w:r>
          </w:p>
        </w:tc>
        <w:tc>
          <w:tcPr>
            <w:tcW w:w="875" w:type="dxa"/>
          </w:tcPr>
          <w:p w14:paraId="1B8D2B60" w14:textId="77777777" w:rsidR="00826D25" w:rsidRPr="0046527A" w:rsidRDefault="00826D25" w:rsidP="00DC48AB">
            <w:pPr>
              <w:pStyle w:val="TableText"/>
              <w:keepNext/>
              <w:keepLines/>
              <w:jc w:val="center"/>
            </w:pPr>
            <w:r>
              <w:t>3.7%</w:t>
            </w:r>
          </w:p>
        </w:tc>
      </w:tr>
      <w:tr w:rsidR="00826D25" w:rsidRPr="00CD1826" w14:paraId="3D7B4D80" w14:textId="77777777" w:rsidTr="00826D25">
        <w:trPr>
          <w:trHeight w:val="264"/>
        </w:trPr>
        <w:tc>
          <w:tcPr>
            <w:tcW w:w="1947" w:type="dxa"/>
          </w:tcPr>
          <w:p w14:paraId="6A7D1BD6" w14:textId="77777777" w:rsidR="00826D25" w:rsidRPr="0046527A" w:rsidRDefault="00826D25" w:rsidP="00DC48AB">
            <w:pPr>
              <w:pStyle w:val="TableTextBoldRight"/>
              <w:keepNext/>
              <w:keepLines/>
              <w:jc w:val="left"/>
            </w:pPr>
            <w:r w:rsidRPr="0046527A">
              <w:t>Community Facilities</w:t>
            </w:r>
          </w:p>
        </w:tc>
        <w:tc>
          <w:tcPr>
            <w:tcW w:w="990" w:type="dxa"/>
          </w:tcPr>
          <w:p w14:paraId="5CA1D807" w14:textId="77777777" w:rsidR="00826D25" w:rsidRPr="0046527A" w:rsidRDefault="00826D25" w:rsidP="00DC48AB">
            <w:pPr>
              <w:pStyle w:val="TableText"/>
              <w:keepNext/>
              <w:keepLines/>
              <w:jc w:val="center"/>
            </w:pPr>
            <w:r>
              <w:t>36</w:t>
            </w:r>
          </w:p>
        </w:tc>
        <w:tc>
          <w:tcPr>
            <w:tcW w:w="990" w:type="dxa"/>
          </w:tcPr>
          <w:p w14:paraId="47E964FA" w14:textId="77777777" w:rsidR="00826D25" w:rsidRPr="0046527A" w:rsidRDefault="00826D25" w:rsidP="00DC48AB">
            <w:pPr>
              <w:pStyle w:val="TableText"/>
              <w:keepNext/>
              <w:keepLines/>
              <w:jc w:val="center"/>
            </w:pPr>
            <w:r w:rsidRPr="0046527A">
              <w:t>2.8%</w:t>
            </w:r>
          </w:p>
        </w:tc>
        <w:tc>
          <w:tcPr>
            <w:tcW w:w="1234" w:type="dxa"/>
          </w:tcPr>
          <w:p w14:paraId="5FD39BE4" w14:textId="77777777" w:rsidR="00826D25" w:rsidRPr="0046527A" w:rsidRDefault="00826D25" w:rsidP="00DC48AB">
            <w:pPr>
              <w:pStyle w:val="TableText"/>
              <w:keepNext/>
              <w:keepLines/>
              <w:jc w:val="center"/>
            </w:pPr>
            <w:r w:rsidRPr="0046527A">
              <w:t>2.8%</w:t>
            </w:r>
          </w:p>
        </w:tc>
        <w:tc>
          <w:tcPr>
            <w:tcW w:w="1114" w:type="dxa"/>
          </w:tcPr>
          <w:p w14:paraId="54106832" w14:textId="77777777" w:rsidR="00826D25" w:rsidRPr="0046527A" w:rsidRDefault="00826D25" w:rsidP="00DC48AB">
            <w:pPr>
              <w:pStyle w:val="TableText"/>
              <w:keepNext/>
              <w:keepLines/>
              <w:jc w:val="center"/>
            </w:pPr>
            <w:r w:rsidRPr="0046527A">
              <w:t>25.0%</w:t>
            </w:r>
          </w:p>
        </w:tc>
        <w:tc>
          <w:tcPr>
            <w:tcW w:w="1432" w:type="dxa"/>
          </w:tcPr>
          <w:p w14:paraId="147A355C" w14:textId="77777777" w:rsidR="00826D25" w:rsidRPr="0046527A" w:rsidRDefault="00826D25" w:rsidP="00DC48AB">
            <w:pPr>
              <w:pStyle w:val="TableText"/>
              <w:keepNext/>
              <w:keepLines/>
              <w:jc w:val="center"/>
            </w:pPr>
            <w:r w:rsidRPr="0046527A">
              <w:t>63.9%</w:t>
            </w:r>
          </w:p>
        </w:tc>
        <w:tc>
          <w:tcPr>
            <w:tcW w:w="875" w:type="dxa"/>
          </w:tcPr>
          <w:p w14:paraId="2F5DD32E" w14:textId="77777777" w:rsidR="00826D25" w:rsidRPr="0046527A" w:rsidRDefault="00826D25" w:rsidP="00DC48AB">
            <w:pPr>
              <w:pStyle w:val="TableText"/>
              <w:keepNext/>
              <w:keepLines/>
              <w:jc w:val="center"/>
            </w:pPr>
            <w:r w:rsidRPr="0046527A">
              <w:t>5.6%</w:t>
            </w:r>
          </w:p>
        </w:tc>
      </w:tr>
    </w:tbl>
    <w:p w14:paraId="3E58ED69" w14:textId="77777777" w:rsidR="00FB74B3" w:rsidRDefault="00FB74B3" w:rsidP="005E430A">
      <w:pPr>
        <w:pStyle w:val="PullQuote"/>
        <w:framePr w:wrap="around" w:hAnchor="page" w:x="7492" w:y="900"/>
      </w:pPr>
      <w:r>
        <w:t>“</w:t>
      </w:r>
      <w:r w:rsidRPr="00FB74B3">
        <w:rPr>
          <w:i/>
        </w:rPr>
        <w:t>We don’t have enough staff to manage individual youth behaviors before the situation goes south</w:t>
      </w:r>
      <w:r>
        <w:t>”</w:t>
      </w:r>
    </w:p>
    <w:p w14:paraId="74989AAD" w14:textId="77777777" w:rsidR="00FB74B3" w:rsidRPr="00B0128E" w:rsidRDefault="00FB74B3" w:rsidP="005E430A">
      <w:pPr>
        <w:pStyle w:val="PullQuote"/>
        <w:framePr w:wrap="around" w:hAnchor="page" w:x="7492" w:y="900"/>
        <w:jc w:val="right"/>
      </w:pPr>
      <w:r>
        <w:t>—Leadership</w:t>
      </w:r>
    </w:p>
    <w:p w14:paraId="1D72CE45" w14:textId="77777777" w:rsidR="00EE3E1C" w:rsidRDefault="00D854F4" w:rsidP="006174F9">
      <w:r>
        <w:t xml:space="preserve">Performance-based Standards (PbS) for Youth Correction and Detention Facilities </w:t>
      </w:r>
      <w:r w:rsidR="000E4A18">
        <w:t xml:space="preserve">is </w:t>
      </w:r>
      <w:r>
        <w:t xml:space="preserve">a program for juvenile justice facilities to monitor and improve conditions and treatment services. </w:t>
      </w:r>
      <w:r w:rsidR="000E4A18">
        <w:t xml:space="preserve">Data </w:t>
      </w:r>
      <w:r w:rsidR="00F96528">
        <w:t>are</w:t>
      </w:r>
      <w:r w:rsidR="000E4A18">
        <w:t xml:space="preserve"> collected</w:t>
      </w:r>
      <w:r>
        <w:t xml:space="preserve"> from records and survey</w:t>
      </w:r>
      <w:r w:rsidR="000E4A18">
        <w:t xml:space="preserve">s of youth, staff, and families. </w:t>
      </w:r>
      <w:r>
        <w:t xml:space="preserve">PbS data </w:t>
      </w:r>
      <w:r w:rsidR="00C419EE">
        <w:t xml:space="preserve">are </w:t>
      </w:r>
      <w:r>
        <w:t>reported every April and October.</w:t>
      </w:r>
      <w:r>
        <w:rPr>
          <w:rStyle w:val="FootnoteReference"/>
        </w:rPr>
        <w:footnoteReference w:id="109"/>
      </w:r>
      <w:r w:rsidR="00064EB1">
        <w:t xml:space="preserve"> Currently, all three of JR’s institutions participate in the PbS program. The PbS mod</w:t>
      </w:r>
      <w:r w:rsidR="000E4A18">
        <w:t xml:space="preserve">el provides data in seven </w:t>
      </w:r>
      <w:r w:rsidR="000E4A18">
        <w:lastRenderedPageBreak/>
        <w:t>areas—Safety, Health and Mental Health Services, Programming, Reintegration</w:t>
      </w:r>
      <w:r w:rsidR="002741A3">
        <w:t xml:space="preserve"> Planning</w:t>
      </w:r>
      <w:r w:rsidR="000E4A18">
        <w:t>, Justice,</w:t>
      </w:r>
      <w:r w:rsidR="002741A3">
        <w:t xml:space="preserve"> and Legal Rights,</w:t>
      </w:r>
      <w:r w:rsidR="000E4A18">
        <w:t xml:space="preserve"> Security, and Order. The PbS model holds that the primary goal of juvenile justice facilities is to provide a safe environment.</w:t>
      </w:r>
      <w:r w:rsidR="000E4A18">
        <w:rPr>
          <w:rStyle w:val="FootnoteReference"/>
        </w:rPr>
        <w:footnoteReference w:id="110"/>
      </w:r>
      <w:r w:rsidR="002741A3">
        <w:t xml:space="preserve"> PbS data on Safety from October 201</w:t>
      </w:r>
      <w:r w:rsidR="00FF47F0">
        <w:t>7-April 2018</w:t>
      </w:r>
      <w:r w:rsidR="002741A3">
        <w:t xml:space="preserve"> indicate approximately 60% of </w:t>
      </w:r>
      <w:r w:rsidR="00122F31">
        <w:t xml:space="preserve">the sample of </w:t>
      </w:r>
      <w:r w:rsidR="002741A3">
        <w:t>staff</w:t>
      </w:r>
      <w:r w:rsidR="00122F31">
        <w:t xml:space="preserve"> surveyed</w:t>
      </w:r>
      <w:r w:rsidR="002741A3">
        <w:t xml:space="preserve"> at Green Hill; 50% of staff at Echo Glen; and 55% of staff at Naselle</w:t>
      </w:r>
      <w:r w:rsidR="002741A3" w:rsidRPr="002741A3">
        <w:t xml:space="preserve"> </w:t>
      </w:r>
      <w:r w:rsidR="002741A3">
        <w:t>“feared for their safety within the last 6 months.”</w:t>
      </w:r>
      <w:r w:rsidR="002741A3">
        <w:rPr>
          <w:rStyle w:val="FootnoteReference"/>
        </w:rPr>
        <w:footnoteReference w:id="111"/>
      </w:r>
      <w:r w:rsidR="001E0CB3">
        <w:t xml:space="preserve"> </w:t>
      </w:r>
      <w:r w:rsidR="00C419EE">
        <w:t xml:space="preserve">These </w:t>
      </w:r>
      <w:r w:rsidR="001E0CB3">
        <w:t xml:space="preserve">data </w:t>
      </w:r>
      <w:r w:rsidR="00C419EE">
        <w:t xml:space="preserve">are </w:t>
      </w:r>
      <w:r w:rsidR="001E0CB3">
        <w:t>consistent with the findings from the staff survey.</w:t>
      </w:r>
    </w:p>
    <w:p w14:paraId="585FE470" w14:textId="77777777" w:rsidR="00EC0573" w:rsidRDefault="00EC0573" w:rsidP="00C32C1A">
      <w:pPr>
        <w:pStyle w:val="PullQuote"/>
        <w:framePr w:w="3205" w:h="801" w:hRule="exact" w:wrap="around" w:hAnchor="page" w:x="7449" w:y="849"/>
        <w:rPr>
          <w:i/>
        </w:rPr>
      </w:pPr>
      <w:r>
        <w:rPr>
          <w:i/>
        </w:rPr>
        <w:t>“The staffing levels and untrained staff make this place unsafe.”</w:t>
      </w:r>
    </w:p>
    <w:p w14:paraId="71CB7F71" w14:textId="77777777" w:rsidR="00EC0573" w:rsidRDefault="00EC0573" w:rsidP="00C32C1A">
      <w:pPr>
        <w:pStyle w:val="PullQuote"/>
        <w:framePr w:w="3205" w:h="801" w:hRule="exact" w:wrap="around" w:hAnchor="page" w:x="7449" w:y="849"/>
        <w:jc w:val="right"/>
      </w:pPr>
      <w:r>
        <w:rPr>
          <w:i/>
        </w:rPr>
        <w:t>—JRSO</w:t>
      </w:r>
    </w:p>
    <w:p w14:paraId="26E4FB54" w14:textId="77777777" w:rsidR="00D543C1" w:rsidRDefault="005954A3" w:rsidP="006174F9">
      <w:r>
        <w:t xml:space="preserve">The predominant reason given for </w:t>
      </w:r>
      <w:r w:rsidR="00D543C1">
        <w:t xml:space="preserve">the </w:t>
      </w:r>
      <w:r>
        <w:t>institutions not</w:t>
      </w:r>
      <w:r w:rsidR="00D543C1">
        <w:t xml:space="preserve"> being a very safe environment was the lack of an appropriate level of s</w:t>
      </w:r>
      <w:r w:rsidR="00D6655F">
        <w:t xml:space="preserve">taff. </w:t>
      </w:r>
      <w:r w:rsidR="005C2159">
        <w:t>Having high youth to staff ratio</w:t>
      </w:r>
      <w:r w:rsidR="006C398B">
        <w:t>s</w:t>
      </w:r>
      <w:r w:rsidR="005C2159">
        <w:t xml:space="preserve"> results in staff not having the time to get </w:t>
      </w:r>
      <w:r w:rsidR="003F56C8">
        <w:t>to know the youth, gain a</w:t>
      </w:r>
      <w:r w:rsidR="005C2159">
        <w:t xml:space="preserve"> sens</w:t>
      </w:r>
      <w:r w:rsidR="003F56C8">
        <w:t xml:space="preserve">e of issues that may be brewing, </w:t>
      </w:r>
      <w:r w:rsidR="005C2159">
        <w:t xml:space="preserve">and address them prior to them escalating to a point where there are physical altercations. </w:t>
      </w:r>
      <w:r w:rsidR="006C398B">
        <w:t xml:space="preserve">Further, staff </w:t>
      </w:r>
      <w:r w:rsidR="00F96528">
        <w:t xml:space="preserve">stated they sometimes work </w:t>
      </w:r>
      <w:r w:rsidR="006C398B">
        <w:t>alo</w:t>
      </w:r>
      <w:r w:rsidR="003F56C8">
        <w:t xml:space="preserve">ne with more than </w:t>
      </w:r>
      <w:r w:rsidR="00F96528">
        <w:t xml:space="preserve">eight </w:t>
      </w:r>
      <w:r w:rsidR="006C398B">
        <w:t xml:space="preserve">youth and sometimes as many as </w:t>
      </w:r>
      <w:r w:rsidR="00F96528">
        <w:t xml:space="preserve">fourteen </w:t>
      </w:r>
      <w:r w:rsidR="006C398B">
        <w:t xml:space="preserve">youth. </w:t>
      </w:r>
      <w:r w:rsidR="00D6655F">
        <w:t>Other reasons identified</w:t>
      </w:r>
      <w:r>
        <w:t xml:space="preserve"> included</w:t>
      </w:r>
      <w:r w:rsidR="00D6655F">
        <w:t>:</w:t>
      </w:r>
    </w:p>
    <w:p w14:paraId="398A80EF" w14:textId="77777777" w:rsidR="00D543C1" w:rsidRDefault="005C2159" w:rsidP="00CD5E37">
      <w:pPr>
        <w:pStyle w:val="ListBullet"/>
      </w:pPr>
      <w:r>
        <w:t xml:space="preserve">Many staff working with the youth have not </w:t>
      </w:r>
      <w:r w:rsidR="00CD5E37">
        <w:t>received</w:t>
      </w:r>
      <w:r w:rsidR="005954A3">
        <w:t xml:space="preserve"> </w:t>
      </w:r>
      <w:r w:rsidR="007C67B0">
        <w:t xml:space="preserve">Dealing with Resistive Youth (DWRY) </w:t>
      </w:r>
      <w:r w:rsidR="005954A3">
        <w:t>training</w:t>
      </w:r>
      <w:r w:rsidR="00F96528">
        <w:t>;</w:t>
      </w:r>
    </w:p>
    <w:p w14:paraId="11812C3D" w14:textId="77777777" w:rsidR="005954A3" w:rsidRDefault="007C67B0" w:rsidP="00CD5E37">
      <w:pPr>
        <w:pStyle w:val="ListBullet"/>
      </w:pPr>
      <w:r>
        <w:t>DWRY</w:t>
      </w:r>
      <w:r w:rsidR="005954A3">
        <w:t xml:space="preserve"> training is not sufficient as it does no</w:t>
      </w:r>
      <w:r w:rsidR="00F96528">
        <w:t>t</w:t>
      </w:r>
      <w:r w:rsidR="005954A3">
        <w:t xml:space="preserve"> provide training on what to do if you are attacked</w:t>
      </w:r>
      <w:r w:rsidR="00F96528">
        <w:t>;</w:t>
      </w:r>
    </w:p>
    <w:p w14:paraId="238AEAB7" w14:textId="77777777" w:rsidR="00057C59" w:rsidRDefault="005C2159" w:rsidP="00057C59">
      <w:pPr>
        <w:pStyle w:val="ListBullet"/>
        <w:contextualSpacing w:val="0"/>
      </w:pPr>
      <w:r>
        <w:t>Lack of communicatio</w:t>
      </w:r>
      <w:r w:rsidR="00057C59">
        <w:t>n between shifts and staff about possible issues</w:t>
      </w:r>
      <w:r w:rsidR="00F96528">
        <w:t>; and</w:t>
      </w:r>
    </w:p>
    <w:p w14:paraId="235B3E0E" w14:textId="77777777" w:rsidR="00C23ECD" w:rsidRDefault="00C23ECD" w:rsidP="00057C59">
      <w:pPr>
        <w:pStyle w:val="ListBullet"/>
        <w:contextualSpacing w:val="0"/>
      </w:pPr>
      <w:r>
        <w:t>Staff need to be able to remove youth with bad behavior from the unit</w:t>
      </w:r>
      <w:r w:rsidR="00F96528">
        <w:t>.</w:t>
      </w:r>
    </w:p>
    <w:p w14:paraId="7E68752D" w14:textId="77777777" w:rsidR="003F56C8" w:rsidRDefault="00057C59" w:rsidP="006174F9">
      <w:r>
        <w:t>Staff at the community facilities pointed out that these</w:t>
      </w:r>
      <w:r w:rsidR="006C398B">
        <w:t xml:space="preserve"> facilities are easy to access. There is some concern </w:t>
      </w:r>
      <w:r w:rsidR="00F5244A">
        <w:t xml:space="preserve">anyone could just </w:t>
      </w:r>
      <w:r w:rsidR="003F56C8">
        <w:t>walk in</w:t>
      </w:r>
      <w:r w:rsidR="00EC0573">
        <w:t xml:space="preserve">to the facility. </w:t>
      </w:r>
      <w:r w:rsidR="003F56C8">
        <w:t xml:space="preserve">For example, a </w:t>
      </w:r>
      <w:r w:rsidR="006C398B">
        <w:t>rival gang member of one of the youth could easily access the facility.</w:t>
      </w:r>
      <w:r>
        <w:t xml:space="preserve"> </w:t>
      </w:r>
    </w:p>
    <w:p w14:paraId="0864343D" w14:textId="77777777" w:rsidR="002741A3" w:rsidRPr="005E430A" w:rsidRDefault="00FD762B" w:rsidP="005E430A">
      <w:pPr>
        <w:pStyle w:val="Heading3"/>
      </w:pPr>
      <w:bookmarkStart w:id="82" w:name="_Toc531597520"/>
      <w:r w:rsidRPr="005E430A">
        <w:t>Youth Safety</w:t>
      </w:r>
      <w:bookmarkEnd w:id="82"/>
    </w:p>
    <w:p w14:paraId="0734C96D" w14:textId="77777777" w:rsidR="006C398B" w:rsidRPr="006C398B" w:rsidRDefault="006C398B" w:rsidP="006C398B">
      <w:r>
        <w:t xml:space="preserve">In interviews and focus groups at the three institutions and eight community facilities, youth were asked about how safe they </w:t>
      </w:r>
      <w:r w:rsidR="00825536">
        <w:t xml:space="preserve">feel living at </w:t>
      </w:r>
      <w:r w:rsidR="00B374B5">
        <w:t xml:space="preserve">the </w:t>
      </w:r>
      <w:r w:rsidR="00825536" w:rsidRPr="00B0128E">
        <w:t>facility usin</w:t>
      </w:r>
      <w:r w:rsidR="00825536">
        <w:t xml:space="preserve">g </w:t>
      </w:r>
      <w:r w:rsidR="00F96528">
        <w:t xml:space="preserve">the same </w:t>
      </w:r>
      <w:r w:rsidR="00825536">
        <w:t>four</w:t>
      </w:r>
      <w:r w:rsidR="00825536" w:rsidRPr="00B0128E">
        <w:t>-point Likert scale</w:t>
      </w:r>
      <w:r w:rsidR="00825536">
        <w:t>.</w:t>
      </w:r>
      <w:r w:rsidR="0002453E">
        <w:t xml:space="preserve"> Almost all of the youth of both the institutions and community facilities indicated they feel Safe or Very Safe. Some of the youth at the institutions expressed concerns about their safety when</w:t>
      </w:r>
      <w:r w:rsidR="00DD03ED">
        <w:t xml:space="preserve"> they are at school. They noted</w:t>
      </w:r>
      <w:r w:rsidR="00F37F3F">
        <w:t xml:space="preserve"> </w:t>
      </w:r>
      <w:r w:rsidR="0002453E">
        <w:t>school is “where most fights happen” an</w:t>
      </w:r>
      <w:r w:rsidR="00B374B5">
        <w:t>d</w:t>
      </w:r>
      <w:r w:rsidR="0002453E">
        <w:t xml:space="preserve"> there is usually just one teacher in a classroom. Some youth also mentioned they feel less safe in the cafeteria because the</w:t>
      </w:r>
      <w:r w:rsidR="0056729C">
        <w:t>y</w:t>
      </w:r>
      <w:r w:rsidR="0002453E">
        <w:t xml:space="preserve"> are “forced to sit with other youth they don’t get along with” and there are a lot of “potential weapons” in the cafeteria.</w:t>
      </w:r>
    </w:p>
    <w:p w14:paraId="0F201618" w14:textId="77777777" w:rsidR="009F4592" w:rsidRDefault="0002453E" w:rsidP="006A4ACF">
      <w:r>
        <w:t>PbS data from October 201</w:t>
      </w:r>
      <w:r w:rsidR="00FF47F0">
        <w:t>7-April 2018</w:t>
      </w:r>
      <w:r>
        <w:t xml:space="preserve"> indicates more youth may feel a little less safe than they indicated in interviews and focus groups. </w:t>
      </w:r>
      <w:r w:rsidR="002E4A1F">
        <w:t>Approximately</w:t>
      </w:r>
      <w:r>
        <w:t xml:space="preserve"> 30% of youth interviewed reported </w:t>
      </w:r>
      <w:r w:rsidR="0056729C">
        <w:t xml:space="preserve">they </w:t>
      </w:r>
      <w:r>
        <w:t>“feared for their safety within the last six mo</w:t>
      </w:r>
      <w:r w:rsidR="0056729C">
        <w:t>n</w:t>
      </w:r>
      <w:r>
        <w:t>ths at</w:t>
      </w:r>
      <w:r w:rsidR="002E4A1F">
        <w:t xml:space="preserve"> Echo Glen and Green Hill.</w:t>
      </w:r>
      <w:r w:rsidR="0056729C">
        <w:t>”</w:t>
      </w:r>
      <w:r w:rsidR="002E4A1F">
        <w:t xml:space="preserve"> Approximately 20% of youth interviewed at Naselle </w:t>
      </w:r>
      <w:r w:rsidR="0056729C">
        <w:t xml:space="preserve">said </w:t>
      </w:r>
      <w:r w:rsidR="002E4A1F">
        <w:t>they “feared for their safety with</w:t>
      </w:r>
      <w:r w:rsidR="00B374B5">
        <w:t>in</w:t>
      </w:r>
      <w:r w:rsidR="002E4A1F">
        <w:t xml:space="preserve"> the last six months.”</w:t>
      </w:r>
      <w:r w:rsidR="002E4A1F">
        <w:rPr>
          <w:rStyle w:val="FootnoteReference"/>
        </w:rPr>
        <w:footnoteReference w:id="112"/>
      </w:r>
    </w:p>
    <w:p w14:paraId="5CFC52BC" w14:textId="77777777" w:rsidR="00D71195" w:rsidRDefault="00D71195" w:rsidP="00D71195">
      <w:pPr>
        <w:pStyle w:val="Heading3"/>
      </w:pPr>
      <w:bookmarkStart w:id="83" w:name="_Toc531597521"/>
      <w:r>
        <w:lastRenderedPageBreak/>
        <w:t>Rehabilitation Administration Strategic Plan Objective</w:t>
      </w:r>
      <w:bookmarkEnd w:id="83"/>
    </w:p>
    <w:p w14:paraId="56FEE317" w14:textId="77777777" w:rsidR="00CC21B0" w:rsidRDefault="00CC21B0" w:rsidP="00D71195">
      <w:r>
        <w:t xml:space="preserve">Objective 1.1 </w:t>
      </w:r>
      <w:r w:rsidR="00D71195">
        <w:t xml:space="preserve">of the Rehabilitation Administration’s (RA) Strategic Plan is </w:t>
      </w:r>
      <w:r w:rsidR="00543E69">
        <w:t xml:space="preserve">that </w:t>
      </w:r>
      <w:r w:rsidR="00D71195">
        <w:t>s</w:t>
      </w:r>
      <w:r>
        <w:t>taff and residents will thrive in a safe environment</w:t>
      </w:r>
      <w:r w:rsidR="00D71195">
        <w:t xml:space="preserve">. It recognizes a healthy environment is </w:t>
      </w:r>
      <w:r w:rsidR="00543E69">
        <w:t xml:space="preserve">necessary </w:t>
      </w:r>
      <w:r w:rsidR="00D71195">
        <w:t xml:space="preserve">for both staff and youth to succeed in </w:t>
      </w:r>
      <w:r w:rsidR="00543E69">
        <w:t xml:space="preserve">JR </w:t>
      </w:r>
      <w:r w:rsidR="00D71195">
        <w:t>institutions. R</w:t>
      </w:r>
      <w:r>
        <w:t>esearch</w:t>
      </w:r>
      <w:r w:rsidR="00D71195">
        <w:t xml:space="preserve"> shows</w:t>
      </w:r>
      <w:r>
        <w:t xml:space="preserve"> </w:t>
      </w:r>
      <w:r w:rsidR="00D71195">
        <w:t>as the</w:t>
      </w:r>
      <w:r>
        <w:t xml:space="preserve"> use of confinement and segregation increases, </w:t>
      </w:r>
      <w:r w:rsidR="00D71195">
        <w:t>the number of assaults increases</w:t>
      </w:r>
      <w:r>
        <w:t xml:space="preserve"> at nearly the same rate. </w:t>
      </w:r>
      <w:r w:rsidR="00D71195">
        <w:t>Therefore</w:t>
      </w:r>
      <w:r>
        <w:t>, RA is focusing on decreasing the use of isolation or room confinement in JR institutions from 5.2 hours per 100 days of youth confinement in fiscal year FY2017 to 3 hours in FY2019.</w:t>
      </w:r>
      <w:r w:rsidR="00D71195">
        <w:rPr>
          <w:rStyle w:val="FootnoteReference"/>
        </w:rPr>
        <w:footnoteReference w:id="113"/>
      </w:r>
    </w:p>
    <w:p w14:paraId="0B5ADFAC" w14:textId="77777777" w:rsidR="00C32C1A" w:rsidRDefault="00F75641" w:rsidP="00F42D48">
      <w:pPr>
        <w:pStyle w:val="Heading2"/>
      </w:pPr>
      <w:bookmarkStart w:id="84" w:name="_Toc531597522"/>
      <w:r>
        <w:t>Culture and Climate</w:t>
      </w:r>
      <w:bookmarkEnd w:id="84"/>
      <w:r>
        <w:t xml:space="preserve"> </w:t>
      </w:r>
    </w:p>
    <w:p w14:paraId="384375B1" w14:textId="77777777" w:rsidR="00BC3B17" w:rsidRPr="00F37F3F" w:rsidRDefault="00BC3B17" w:rsidP="00BC3B17">
      <w:pPr>
        <w:pStyle w:val="RFPtext"/>
        <w:rPr>
          <w:b/>
          <w:color w:val="000000" w:themeColor="text1"/>
          <w:sz w:val="24"/>
        </w:rPr>
      </w:pPr>
      <w:r w:rsidRPr="00F37F3F">
        <w:rPr>
          <w:b/>
          <w:color w:val="000000" w:themeColor="text1"/>
          <w:sz w:val="24"/>
        </w:rPr>
        <w:t>The culture and climate profiles and the low morale scores overall in JR indicate</w:t>
      </w:r>
      <w:r w:rsidR="00E97F30" w:rsidRPr="00F37F3F">
        <w:rPr>
          <w:b/>
          <w:color w:val="000000" w:themeColor="text1"/>
          <w:sz w:val="24"/>
        </w:rPr>
        <w:t xml:space="preserve"> </w:t>
      </w:r>
      <w:r w:rsidRPr="00F37F3F">
        <w:rPr>
          <w:b/>
          <w:color w:val="000000" w:themeColor="text1"/>
          <w:sz w:val="24"/>
        </w:rPr>
        <w:t>it is important to address the underlying organizational-level factors. If they are not addressed, these factors will likely continue to contribute to challenges in recruiting and retaining high-quality and committed staff.</w:t>
      </w:r>
    </w:p>
    <w:p w14:paraId="0F06E796" w14:textId="77777777" w:rsidR="00C331D1" w:rsidRPr="00551B82" w:rsidRDefault="00C331D1" w:rsidP="00C331D1">
      <w:r w:rsidRPr="00551B82">
        <w:t xml:space="preserve">The social context of an organizational unit (in this case </w:t>
      </w:r>
      <w:r>
        <w:t>J</w:t>
      </w:r>
      <w:r w:rsidR="001E0CB3">
        <w:t>uvenile Rehabilitation (J</w:t>
      </w:r>
      <w:r>
        <w:t xml:space="preserve">R </w:t>
      </w:r>
      <w:r w:rsidRPr="00551B82">
        <w:t xml:space="preserve">facilities) includes the norms, values, expectations, perceptions, and attitudes of the members of the unit, all of which affect the service provision of human service organizations. Organizational social context can enhance or inhibit the adoption of best practices; strengthen or weaken fidelity to established protocols; support or attenuate the relationships between unit members and consumers; and increase or decrease the availability, responsiveness, and continuity of the services provided by the organization. Social context guides how things are done in an organization, what the priorities are, and what gets recognized and rewarded. </w:t>
      </w:r>
      <w:r>
        <w:t xml:space="preserve">It also </w:t>
      </w:r>
      <w:r w:rsidRPr="00551B82">
        <w:t>determines the psychological impact of the work environment on the individuals who work there</w:t>
      </w:r>
      <w:r w:rsidR="00D12E2C">
        <w:t>.</w:t>
      </w:r>
      <w:r w:rsidR="00D12E2C">
        <w:rPr>
          <w:rStyle w:val="FootnoteReference"/>
        </w:rPr>
        <w:footnoteReference w:id="114"/>
      </w:r>
      <w:r w:rsidR="00D12E2C">
        <w:t xml:space="preserve"> </w:t>
      </w:r>
      <w:r w:rsidRPr="00551B82">
        <w:t xml:space="preserve"> </w:t>
      </w:r>
    </w:p>
    <w:p w14:paraId="16EF28A1" w14:textId="77777777" w:rsidR="00C331D1" w:rsidRPr="00551B82" w:rsidRDefault="00C331D1" w:rsidP="00C331D1">
      <w:r w:rsidRPr="00551B82">
        <w:t xml:space="preserve">The Organizational Social Context (OSC) survey instrument was </w:t>
      </w:r>
      <w:r>
        <w:t>given to direct services</w:t>
      </w:r>
      <w:r w:rsidRPr="00551B82">
        <w:t xml:space="preserve"> staff to assess each facility’s collective organizational culture and climate. The OSC survey includes 105 items that describe:</w:t>
      </w:r>
    </w:p>
    <w:p w14:paraId="6FF678BC" w14:textId="77777777" w:rsidR="00C331D1" w:rsidRPr="00551B82" w:rsidRDefault="00C331D1" w:rsidP="00C331D1">
      <w:pPr>
        <w:pStyle w:val="ListBullet"/>
      </w:pPr>
      <w:r w:rsidRPr="00551B82">
        <w:t>Organizational culture</w:t>
      </w:r>
      <w:r>
        <w:t xml:space="preserve">; </w:t>
      </w:r>
    </w:p>
    <w:p w14:paraId="5D82B2BD" w14:textId="77777777" w:rsidR="00C331D1" w:rsidRPr="00551B82" w:rsidRDefault="00C331D1" w:rsidP="00C331D1">
      <w:pPr>
        <w:pStyle w:val="ListBullet"/>
      </w:pPr>
      <w:r w:rsidRPr="00551B82">
        <w:t>Organizational climate</w:t>
      </w:r>
      <w:r>
        <w:t>; and</w:t>
      </w:r>
    </w:p>
    <w:p w14:paraId="7A0FF2F8" w14:textId="77777777" w:rsidR="00C331D1" w:rsidRDefault="00C331D1" w:rsidP="00C331D1">
      <w:pPr>
        <w:pStyle w:val="ListBullet"/>
        <w:contextualSpacing w:val="0"/>
      </w:pPr>
      <w:r w:rsidRPr="00551B82">
        <w:t>Worker moral</w:t>
      </w:r>
      <w:r>
        <w:t>e.</w:t>
      </w:r>
    </w:p>
    <w:p w14:paraId="50E90D07" w14:textId="77777777" w:rsidR="006B5B99" w:rsidRDefault="00C331D1" w:rsidP="006174F9">
      <w:r w:rsidRPr="005A07E4">
        <w:rPr>
          <w:i/>
        </w:rPr>
        <w:t>Organizational culture</w:t>
      </w:r>
      <w:r w:rsidRPr="005A07E4">
        <w:t xml:space="preserve"> is defined as the expectations that drive the way work is done in an organization, that is, the norms and values driving behavior</w:t>
      </w:r>
      <w:r w:rsidR="006B5B99">
        <w:t>.</w:t>
      </w:r>
      <w:r w:rsidR="006B5B99">
        <w:rPr>
          <w:rStyle w:val="FootnoteReference"/>
        </w:rPr>
        <w:footnoteReference w:id="115"/>
      </w:r>
      <w:r w:rsidRPr="005A07E4">
        <w:t xml:space="preserve"> </w:t>
      </w:r>
    </w:p>
    <w:p w14:paraId="17A5A5FA" w14:textId="77777777" w:rsidR="00C331D1" w:rsidRDefault="00C331D1" w:rsidP="006174F9">
      <w:r w:rsidRPr="005A07E4">
        <w:rPr>
          <w:i/>
        </w:rPr>
        <w:t>Organizational climate</w:t>
      </w:r>
      <w:r w:rsidRPr="005A07E4">
        <w:t xml:space="preserve"> is formed when staff in the same organizational unit share similar perceptions of the psychological impact of their work environment on their own well-being and functioning in the organization</w:t>
      </w:r>
      <w:r w:rsidR="006B5B99">
        <w:t>.</w:t>
      </w:r>
      <w:r w:rsidR="006B5B99">
        <w:rPr>
          <w:rStyle w:val="FootnoteReference"/>
        </w:rPr>
        <w:footnoteReference w:id="116"/>
      </w:r>
      <w:r w:rsidR="006B5B99">
        <w:t xml:space="preserve"> </w:t>
      </w:r>
    </w:p>
    <w:p w14:paraId="48DD38E4" w14:textId="77777777" w:rsidR="00C331D1" w:rsidRPr="006A4C4B" w:rsidRDefault="00C331D1" w:rsidP="006174F9">
      <w:r w:rsidRPr="006A4C4B">
        <w:t>The OSC measures the culture of the organization on three dimensions: proficiency, rigidity, and resistance.</w:t>
      </w:r>
    </w:p>
    <w:p w14:paraId="69DC7132" w14:textId="77777777" w:rsidR="00C331D1" w:rsidRPr="00551B82" w:rsidRDefault="00C331D1" w:rsidP="00C331D1">
      <w:pPr>
        <w:pStyle w:val="ListBullet"/>
      </w:pPr>
      <w:r w:rsidRPr="00551B82">
        <w:rPr>
          <w:b/>
        </w:rPr>
        <w:t>Proficient cultures</w:t>
      </w:r>
      <w:r w:rsidRPr="00551B82">
        <w:t xml:space="preserve"> are characterized by expectations service providers will place the well-being of each client first and by expectations individual service providers will be competent and have up-to-date knowledge. Representative items include</w:t>
      </w:r>
      <w:r>
        <w:t>:</w:t>
      </w:r>
      <w:r w:rsidRPr="00551B82">
        <w:t xml:space="preserve"> “Members of my </w:t>
      </w:r>
      <w:r w:rsidRPr="00551B82">
        <w:lastRenderedPageBreak/>
        <w:t xml:space="preserve">organizational unit are expected to be responsive to the needs of each client.” and “Members of my organizational unit are expected to have up-to-date knowledge.” </w:t>
      </w:r>
    </w:p>
    <w:p w14:paraId="48EF7A5C" w14:textId="77777777" w:rsidR="00C331D1" w:rsidRPr="00551B82" w:rsidRDefault="00C331D1" w:rsidP="00C331D1">
      <w:pPr>
        <w:pStyle w:val="ListBullet"/>
      </w:pPr>
      <w:r w:rsidRPr="00551B82">
        <w:rPr>
          <w:b/>
        </w:rPr>
        <w:t>Rigid cultures</w:t>
      </w:r>
      <w:r w:rsidRPr="00551B82">
        <w:t xml:space="preserve"> are characterized by service providers having less discretion and flexibility in their work; limited input into key management decisions; and being controlled by many bureaucratic rules and regulations. Representative items include</w:t>
      </w:r>
      <w:r>
        <w:t>:</w:t>
      </w:r>
      <w:r w:rsidRPr="00551B82">
        <w:t xml:space="preserve"> “I have to ask a supervisor or coordinator before I do almost anything,” and “The same steps must be followed in processing every piece of work.” </w:t>
      </w:r>
    </w:p>
    <w:p w14:paraId="2635E42E" w14:textId="77777777" w:rsidR="00C331D1" w:rsidRPr="00551B82" w:rsidRDefault="00C331D1" w:rsidP="00C331D1">
      <w:pPr>
        <w:pStyle w:val="ListBullet"/>
      </w:pPr>
      <w:r w:rsidRPr="00551B82">
        <w:rPr>
          <w:b/>
        </w:rPr>
        <w:t>Resistant cultures</w:t>
      </w:r>
      <w:r w:rsidRPr="00551B82">
        <w:t xml:space="preserve"> are characterized by expectations service providers will show little interest in change or in new ways of providing service and service providers will suppress any opportunity for change. Representative items include</w:t>
      </w:r>
      <w:r>
        <w:t>:</w:t>
      </w:r>
      <w:r w:rsidRPr="00551B82">
        <w:t xml:space="preserve"> “Members of my organizational unit are expected to not make waves,” and “Members of my organizational unit are expected to be critical.” </w:t>
      </w:r>
    </w:p>
    <w:p w14:paraId="7C7F7A7F" w14:textId="77777777" w:rsidR="00C331D1" w:rsidRPr="00551B82" w:rsidRDefault="00C331D1" w:rsidP="006174F9">
      <w:r w:rsidRPr="00551B82">
        <w:t>The OSC measures climate on three dimensions: engagement, functionality, and stress.</w:t>
      </w:r>
    </w:p>
    <w:p w14:paraId="418B4669" w14:textId="77777777" w:rsidR="00C331D1" w:rsidRPr="00551B82" w:rsidRDefault="00C331D1" w:rsidP="00C331D1">
      <w:pPr>
        <w:pStyle w:val="ListBullet"/>
        <w:contextualSpacing w:val="0"/>
      </w:pPr>
      <w:r w:rsidRPr="00551B82">
        <w:rPr>
          <w:b/>
        </w:rPr>
        <w:t>Engaged Climates</w:t>
      </w:r>
      <w:r w:rsidRPr="00551B82">
        <w:t xml:space="preserve"> are characterized by employee perceptions they are able to personally accomplish many worthwhile things in their work, remain personally involved in their work, and be concerned about their clients. Representative items include</w:t>
      </w:r>
      <w:r>
        <w:t>:</w:t>
      </w:r>
      <w:r w:rsidRPr="00551B82">
        <w:t xml:space="preserve"> “I feel I treat some of the clients I serve as impersonal objects</w:t>
      </w:r>
      <w:r>
        <w:t>”</w:t>
      </w:r>
      <w:r w:rsidRPr="00551B82">
        <w:t xml:space="preserve"> (reverse coded) and “I have accomplished many worthwhile things in this job.” </w:t>
      </w:r>
    </w:p>
    <w:p w14:paraId="1718EFC1" w14:textId="77777777" w:rsidR="00C331D1" w:rsidRPr="00551B82" w:rsidRDefault="00C331D1" w:rsidP="00C331D1">
      <w:pPr>
        <w:pStyle w:val="ListBullet"/>
      </w:pPr>
      <w:r w:rsidRPr="00551B82">
        <w:rPr>
          <w:b/>
        </w:rPr>
        <w:t>Functional climates</w:t>
      </w:r>
      <w:r w:rsidRPr="00551B82">
        <w:t xml:space="preserve"> are characterized by employee perceptions they receive the cooperation and help from coworkers and administration required to do their job, have a clear understanding of how they fit in, and can work successfully within their organizational unit. Representative items include</w:t>
      </w:r>
      <w:r>
        <w:t>:</w:t>
      </w:r>
      <w:r w:rsidRPr="00551B82">
        <w:t xml:space="preserve"> “This agency provides numerous opportunities to advance if you work for it”, “My job responsibilities are clearly defined,” and “There is a feeling of cooperation among my coworkers.” </w:t>
      </w:r>
    </w:p>
    <w:p w14:paraId="32B28F23" w14:textId="77777777" w:rsidR="00C331D1" w:rsidRPr="00551B82" w:rsidRDefault="00C331D1" w:rsidP="00C331D1">
      <w:pPr>
        <w:pStyle w:val="ListBullet"/>
      </w:pPr>
      <w:r w:rsidRPr="00551B82">
        <w:rPr>
          <w:b/>
        </w:rPr>
        <w:t>Stressful climates</w:t>
      </w:r>
      <w:r w:rsidRPr="00551B82">
        <w:t xml:space="preserve"> are characterized by employee perceptions they are emotionally exhausted from their work, pulled in different directions, and unable to get the necessary things done. Representative items include</w:t>
      </w:r>
      <w:r>
        <w:t>:</w:t>
      </w:r>
      <w:r w:rsidRPr="00551B82">
        <w:t xml:space="preserve"> “I feel like I am at the end of my rope”, “Interests of the clients are often replaced by bureaucratic concerns (e.g., paperwork)”, and “The amount of work I have to do keeps me from doing a good job.” Stress is identified by emotional exhaustion, role conflict, and role overload. Respectively, these include perceptions of feeling overwhelmed, of experiencing multiple conflicting demands, and having impossible amounts of work to accomplish. </w:t>
      </w:r>
    </w:p>
    <w:p w14:paraId="072A0B42" w14:textId="77777777" w:rsidR="00C331D1" w:rsidRPr="00C32C1A" w:rsidRDefault="00C331D1" w:rsidP="00407046">
      <w:pPr>
        <w:pStyle w:val="Heading3"/>
        <w:numPr>
          <w:ilvl w:val="2"/>
          <w:numId w:val="39"/>
        </w:numPr>
        <w:ind w:left="720"/>
      </w:pPr>
      <w:bookmarkStart w:id="85" w:name="_Toc521314062"/>
      <w:bookmarkStart w:id="86" w:name="_Toc531597523"/>
      <w:r w:rsidRPr="00C32C1A">
        <w:t>Methods</w:t>
      </w:r>
      <w:bookmarkEnd w:id="85"/>
      <w:bookmarkEnd w:id="86"/>
    </w:p>
    <w:p w14:paraId="72FE98C6" w14:textId="77777777" w:rsidR="00C331D1" w:rsidRPr="006A4C4B" w:rsidRDefault="00C331D1" w:rsidP="00D01D27">
      <w:pPr>
        <w:tabs>
          <w:tab w:val="left" w:pos="630"/>
        </w:tabs>
      </w:pPr>
      <w:r w:rsidRPr="008A01D4">
        <w:t>Information about JR’s culture and climate was obtained by administering the O</w:t>
      </w:r>
      <w:r w:rsidR="001E0CB3">
        <w:t xml:space="preserve">rganizational Culture Survey (OSC) </w:t>
      </w:r>
      <w:r w:rsidRPr="008A01D4">
        <w:t xml:space="preserve">to direct services staff. The aggregation of these individuals’ responses </w:t>
      </w:r>
      <w:r w:rsidR="00F67FC2">
        <w:t xml:space="preserve">at the facility </w:t>
      </w:r>
      <w:r w:rsidRPr="008A01D4">
        <w:t>level is the foundation for assessing JR’s OSC.</w:t>
      </w:r>
      <w:r w:rsidR="00F67FC2">
        <w:rPr>
          <w:rStyle w:val="FootnoteReference"/>
        </w:rPr>
        <w:footnoteReference w:id="117"/>
      </w:r>
      <w:r w:rsidRPr="008A01D4">
        <w:t xml:space="preserve"> Aggregation of individual staff-level responses into system level measures of OSC requires within-system agreement among staff. The level of agreement in the responses of staff within each facility was assessed with an index of within-group consistency (r</w:t>
      </w:r>
      <w:r w:rsidRPr="008A01D4">
        <w:rPr>
          <w:vertAlign w:val="subscript"/>
        </w:rPr>
        <w:t>wg</w:t>
      </w:r>
      <w:r w:rsidRPr="008A01D4">
        <w:t>) of responses and computed for each of the scales measuring culture and climate. The within-group consistency of responses for each facility were all very high. This means that the aggregation of individual responses from each facility in the creation of organizational-levels of measures is valid and staff within each facility agreed with one another regarding the culture and climate of their facilities.</w:t>
      </w:r>
      <w:r>
        <w:t xml:space="preserve"> </w:t>
      </w:r>
      <w:r w:rsidRPr="008A01D4">
        <w:t xml:space="preserve">Percentile scores were produced </w:t>
      </w:r>
      <w:r w:rsidRPr="008A01D4">
        <w:lastRenderedPageBreak/>
        <w:t>by comparing raw scores on the OSC dimensions to a normative sample of 584 staff members in 15 juvenile justice facilities doing similar work.</w:t>
      </w:r>
    </w:p>
    <w:p w14:paraId="2C37CDCE" w14:textId="77777777" w:rsidR="00C331D1" w:rsidRPr="00551B82" w:rsidRDefault="00C331D1" w:rsidP="00C32C1A">
      <w:pPr>
        <w:pStyle w:val="Heading3"/>
      </w:pPr>
      <w:bookmarkStart w:id="87" w:name="_Toc531597524"/>
      <w:r w:rsidRPr="00551B82">
        <w:t>Culture</w:t>
      </w:r>
      <w:bookmarkEnd w:id="87"/>
    </w:p>
    <w:p w14:paraId="73DF24A2" w14:textId="77777777" w:rsidR="00C331D1" w:rsidRPr="00551B82" w:rsidRDefault="00C331D1" w:rsidP="00C331D1">
      <w:r>
        <w:t>Culture dimensions of the OSC are generally positive when facilities have</w:t>
      </w:r>
      <w:r w:rsidRPr="00551B82">
        <w:t>:</w:t>
      </w:r>
    </w:p>
    <w:p w14:paraId="528D6205" w14:textId="77777777" w:rsidR="00C331D1" w:rsidRPr="00551B82" w:rsidRDefault="00C331D1" w:rsidP="00C331D1">
      <w:pPr>
        <w:pStyle w:val="ListBullet"/>
      </w:pPr>
      <w:r w:rsidRPr="00551B82">
        <w:t>A higher than average proficiency score</w:t>
      </w:r>
      <w:r w:rsidR="00C97E97">
        <w:t>;</w:t>
      </w:r>
      <w:r w:rsidRPr="00551B82">
        <w:t xml:space="preserve"> </w:t>
      </w:r>
    </w:p>
    <w:p w14:paraId="14F64DBC" w14:textId="77777777" w:rsidR="00C331D1" w:rsidRPr="00551B82" w:rsidRDefault="00C331D1" w:rsidP="00C331D1">
      <w:pPr>
        <w:pStyle w:val="ListBullet"/>
      </w:pPr>
      <w:r w:rsidRPr="00551B82">
        <w:t>A lower than average rigidity score</w:t>
      </w:r>
      <w:r w:rsidR="00C97E97">
        <w:t>;</w:t>
      </w:r>
      <w:r w:rsidRPr="00551B82">
        <w:t xml:space="preserve"> </w:t>
      </w:r>
      <w:r w:rsidR="00C97E97">
        <w:t>and</w:t>
      </w:r>
    </w:p>
    <w:p w14:paraId="4810D8B3" w14:textId="77777777" w:rsidR="00C331D1" w:rsidRPr="00551B82" w:rsidRDefault="00C331D1" w:rsidP="00C331D1">
      <w:pPr>
        <w:pStyle w:val="ListBullet"/>
      </w:pPr>
      <w:r w:rsidRPr="00551B82">
        <w:t>A lower than average resistance score.</w:t>
      </w:r>
    </w:p>
    <w:p w14:paraId="495615BB" w14:textId="77777777" w:rsidR="00C331D1" w:rsidRDefault="00C331D1" w:rsidP="00C331D1">
      <w:r w:rsidRPr="00551B82">
        <w:t>A facility with a positive culture is characterized by high proficiency</w:t>
      </w:r>
      <w:r>
        <w:t>,</w:t>
      </w:r>
      <w:r w:rsidRPr="00551B82">
        <w:t xml:space="preserve"> meaning staff will place the well-being of each client first</w:t>
      </w:r>
      <w:r>
        <w:t>,</w:t>
      </w:r>
      <w:r w:rsidRPr="00551B82">
        <w:t xml:space="preserve"> staff are competent</w:t>
      </w:r>
      <w:r>
        <w:t>,</w:t>
      </w:r>
      <w:r w:rsidRPr="00551B82">
        <w:t xml:space="preserve"> and </w:t>
      </w:r>
      <w:r>
        <w:t xml:space="preserve">staff </w:t>
      </w:r>
      <w:r w:rsidRPr="00551B82">
        <w:t xml:space="preserve">have up-to-date knowledge necessary to do </w:t>
      </w:r>
      <w:r>
        <w:t xml:space="preserve">their </w:t>
      </w:r>
      <w:r w:rsidRPr="00551B82">
        <w:t xml:space="preserve">job well. Facilities with positive cultures </w:t>
      </w:r>
      <w:r>
        <w:t xml:space="preserve">also </w:t>
      </w:r>
      <w:r w:rsidRPr="00551B82">
        <w:t xml:space="preserve">would be described as providing flexibility in carrying out job duties and </w:t>
      </w:r>
      <w:r>
        <w:t xml:space="preserve">offering </w:t>
      </w:r>
      <w:r w:rsidRPr="00551B82">
        <w:t>opportunities for input into key management decisions (low Rigidity). Additionally, low resistance among staff would indicate an interest among staff in developing new ways of providing services and support for change efforts aimed at improving outcomes for the youth served</w:t>
      </w:r>
      <w:r w:rsidR="006B5B99">
        <w:t>.</w:t>
      </w:r>
      <w:r w:rsidR="006B5B99">
        <w:rPr>
          <w:rStyle w:val="FootnoteReference"/>
        </w:rPr>
        <w:footnoteReference w:id="118"/>
      </w:r>
      <w:r w:rsidRPr="00551B82">
        <w:t xml:space="preserve"> </w:t>
      </w:r>
    </w:p>
    <w:p w14:paraId="068C8473" w14:textId="77777777" w:rsidR="00055F1A" w:rsidRPr="008A01D4" w:rsidRDefault="00055F1A" w:rsidP="00055F1A">
      <w:r w:rsidRPr="00C97E97">
        <w:t xml:space="preserve">Exhibit </w:t>
      </w:r>
      <w:r w:rsidR="005E430A">
        <w:t>5</w:t>
      </w:r>
      <w:r w:rsidR="00D4764C" w:rsidRPr="00C97E97">
        <w:t>-</w:t>
      </w:r>
      <w:r w:rsidR="00A05906">
        <w:t>32</w:t>
      </w:r>
      <w:r w:rsidR="00A05906" w:rsidRPr="00C97E97">
        <w:t xml:space="preserve"> </w:t>
      </w:r>
      <w:r w:rsidRPr="00C97E97">
        <w:t xml:space="preserve">summarizes the culture profiles for each institution and the community facilities. A mildly positive culture is indicated when the proficiency score is at least </w:t>
      </w:r>
      <w:r w:rsidR="00D437A2">
        <w:t xml:space="preserve">ten </w:t>
      </w:r>
      <w:r w:rsidRPr="00C97E97">
        <w:t xml:space="preserve">percentiles points higher than both the rigidity and resistance percentile scores. Using this criteria, Echo Glen had the most positive culture profile compared with the other </w:t>
      </w:r>
      <w:r w:rsidR="00B60FE5" w:rsidRPr="00C97E97">
        <w:t>facilities</w:t>
      </w:r>
      <w:r w:rsidRPr="00C97E97">
        <w:t>. Although its proficiency score was lower than the community facilities, it had the lowest rigidity and resistance scores. A mildly negative culture is indicated when the proficiency score is at least 10 percentile points lower than both the rigidity and resistance per</w:t>
      </w:r>
      <w:r w:rsidR="00B60FE5" w:rsidRPr="00C97E97">
        <w:t xml:space="preserve">centile scores. </w:t>
      </w:r>
      <w:r w:rsidRPr="00C97E97">
        <w:t>While no facility met this criteria, Green Hill had a culture leaning in the negative direction. Naselle scored close to the mean on all three dimensions of culture, producing a flat profile (neither the most nor the least positive culture profile).</w:t>
      </w:r>
      <w:r w:rsidRPr="008A01D4">
        <w:t xml:space="preserve"> </w:t>
      </w:r>
    </w:p>
    <w:p w14:paraId="57C1D743" w14:textId="77777777" w:rsidR="00055F1A" w:rsidRDefault="00055F1A" w:rsidP="00055F1A">
      <w:r w:rsidRPr="008A01D4">
        <w:t xml:space="preserve">The community facilities almost met the criteria for a mildly positive culture profile and also had the highest proficiency score indicating at these facilities, more than any other facility, there are clear expectations regarding placing the well-being of the youth first and having the requisite knowledge to work competently as direct </w:t>
      </w:r>
      <w:r w:rsidR="003A35FD" w:rsidRPr="008A01D4">
        <w:t>service</w:t>
      </w:r>
      <w:r w:rsidR="003A35FD">
        <w:t xml:space="preserve"> </w:t>
      </w:r>
      <w:r w:rsidRPr="008A01D4">
        <w:t>staff. The community facilities also had generally low resistance scores indicating the culture at the community facilities is relatively more supportive of change efforts (as compared to the other facilities).</w:t>
      </w:r>
    </w:p>
    <w:p w14:paraId="426C1AFA" w14:textId="77777777" w:rsidR="00055F1A" w:rsidRDefault="00D4764C" w:rsidP="00221053">
      <w:pPr>
        <w:pStyle w:val="Caption"/>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32</w:t>
      </w:r>
      <w:r w:rsidR="00E251C1">
        <w:t>.</w:t>
      </w:r>
      <w:r w:rsidR="00221053">
        <w:t xml:space="preserve"> </w:t>
      </w:r>
      <w:r w:rsidR="00055F1A">
        <w:t>Culture Profiles, by Facility</w:t>
      </w:r>
    </w:p>
    <w:p w14:paraId="4853C967" w14:textId="77777777" w:rsidR="00055F1A" w:rsidRPr="003D020A" w:rsidRDefault="00055F1A" w:rsidP="00055F1A">
      <w:pPr>
        <w:pStyle w:val="ActionCaption"/>
      </w:pPr>
      <w:r>
        <w:t>Percentile Scores of Three Dimensions of Culture</w:t>
      </w:r>
    </w:p>
    <w:tbl>
      <w:tblPr>
        <w:tblStyle w:val="HyzerTable"/>
        <w:tblW w:w="7501" w:type="dxa"/>
        <w:tblLayout w:type="fixed"/>
        <w:tblLook w:val="0420" w:firstRow="1" w:lastRow="0" w:firstColumn="0" w:lastColumn="0" w:noHBand="0" w:noVBand="1"/>
      </w:tblPr>
      <w:tblGrid>
        <w:gridCol w:w="2394"/>
        <w:gridCol w:w="1674"/>
        <w:gridCol w:w="1710"/>
        <w:gridCol w:w="1723"/>
      </w:tblGrid>
      <w:tr w:rsidR="00055F1A" w:rsidRPr="00CD1826" w14:paraId="01ACCD0C" w14:textId="77777777" w:rsidTr="006B38E0">
        <w:trPr>
          <w:cnfStyle w:val="100000000000" w:firstRow="1" w:lastRow="0" w:firstColumn="0" w:lastColumn="0" w:oddVBand="0" w:evenVBand="0" w:oddHBand="0" w:evenHBand="0" w:firstRowFirstColumn="0" w:firstRowLastColumn="0" w:lastRowFirstColumn="0" w:lastRowLastColumn="0"/>
        </w:trPr>
        <w:tc>
          <w:tcPr>
            <w:tcW w:w="2394" w:type="dxa"/>
          </w:tcPr>
          <w:p w14:paraId="5162536D" w14:textId="77777777" w:rsidR="00055F1A" w:rsidRPr="003A1CBF" w:rsidRDefault="00055F1A" w:rsidP="003A1CBF">
            <w:pPr>
              <w:pStyle w:val="tableheaderwhite"/>
              <w:spacing w:before="20" w:after="20"/>
              <w:rPr>
                <w:sz w:val="22"/>
              </w:rPr>
            </w:pPr>
            <w:r w:rsidRPr="003A1CBF">
              <w:rPr>
                <w:sz w:val="22"/>
              </w:rPr>
              <w:t>Facility</w:t>
            </w:r>
          </w:p>
        </w:tc>
        <w:tc>
          <w:tcPr>
            <w:tcW w:w="1674" w:type="dxa"/>
          </w:tcPr>
          <w:p w14:paraId="442762BA" w14:textId="77777777" w:rsidR="00055F1A" w:rsidRPr="003A1CBF" w:rsidRDefault="00055F1A" w:rsidP="003A1CBF">
            <w:pPr>
              <w:pStyle w:val="tableheaderwhite"/>
              <w:spacing w:before="20" w:after="20"/>
              <w:rPr>
                <w:sz w:val="22"/>
              </w:rPr>
            </w:pPr>
            <w:r w:rsidRPr="003A1CBF">
              <w:rPr>
                <w:sz w:val="22"/>
              </w:rPr>
              <w:t>Proficiency</w:t>
            </w:r>
          </w:p>
        </w:tc>
        <w:tc>
          <w:tcPr>
            <w:tcW w:w="1710" w:type="dxa"/>
          </w:tcPr>
          <w:p w14:paraId="36034327" w14:textId="77777777" w:rsidR="00055F1A" w:rsidRPr="003A1CBF" w:rsidRDefault="00055F1A" w:rsidP="003A1CBF">
            <w:pPr>
              <w:pStyle w:val="tableheaderwhite"/>
              <w:spacing w:before="20" w:after="20"/>
              <w:rPr>
                <w:sz w:val="22"/>
              </w:rPr>
            </w:pPr>
            <w:r w:rsidRPr="003A1CBF">
              <w:rPr>
                <w:sz w:val="22"/>
              </w:rPr>
              <w:t>Rigidity</w:t>
            </w:r>
          </w:p>
        </w:tc>
        <w:tc>
          <w:tcPr>
            <w:tcW w:w="1723" w:type="dxa"/>
          </w:tcPr>
          <w:p w14:paraId="3633F0E2" w14:textId="77777777" w:rsidR="00055F1A" w:rsidRPr="003A1CBF" w:rsidRDefault="00055F1A" w:rsidP="003A1CBF">
            <w:pPr>
              <w:pStyle w:val="tableheaderwhite"/>
              <w:spacing w:before="20" w:after="20"/>
              <w:rPr>
                <w:sz w:val="22"/>
              </w:rPr>
            </w:pPr>
            <w:r w:rsidRPr="003A1CBF">
              <w:rPr>
                <w:sz w:val="22"/>
              </w:rPr>
              <w:t>Resistance</w:t>
            </w:r>
          </w:p>
        </w:tc>
      </w:tr>
      <w:tr w:rsidR="00055F1A" w:rsidRPr="00CD1826" w14:paraId="729AD423" w14:textId="77777777" w:rsidTr="006B5B99">
        <w:trPr>
          <w:cnfStyle w:val="000000100000" w:firstRow="0" w:lastRow="0" w:firstColumn="0" w:lastColumn="0" w:oddVBand="0" w:evenVBand="0" w:oddHBand="1" w:evenHBand="0" w:firstRowFirstColumn="0" w:firstRowLastColumn="0" w:lastRowFirstColumn="0" w:lastRowLastColumn="0"/>
        </w:trPr>
        <w:tc>
          <w:tcPr>
            <w:tcW w:w="2394" w:type="dxa"/>
          </w:tcPr>
          <w:p w14:paraId="5D42E8A6" w14:textId="77777777" w:rsidR="00055F1A" w:rsidRDefault="00055F1A" w:rsidP="006B38E0">
            <w:pPr>
              <w:pStyle w:val="TableText"/>
            </w:pPr>
            <w:r>
              <w:t>Echo Glen</w:t>
            </w:r>
          </w:p>
        </w:tc>
        <w:tc>
          <w:tcPr>
            <w:tcW w:w="1674" w:type="dxa"/>
            <w:vAlign w:val="center"/>
          </w:tcPr>
          <w:p w14:paraId="6AE41759" w14:textId="77777777" w:rsidR="00055F1A" w:rsidRPr="003D020A" w:rsidRDefault="00055F1A" w:rsidP="006B5B99">
            <w:pPr>
              <w:pStyle w:val="TableText"/>
              <w:jc w:val="center"/>
            </w:pPr>
            <w:r w:rsidRPr="003D020A">
              <w:t>47.0%</w:t>
            </w:r>
          </w:p>
        </w:tc>
        <w:tc>
          <w:tcPr>
            <w:tcW w:w="1710" w:type="dxa"/>
            <w:vAlign w:val="center"/>
          </w:tcPr>
          <w:p w14:paraId="4B60A984" w14:textId="77777777" w:rsidR="00055F1A" w:rsidRPr="003D020A" w:rsidRDefault="00055F1A" w:rsidP="006B5B99">
            <w:pPr>
              <w:pStyle w:val="TableText"/>
              <w:jc w:val="center"/>
              <w:rPr>
                <w:rStyle w:val="TableTextBold"/>
                <w:b w:val="0"/>
              </w:rPr>
            </w:pPr>
            <w:r>
              <w:rPr>
                <w:rStyle w:val="TableTextBold"/>
                <w:b w:val="0"/>
              </w:rPr>
              <w:t>27.7%</w:t>
            </w:r>
          </w:p>
        </w:tc>
        <w:tc>
          <w:tcPr>
            <w:tcW w:w="1723" w:type="dxa"/>
            <w:vAlign w:val="center"/>
          </w:tcPr>
          <w:p w14:paraId="56541447" w14:textId="77777777" w:rsidR="00055F1A" w:rsidRPr="003D020A" w:rsidRDefault="00055F1A" w:rsidP="006B5B99">
            <w:pPr>
              <w:pStyle w:val="TableTextRight"/>
              <w:jc w:val="center"/>
            </w:pPr>
            <w:r w:rsidRPr="003D020A">
              <w:t>34.7%</w:t>
            </w:r>
          </w:p>
        </w:tc>
      </w:tr>
      <w:tr w:rsidR="00055F1A" w:rsidRPr="00CD1826" w14:paraId="38E70E13" w14:textId="77777777" w:rsidTr="006B5B99">
        <w:tc>
          <w:tcPr>
            <w:tcW w:w="2394" w:type="dxa"/>
          </w:tcPr>
          <w:p w14:paraId="38C93595" w14:textId="77777777" w:rsidR="00055F1A" w:rsidRDefault="00055F1A" w:rsidP="00055F1A">
            <w:pPr>
              <w:pStyle w:val="TableBullet"/>
              <w:numPr>
                <w:ilvl w:val="0"/>
                <w:numId w:val="0"/>
              </w:numPr>
              <w:ind w:left="130" w:hanging="130"/>
            </w:pPr>
            <w:r>
              <w:t>Green Hill</w:t>
            </w:r>
          </w:p>
        </w:tc>
        <w:tc>
          <w:tcPr>
            <w:tcW w:w="1674" w:type="dxa"/>
            <w:vAlign w:val="center"/>
          </w:tcPr>
          <w:p w14:paraId="1A195A24" w14:textId="77777777" w:rsidR="00055F1A" w:rsidRPr="003D020A" w:rsidRDefault="00055F1A" w:rsidP="006B5B99">
            <w:pPr>
              <w:pStyle w:val="TableBullet"/>
              <w:numPr>
                <w:ilvl w:val="0"/>
                <w:numId w:val="0"/>
              </w:numPr>
              <w:jc w:val="center"/>
            </w:pPr>
            <w:r w:rsidRPr="003D020A">
              <w:t>36.6</w:t>
            </w:r>
            <w:r>
              <w:t>%</w:t>
            </w:r>
          </w:p>
        </w:tc>
        <w:tc>
          <w:tcPr>
            <w:tcW w:w="1710" w:type="dxa"/>
            <w:vAlign w:val="center"/>
          </w:tcPr>
          <w:p w14:paraId="59A3D5B8" w14:textId="77777777" w:rsidR="00055F1A" w:rsidRPr="003D020A" w:rsidRDefault="00055F1A" w:rsidP="006B5B99">
            <w:pPr>
              <w:pStyle w:val="tabletextcenter"/>
            </w:pPr>
            <w:r w:rsidRPr="003D020A">
              <w:t>41.4</w:t>
            </w:r>
            <w:r>
              <w:t>%</w:t>
            </w:r>
          </w:p>
        </w:tc>
        <w:tc>
          <w:tcPr>
            <w:tcW w:w="1723" w:type="dxa"/>
            <w:vAlign w:val="center"/>
          </w:tcPr>
          <w:p w14:paraId="7D4AC7FC" w14:textId="77777777" w:rsidR="00055F1A" w:rsidRPr="003D020A" w:rsidRDefault="00055F1A" w:rsidP="006B5B99">
            <w:pPr>
              <w:pStyle w:val="TableTextBoldRight"/>
              <w:jc w:val="center"/>
              <w:rPr>
                <w:b w:val="0"/>
              </w:rPr>
            </w:pPr>
            <w:r w:rsidRPr="003D020A">
              <w:rPr>
                <w:b w:val="0"/>
              </w:rPr>
              <w:t>47.2</w:t>
            </w:r>
            <w:r>
              <w:rPr>
                <w:b w:val="0"/>
              </w:rPr>
              <w:t>%</w:t>
            </w:r>
          </w:p>
        </w:tc>
      </w:tr>
      <w:tr w:rsidR="00055F1A" w:rsidRPr="00CD1826" w14:paraId="0245D136" w14:textId="77777777" w:rsidTr="006B5B99">
        <w:trPr>
          <w:cnfStyle w:val="000000100000" w:firstRow="0" w:lastRow="0" w:firstColumn="0" w:lastColumn="0" w:oddVBand="0" w:evenVBand="0" w:oddHBand="1" w:evenHBand="0" w:firstRowFirstColumn="0" w:firstRowLastColumn="0" w:lastRowFirstColumn="0" w:lastRowLastColumn="0"/>
        </w:trPr>
        <w:tc>
          <w:tcPr>
            <w:tcW w:w="2394" w:type="dxa"/>
          </w:tcPr>
          <w:p w14:paraId="1313CEBD" w14:textId="77777777" w:rsidR="00055F1A" w:rsidRPr="00CD1826" w:rsidRDefault="00055F1A" w:rsidP="006B38E0">
            <w:pPr>
              <w:pStyle w:val="TableText"/>
            </w:pPr>
            <w:r>
              <w:t>Naselle</w:t>
            </w:r>
          </w:p>
        </w:tc>
        <w:tc>
          <w:tcPr>
            <w:tcW w:w="1674" w:type="dxa"/>
            <w:vAlign w:val="center"/>
          </w:tcPr>
          <w:p w14:paraId="79EEE859" w14:textId="77777777" w:rsidR="00055F1A" w:rsidRPr="003D020A" w:rsidRDefault="00055F1A" w:rsidP="006B5B99">
            <w:pPr>
              <w:pStyle w:val="TableText"/>
              <w:jc w:val="center"/>
            </w:pPr>
            <w:r w:rsidRPr="003D020A">
              <w:t>46.2</w:t>
            </w:r>
            <w:r>
              <w:t>%</w:t>
            </w:r>
          </w:p>
        </w:tc>
        <w:tc>
          <w:tcPr>
            <w:tcW w:w="1710" w:type="dxa"/>
            <w:vAlign w:val="center"/>
          </w:tcPr>
          <w:p w14:paraId="5D54874E" w14:textId="77777777" w:rsidR="00055F1A" w:rsidRPr="003D020A" w:rsidRDefault="00055F1A" w:rsidP="006B5B99">
            <w:pPr>
              <w:pStyle w:val="TableTextBoldCentered"/>
              <w:rPr>
                <w:b w:val="0"/>
              </w:rPr>
            </w:pPr>
            <w:r w:rsidRPr="003D020A">
              <w:rPr>
                <w:b w:val="0"/>
              </w:rPr>
              <w:t>43.4</w:t>
            </w:r>
            <w:r>
              <w:rPr>
                <w:b w:val="0"/>
              </w:rPr>
              <w:t>%</w:t>
            </w:r>
          </w:p>
        </w:tc>
        <w:tc>
          <w:tcPr>
            <w:tcW w:w="1723" w:type="dxa"/>
            <w:vAlign w:val="center"/>
          </w:tcPr>
          <w:p w14:paraId="0ED7A79C" w14:textId="77777777" w:rsidR="00055F1A" w:rsidRPr="003D020A" w:rsidRDefault="00055F1A" w:rsidP="006B5B99">
            <w:pPr>
              <w:pStyle w:val="TableText"/>
              <w:jc w:val="center"/>
            </w:pPr>
            <w:r w:rsidRPr="003D020A">
              <w:t>42.2</w:t>
            </w:r>
            <w:r>
              <w:t>%</w:t>
            </w:r>
          </w:p>
        </w:tc>
      </w:tr>
      <w:tr w:rsidR="00055F1A" w:rsidRPr="00CD1826" w14:paraId="28D7CC12" w14:textId="77777777" w:rsidTr="006B5B99">
        <w:tc>
          <w:tcPr>
            <w:tcW w:w="2394" w:type="dxa"/>
          </w:tcPr>
          <w:p w14:paraId="4B77A74F" w14:textId="77777777" w:rsidR="00055F1A" w:rsidRDefault="00055F1A" w:rsidP="006B38E0">
            <w:pPr>
              <w:pStyle w:val="TableText"/>
            </w:pPr>
            <w:r>
              <w:t>Community Facilities</w:t>
            </w:r>
          </w:p>
        </w:tc>
        <w:tc>
          <w:tcPr>
            <w:tcW w:w="1674" w:type="dxa"/>
            <w:vAlign w:val="center"/>
          </w:tcPr>
          <w:p w14:paraId="485A5F5D" w14:textId="77777777" w:rsidR="00055F1A" w:rsidRPr="003D020A" w:rsidRDefault="00055F1A" w:rsidP="006B5B99">
            <w:pPr>
              <w:pStyle w:val="TableText"/>
              <w:jc w:val="center"/>
            </w:pPr>
            <w:r w:rsidRPr="003D020A">
              <w:t>51.3%</w:t>
            </w:r>
          </w:p>
        </w:tc>
        <w:tc>
          <w:tcPr>
            <w:tcW w:w="1710" w:type="dxa"/>
            <w:vAlign w:val="center"/>
          </w:tcPr>
          <w:p w14:paraId="4E093F36" w14:textId="77777777" w:rsidR="00055F1A" w:rsidRPr="003D020A" w:rsidRDefault="00055F1A" w:rsidP="006B5B99">
            <w:pPr>
              <w:pStyle w:val="TableTextBoldCentered"/>
              <w:rPr>
                <w:b w:val="0"/>
              </w:rPr>
            </w:pPr>
            <w:r w:rsidRPr="003D020A">
              <w:rPr>
                <w:b w:val="0"/>
              </w:rPr>
              <w:t>42.9%</w:t>
            </w:r>
          </w:p>
        </w:tc>
        <w:tc>
          <w:tcPr>
            <w:tcW w:w="1723" w:type="dxa"/>
            <w:vAlign w:val="center"/>
          </w:tcPr>
          <w:p w14:paraId="53CADEF2" w14:textId="77777777" w:rsidR="00055F1A" w:rsidRPr="003D020A" w:rsidRDefault="00055F1A" w:rsidP="006B5B99">
            <w:pPr>
              <w:pStyle w:val="TableText"/>
              <w:jc w:val="center"/>
            </w:pPr>
            <w:r w:rsidRPr="003D020A">
              <w:t>38.9%</w:t>
            </w:r>
          </w:p>
        </w:tc>
      </w:tr>
    </w:tbl>
    <w:p w14:paraId="79BCA66D" w14:textId="77777777" w:rsidR="00C331D1" w:rsidRDefault="00055F1A" w:rsidP="00C32C1A">
      <w:pPr>
        <w:pStyle w:val="Heading3"/>
      </w:pPr>
      <w:bookmarkStart w:id="88" w:name="_Toc531597525"/>
      <w:r>
        <w:t>Climate</w:t>
      </w:r>
      <w:bookmarkEnd w:id="88"/>
    </w:p>
    <w:p w14:paraId="5549A646" w14:textId="77777777" w:rsidR="00055F1A" w:rsidRDefault="00055F1A" w:rsidP="006174F9">
      <w:r>
        <w:t>Climate dimensions of the OSC are generally positive when facilities have</w:t>
      </w:r>
      <w:r w:rsidRPr="00551B82">
        <w:t>:</w:t>
      </w:r>
    </w:p>
    <w:p w14:paraId="057C9CE1" w14:textId="77777777" w:rsidR="00055F1A" w:rsidRPr="00551B82" w:rsidRDefault="00055F1A" w:rsidP="00055F1A">
      <w:pPr>
        <w:pStyle w:val="ListBullet"/>
      </w:pPr>
      <w:r w:rsidRPr="00551B82">
        <w:lastRenderedPageBreak/>
        <w:t>A higher than average engagement score</w:t>
      </w:r>
      <w:r w:rsidR="00C97E97">
        <w:t>;</w:t>
      </w:r>
      <w:r w:rsidRPr="00551B82">
        <w:t xml:space="preserve"> </w:t>
      </w:r>
    </w:p>
    <w:p w14:paraId="189B283A" w14:textId="77777777" w:rsidR="00055F1A" w:rsidRPr="00551B82" w:rsidRDefault="00055F1A" w:rsidP="00055F1A">
      <w:pPr>
        <w:pStyle w:val="ListBullet"/>
      </w:pPr>
      <w:r w:rsidRPr="00551B82">
        <w:t>A higher than average functionality score</w:t>
      </w:r>
      <w:r w:rsidR="00C97E97">
        <w:t>; and</w:t>
      </w:r>
      <w:r w:rsidRPr="00551B82">
        <w:t xml:space="preserve"> </w:t>
      </w:r>
    </w:p>
    <w:p w14:paraId="1362ED4C" w14:textId="77777777" w:rsidR="00055F1A" w:rsidRPr="00551B82" w:rsidRDefault="00055F1A" w:rsidP="00055F1A">
      <w:pPr>
        <w:pStyle w:val="ListBullet"/>
      </w:pPr>
      <w:r w:rsidRPr="00551B82">
        <w:t>A lower than average stress score</w:t>
      </w:r>
      <w:r w:rsidR="00C97E97">
        <w:t>.</w:t>
      </w:r>
      <w:r w:rsidRPr="00551B82">
        <w:t xml:space="preserve"> </w:t>
      </w:r>
    </w:p>
    <w:p w14:paraId="5536473D" w14:textId="77777777" w:rsidR="00055F1A" w:rsidRDefault="00055F1A" w:rsidP="00055F1A">
      <w:r w:rsidRPr="00551B82">
        <w:t>A facility with a positive climate is characterized by high engagement</w:t>
      </w:r>
      <w:r>
        <w:t>,</w:t>
      </w:r>
      <w:r w:rsidRPr="00551B82">
        <w:t xml:space="preserve"> meaning staff perceive they are able to personally make a difference in the lives of the youth they serve and remain personally involved in their work. Staff in facilities with a positive climate also </w:t>
      </w:r>
      <w:r>
        <w:t xml:space="preserve">feel they </w:t>
      </w:r>
      <w:r w:rsidRPr="00551B82">
        <w:t xml:space="preserve">are fully functional and operating like a well-oiled machine. Lastly, positive climates have moderate to low levels of stress and staff do not perceive </w:t>
      </w:r>
      <w:r>
        <w:t xml:space="preserve">themselves to be </w:t>
      </w:r>
      <w:r w:rsidRPr="00551B82">
        <w:t>emotionally exhausted from their work, overloaded from their work, or conflicted in their job responsibilities</w:t>
      </w:r>
      <w:r w:rsidR="00204220">
        <w:t>.</w:t>
      </w:r>
      <w:r w:rsidR="00204220">
        <w:rPr>
          <w:rStyle w:val="FootnoteReference"/>
        </w:rPr>
        <w:footnoteReference w:id="119"/>
      </w:r>
      <w:r w:rsidRPr="00551B82">
        <w:t xml:space="preserve"> </w:t>
      </w:r>
    </w:p>
    <w:p w14:paraId="1E57C5B4" w14:textId="77777777" w:rsidR="00055F1A" w:rsidRPr="008A01D4" w:rsidRDefault="00D4764C" w:rsidP="00055F1A">
      <w:r w:rsidRPr="00C97E97">
        <w:t xml:space="preserve">Exhibit </w:t>
      </w:r>
      <w:r w:rsidR="005E430A">
        <w:t>5</w:t>
      </w:r>
      <w:r w:rsidRPr="00C97E97">
        <w:t>-</w:t>
      </w:r>
      <w:r w:rsidR="00A05906">
        <w:t>33</w:t>
      </w:r>
      <w:r w:rsidR="00A05906" w:rsidRPr="00C97E97">
        <w:t xml:space="preserve"> </w:t>
      </w:r>
      <w:r w:rsidR="00055F1A" w:rsidRPr="00C97E97">
        <w:t xml:space="preserve">summarizes the climate profiles of each institution and the community facilities. A mildly positive climate profile is indicated when both engagement and functionality are both at least </w:t>
      </w:r>
      <w:r w:rsidR="00C97E97">
        <w:t>ten</w:t>
      </w:r>
      <w:r w:rsidR="00055F1A" w:rsidRPr="00C97E97">
        <w:t xml:space="preserve"> percentile points about the stress score</w:t>
      </w:r>
      <w:r w:rsidR="004C75A6" w:rsidRPr="00C97E97">
        <w:t xml:space="preserve">. </w:t>
      </w:r>
      <w:r w:rsidR="00055F1A" w:rsidRPr="00C97E97">
        <w:t xml:space="preserve">None of the facilities met </w:t>
      </w:r>
      <w:r w:rsidR="00204220" w:rsidRPr="00C97E97">
        <w:t>these criteria</w:t>
      </w:r>
      <w:r w:rsidR="004C75A6" w:rsidRPr="00C97E97">
        <w:t xml:space="preserve">. </w:t>
      </w:r>
      <w:r w:rsidR="00055F1A" w:rsidRPr="00C97E97">
        <w:t xml:space="preserve">However, the community facilities had a slightly more positive climate profile compared to the other three facilities. The community facilities had a high engagement score, </w:t>
      </w:r>
      <w:r w:rsidR="00B60FE5" w:rsidRPr="00C97E97">
        <w:t xml:space="preserve">an </w:t>
      </w:r>
      <w:r w:rsidR="00204220" w:rsidRPr="00C97E97">
        <w:t xml:space="preserve">average functionality score, </w:t>
      </w:r>
      <w:r w:rsidR="00055F1A" w:rsidRPr="00C97E97">
        <w:t>and an average percentile score for stress. The high engagement score for the community facilities indicates staff feel they are having some success in working with the youth compared to other facilities doing similar work. The lower stress score indicates staff in community facilities perceive their work environment as less stressful (lower emotional exhaustion, lower role conflict and lower role overload) than other facilities doing similar work.</w:t>
      </w:r>
    </w:p>
    <w:p w14:paraId="28485C5D" w14:textId="77777777" w:rsidR="00055F1A" w:rsidRDefault="00055F1A" w:rsidP="00055F1A">
      <w:r w:rsidRPr="008A01D4">
        <w:t xml:space="preserve">A mildly negative climate is indicated when the stress score is more than </w:t>
      </w:r>
      <w:r w:rsidR="00C97E97">
        <w:t xml:space="preserve">ten </w:t>
      </w:r>
      <w:r w:rsidRPr="008A01D4">
        <w:t>percentile points higher than both the engagement and functionality percentile scores</w:t>
      </w:r>
      <w:r w:rsidR="004C75A6">
        <w:t xml:space="preserve">. </w:t>
      </w:r>
      <w:r w:rsidRPr="008A01D4">
        <w:t xml:space="preserve">Echo Glen and Green Hill met </w:t>
      </w:r>
      <w:r w:rsidR="00C97E97" w:rsidRPr="008A01D4">
        <w:t>this criterion</w:t>
      </w:r>
      <w:r w:rsidRPr="008A01D4">
        <w:t xml:space="preserve"> and Naselle came very close to meeting this crit</w:t>
      </w:r>
      <w:r>
        <w:t xml:space="preserve">eria. </w:t>
      </w:r>
      <w:r w:rsidRPr="008A01D4">
        <w:t xml:space="preserve">All three institutions scored below the mean on engagement indicating staff in these facilities perceive they are not able to personally accomplish many worthwhile things and are struggling to engage with the youth. The functionality scores of all three institutions was also below the mean indicating staff perceive they do not receive the necessary cooperation and help from coworkers and administration to do a good job. All three institutions have higher than the mean stress scores indicating staff are emotionally exhausted from their work, overloaded in their work, and experiencing multiple conflicting demands, and are unable to get the </w:t>
      </w:r>
      <w:r w:rsidRPr="00055F1A">
        <w:t xml:space="preserve">necessary things done. </w:t>
      </w:r>
    </w:p>
    <w:p w14:paraId="7B0C2AAE" w14:textId="77777777" w:rsidR="00055F1A" w:rsidRDefault="00D4764C" w:rsidP="00D25646">
      <w:pPr>
        <w:pStyle w:val="Caption"/>
        <w:keepLines/>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33</w:t>
      </w:r>
      <w:r w:rsidR="00E251C1">
        <w:t>.</w:t>
      </w:r>
      <w:r w:rsidR="00221053">
        <w:t xml:space="preserve"> </w:t>
      </w:r>
      <w:r w:rsidR="00055F1A">
        <w:t>Climate Profiles, by Facility</w:t>
      </w:r>
    </w:p>
    <w:p w14:paraId="1CCE5FAE" w14:textId="77777777" w:rsidR="00055F1A" w:rsidRPr="003D020A" w:rsidRDefault="00055F1A" w:rsidP="00D25646">
      <w:pPr>
        <w:pStyle w:val="ActionCaption"/>
        <w:keepNext/>
        <w:keepLines/>
      </w:pPr>
      <w:r>
        <w:t>Percentile Scores of Three Dimensions of Climate</w:t>
      </w:r>
    </w:p>
    <w:tbl>
      <w:tblPr>
        <w:tblStyle w:val="HyzerTable"/>
        <w:tblW w:w="7501" w:type="dxa"/>
        <w:tblLayout w:type="fixed"/>
        <w:tblLook w:val="0420" w:firstRow="1" w:lastRow="0" w:firstColumn="0" w:lastColumn="0" w:noHBand="0" w:noVBand="1"/>
      </w:tblPr>
      <w:tblGrid>
        <w:gridCol w:w="2394"/>
        <w:gridCol w:w="1674"/>
        <w:gridCol w:w="1710"/>
        <w:gridCol w:w="1723"/>
      </w:tblGrid>
      <w:tr w:rsidR="00055F1A" w:rsidRPr="00CD1826" w14:paraId="45E0AE52" w14:textId="77777777" w:rsidTr="00D25646">
        <w:trPr>
          <w:cnfStyle w:val="100000000000" w:firstRow="1" w:lastRow="0" w:firstColumn="0" w:lastColumn="0" w:oddVBand="0" w:evenVBand="0" w:oddHBand="0" w:evenHBand="0" w:firstRowFirstColumn="0" w:firstRowLastColumn="0" w:lastRowFirstColumn="0" w:lastRowLastColumn="0"/>
          <w:tblHeader/>
        </w:trPr>
        <w:tc>
          <w:tcPr>
            <w:tcW w:w="2394" w:type="dxa"/>
          </w:tcPr>
          <w:p w14:paraId="34396377" w14:textId="77777777" w:rsidR="00055F1A" w:rsidRPr="003A1CBF" w:rsidRDefault="00055F1A" w:rsidP="00D25646">
            <w:pPr>
              <w:pStyle w:val="tableheaderwhite"/>
              <w:keepNext/>
              <w:keepLines/>
              <w:spacing w:before="20" w:after="20"/>
              <w:rPr>
                <w:sz w:val="22"/>
              </w:rPr>
            </w:pPr>
            <w:r w:rsidRPr="003A1CBF">
              <w:rPr>
                <w:sz w:val="22"/>
              </w:rPr>
              <w:t>Facility</w:t>
            </w:r>
          </w:p>
        </w:tc>
        <w:tc>
          <w:tcPr>
            <w:tcW w:w="1674" w:type="dxa"/>
          </w:tcPr>
          <w:p w14:paraId="18A98A20" w14:textId="77777777" w:rsidR="00055F1A" w:rsidRPr="003A1CBF" w:rsidRDefault="00055F1A" w:rsidP="00D25646">
            <w:pPr>
              <w:pStyle w:val="tableheaderwhite"/>
              <w:keepNext/>
              <w:keepLines/>
              <w:spacing w:before="20" w:after="20"/>
              <w:rPr>
                <w:sz w:val="22"/>
              </w:rPr>
            </w:pPr>
            <w:r w:rsidRPr="003A1CBF">
              <w:rPr>
                <w:sz w:val="22"/>
              </w:rPr>
              <w:t>Engagement</w:t>
            </w:r>
          </w:p>
        </w:tc>
        <w:tc>
          <w:tcPr>
            <w:tcW w:w="1710" w:type="dxa"/>
          </w:tcPr>
          <w:p w14:paraId="3B24A273" w14:textId="77777777" w:rsidR="00055F1A" w:rsidRPr="003A1CBF" w:rsidRDefault="00055F1A" w:rsidP="00D25646">
            <w:pPr>
              <w:pStyle w:val="tableheaderwhite"/>
              <w:keepNext/>
              <w:keepLines/>
              <w:spacing w:before="20" w:after="20"/>
              <w:rPr>
                <w:sz w:val="22"/>
              </w:rPr>
            </w:pPr>
            <w:r w:rsidRPr="003A1CBF">
              <w:rPr>
                <w:sz w:val="22"/>
              </w:rPr>
              <w:t>Functionality</w:t>
            </w:r>
          </w:p>
        </w:tc>
        <w:tc>
          <w:tcPr>
            <w:tcW w:w="1723" w:type="dxa"/>
          </w:tcPr>
          <w:p w14:paraId="0778F1CB" w14:textId="77777777" w:rsidR="00055F1A" w:rsidRPr="003A1CBF" w:rsidRDefault="00055F1A" w:rsidP="00D25646">
            <w:pPr>
              <w:pStyle w:val="tableheaderwhite"/>
              <w:keepNext/>
              <w:keepLines/>
              <w:spacing w:before="20" w:after="20"/>
              <w:rPr>
                <w:sz w:val="22"/>
              </w:rPr>
            </w:pPr>
            <w:r w:rsidRPr="003A1CBF">
              <w:rPr>
                <w:sz w:val="22"/>
              </w:rPr>
              <w:t>Stress</w:t>
            </w:r>
          </w:p>
        </w:tc>
      </w:tr>
      <w:tr w:rsidR="00055F1A" w:rsidRPr="00CD1826" w14:paraId="7FC29327" w14:textId="77777777" w:rsidTr="006B38E0">
        <w:trPr>
          <w:cnfStyle w:val="000000100000" w:firstRow="0" w:lastRow="0" w:firstColumn="0" w:lastColumn="0" w:oddVBand="0" w:evenVBand="0" w:oddHBand="1" w:evenHBand="0" w:firstRowFirstColumn="0" w:firstRowLastColumn="0" w:lastRowFirstColumn="0" w:lastRowLastColumn="0"/>
        </w:trPr>
        <w:tc>
          <w:tcPr>
            <w:tcW w:w="2394" w:type="dxa"/>
          </w:tcPr>
          <w:p w14:paraId="578C54C2" w14:textId="77777777" w:rsidR="00055F1A" w:rsidRDefault="00055F1A" w:rsidP="00D25646">
            <w:pPr>
              <w:pStyle w:val="TableText"/>
              <w:keepNext/>
              <w:keepLines/>
            </w:pPr>
            <w:r>
              <w:t>Echo Glen</w:t>
            </w:r>
          </w:p>
        </w:tc>
        <w:tc>
          <w:tcPr>
            <w:tcW w:w="1674" w:type="dxa"/>
          </w:tcPr>
          <w:p w14:paraId="3D9C6F91" w14:textId="77777777" w:rsidR="00055F1A" w:rsidRPr="003D020A" w:rsidRDefault="00055F1A" w:rsidP="00D25646">
            <w:pPr>
              <w:pStyle w:val="TableText"/>
              <w:keepNext/>
              <w:keepLines/>
              <w:jc w:val="center"/>
            </w:pPr>
            <w:r>
              <w:t>44.8%</w:t>
            </w:r>
          </w:p>
        </w:tc>
        <w:tc>
          <w:tcPr>
            <w:tcW w:w="1710" w:type="dxa"/>
          </w:tcPr>
          <w:p w14:paraId="3570E664" w14:textId="77777777" w:rsidR="00055F1A" w:rsidRPr="003D020A" w:rsidRDefault="00055F1A" w:rsidP="00D25646">
            <w:pPr>
              <w:pStyle w:val="TableText"/>
              <w:keepNext/>
              <w:keepLines/>
              <w:jc w:val="center"/>
              <w:rPr>
                <w:rStyle w:val="TableTextBold"/>
                <w:b w:val="0"/>
              </w:rPr>
            </w:pPr>
            <w:r>
              <w:rPr>
                <w:rStyle w:val="TableTextBold"/>
                <w:b w:val="0"/>
              </w:rPr>
              <w:t>34.1%</w:t>
            </w:r>
          </w:p>
        </w:tc>
        <w:tc>
          <w:tcPr>
            <w:tcW w:w="1723" w:type="dxa"/>
          </w:tcPr>
          <w:p w14:paraId="47436691" w14:textId="77777777" w:rsidR="00055F1A" w:rsidRPr="003D020A" w:rsidRDefault="00055F1A" w:rsidP="00D25646">
            <w:pPr>
              <w:pStyle w:val="TableTextRight"/>
              <w:keepNext/>
              <w:keepLines/>
              <w:jc w:val="center"/>
            </w:pPr>
            <w:r>
              <w:t>63.8%</w:t>
            </w:r>
          </w:p>
        </w:tc>
      </w:tr>
      <w:tr w:rsidR="00055F1A" w:rsidRPr="00CD1826" w14:paraId="17061598" w14:textId="77777777" w:rsidTr="006B38E0">
        <w:tc>
          <w:tcPr>
            <w:tcW w:w="2394" w:type="dxa"/>
          </w:tcPr>
          <w:p w14:paraId="66942E22" w14:textId="77777777" w:rsidR="00055F1A" w:rsidRDefault="00055F1A" w:rsidP="00D25646">
            <w:pPr>
              <w:pStyle w:val="TableBullet"/>
              <w:keepLines/>
              <w:numPr>
                <w:ilvl w:val="0"/>
                <w:numId w:val="0"/>
              </w:numPr>
              <w:ind w:left="216" w:hanging="216"/>
            </w:pPr>
            <w:r>
              <w:t>Green Hill</w:t>
            </w:r>
          </w:p>
        </w:tc>
        <w:tc>
          <w:tcPr>
            <w:tcW w:w="1674" w:type="dxa"/>
          </w:tcPr>
          <w:p w14:paraId="5DBACF00" w14:textId="77777777" w:rsidR="00055F1A" w:rsidRPr="003D020A" w:rsidRDefault="00055F1A" w:rsidP="00D25646">
            <w:pPr>
              <w:pStyle w:val="TableBullet"/>
              <w:keepLines/>
              <w:numPr>
                <w:ilvl w:val="0"/>
                <w:numId w:val="0"/>
              </w:numPr>
              <w:jc w:val="center"/>
            </w:pPr>
            <w:r>
              <w:t>42.6%</w:t>
            </w:r>
          </w:p>
        </w:tc>
        <w:tc>
          <w:tcPr>
            <w:tcW w:w="1710" w:type="dxa"/>
          </w:tcPr>
          <w:p w14:paraId="62A42E7B" w14:textId="77777777" w:rsidR="00055F1A" w:rsidRPr="003D020A" w:rsidRDefault="00055F1A" w:rsidP="00D25646">
            <w:pPr>
              <w:pStyle w:val="tabletextcenter"/>
              <w:keepNext/>
              <w:keepLines/>
            </w:pPr>
            <w:r>
              <w:t>37.5%</w:t>
            </w:r>
          </w:p>
        </w:tc>
        <w:tc>
          <w:tcPr>
            <w:tcW w:w="1723" w:type="dxa"/>
          </w:tcPr>
          <w:p w14:paraId="4F980BB6" w14:textId="77777777" w:rsidR="00055F1A" w:rsidRPr="003D020A" w:rsidRDefault="00055F1A" w:rsidP="00D25646">
            <w:pPr>
              <w:pStyle w:val="TableTextBoldRight"/>
              <w:keepNext/>
              <w:keepLines/>
              <w:jc w:val="center"/>
              <w:rPr>
                <w:b w:val="0"/>
              </w:rPr>
            </w:pPr>
            <w:r>
              <w:rPr>
                <w:b w:val="0"/>
              </w:rPr>
              <w:t>60.9%</w:t>
            </w:r>
          </w:p>
        </w:tc>
      </w:tr>
      <w:tr w:rsidR="00055F1A" w:rsidRPr="00CD1826" w14:paraId="125CBE77" w14:textId="77777777" w:rsidTr="006B38E0">
        <w:trPr>
          <w:cnfStyle w:val="000000100000" w:firstRow="0" w:lastRow="0" w:firstColumn="0" w:lastColumn="0" w:oddVBand="0" w:evenVBand="0" w:oddHBand="1" w:evenHBand="0" w:firstRowFirstColumn="0" w:firstRowLastColumn="0" w:lastRowFirstColumn="0" w:lastRowLastColumn="0"/>
        </w:trPr>
        <w:tc>
          <w:tcPr>
            <w:tcW w:w="2394" w:type="dxa"/>
          </w:tcPr>
          <w:p w14:paraId="5F771ED7" w14:textId="77777777" w:rsidR="00055F1A" w:rsidRPr="00CD1826" w:rsidRDefault="00055F1A" w:rsidP="006B38E0">
            <w:pPr>
              <w:pStyle w:val="TableText"/>
            </w:pPr>
            <w:r>
              <w:t>Naselle</w:t>
            </w:r>
          </w:p>
        </w:tc>
        <w:tc>
          <w:tcPr>
            <w:tcW w:w="1674" w:type="dxa"/>
          </w:tcPr>
          <w:p w14:paraId="77E707E7" w14:textId="77777777" w:rsidR="00055F1A" w:rsidRPr="003D020A" w:rsidRDefault="00055F1A" w:rsidP="006B38E0">
            <w:pPr>
              <w:pStyle w:val="TableText"/>
              <w:jc w:val="center"/>
            </w:pPr>
            <w:r>
              <w:t>47.3%</w:t>
            </w:r>
          </w:p>
        </w:tc>
        <w:tc>
          <w:tcPr>
            <w:tcW w:w="1710" w:type="dxa"/>
          </w:tcPr>
          <w:p w14:paraId="75271509" w14:textId="77777777" w:rsidR="00055F1A" w:rsidRPr="003D020A" w:rsidRDefault="00055F1A" w:rsidP="006B38E0">
            <w:pPr>
              <w:pStyle w:val="TableTextBoldCentered"/>
              <w:rPr>
                <w:b w:val="0"/>
              </w:rPr>
            </w:pPr>
            <w:r>
              <w:rPr>
                <w:b w:val="0"/>
              </w:rPr>
              <w:t>40.2%</w:t>
            </w:r>
          </w:p>
        </w:tc>
        <w:tc>
          <w:tcPr>
            <w:tcW w:w="1723" w:type="dxa"/>
          </w:tcPr>
          <w:p w14:paraId="775EFEAA" w14:textId="77777777" w:rsidR="00055F1A" w:rsidRPr="003D020A" w:rsidRDefault="00055F1A" w:rsidP="006B38E0">
            <w:pPr>
              <w:pStyle w:val="TableText"/>
              <w:jc w:val="center"/>
            </w:pPr>
            <w:r>
              <w:t>55.1%</w:t>
            </w:r>
          </w:p>
        </w:tc>
      </w:tr>
      <w:tr w:rsidR="00055F1A" w:rsidRPr="00CD1826" w14:paraId="4809F0FD" w14:textId="77777777" w:rsidTr="006B38E0">
        <w:tc>
          <w:tcPr>
            <w:tcW w:w="2394" w:type="dxa"/>
          </w:tcPr>
          <w:p w14:paraId="0B0394B4" w14:textId="77777777" w:rsidR="00055F1A" w:rsidRDefault="00055F1A" w:rsidP="006B38E0">
            <w:pPr>
              <w:pStyle w:val="TableText"/>
            </w:pPr>
            <w:r>
              <w:t>Community Facilities</w:t>
            </w:r>
          </w:p>
        </w:tc>
        <w:tc>
          <w:tcPr>
            <w:tcW w:w="1674" w:type="dxa"/>
          </w:tcPr>
          <w:p w14:paraId="236C7D15" w14:textId="77777777" w:rsidR="00055F1A" w:rsidRPr="003D020A" w:rsidRDefault="00055F1A" w:rsidP="006B38E0">
            <w:pPr>
              <w:pStyle w:val="TableText"/>
              <w:jc w:val="center"/>
            </w:pPr>
            <w:r>
              <w:t>62.8%</w:t>
            </w:r>
          </w:p>
        </w:tc>
        <w:tc>
          <w:tcPr>
            <w:tcW w:w="1710" w:type="dxa"/>
          </w:tcPr>
          <w:p w14:paraId="1407513E" w14:textId="77777777" w:rsidR="00055F1A" w:rsidRPr="003D020A" w:rsidRDefault="00055F1A" w:rsidP="006B38E0">
            <w:pPr>
              <w:pStyle w:val="TableTextBoldCentered"/>
              <w:rPr>
                <w:b w:val="0"/>
              </w:rPr>
            </w:pPr>
            <w:r>
              <w:rPr>
                <w:b w:val="0"/>
              </w:rPr>
              <w:t>47.7%</w:t>
            </w:r>
          </w:p>
        </w:tc>
        <w:tc>
          <w:tcPr>
            <w:tcW w:w="1723" w:type="dxa"/>
          </w:tcPr>
          <w:p w14:paraId="77C47D5B" w14:textId="77777777" w:rsidR="00055F1A" w:rsidRPr="003D020A" w:rsidRDefault="00055F1A" w:rsidP="006B38E0">
            <w:pPr>
              <w:pStyle w:val="TableText"/>
              <w:jc w:val="center"/>
            </w:pPr>
            <w:r>
              <w:t>47.5%</w:t>
            </w:r>
          </w:p>
        </w:tc>
      </w:tr>
    </w:tbl>
    <w:p w14:paraId="406EE729" w14:textId="77777777" w:rsidR="00055F1A" w:rsidRPr="00551B82" w:rsidRDefault="00055F1A" w:rsidP="00C32C1A">
      <w:pPr>
        <w:pStyle w:val="Heading3"/>
      </w:pPr>
      <w:bookmarkStart w:id="89" w:name="_Toc531597526"/>
      <w:r>
        <w:t>Worker Morale: Job Satisfaction and Organizational Commitment</w:t>
      </w:r>
      <w:bookmarkEnd w:id="89"/>
    </w:p>
    <w:p w14:paraId="79A6F425" w14:textId="77777777" w:rsidR="00D71ADC" w:rsidRPr="00DE7D24" w:rsidRDefault="00055F1A" w:rsidP="00193F5F">
      <w:r w:rsidRPr="00AF1E57">
        <w:rPr>
          <w:rStyle w:val="normaltextrun"/>
        </w:rPr>
        <w:t xml:space="preserve">Job satisfaction is defined by the fit between the individual and the position </w:t>
      </w:r>
      <w:r>
        <w:rPr>
          <w:rStyle w:val="normaltextrun"/>
        </w:rPr>
        <w:t xml:space="preserve">they hold </w:t>
      </w:r>
      <w:r w:rsidRPr="00AF1E57">
        <w:rPr>
          <w:rStyle w:val="normaltextrun"/>
        </w:rPr>
        <w:t xml:space="preserve">in an </w:t>
      </w:r>
      <w:r w:rsidRPr="008A01D4">
        <w:rPr>
          <w:rStyle w:val="normaltextrun"/>
        </w:rPr>
        <w:t xml:space="preserve">organization. Organizational commitment is defined as commitment to an agency’s vision, </w:t>
      </w:r>
      <w:r w:rsidRPr="008A01D4">
        <w:rPr>
          <w:rStyle w:val="normaltextrun"/>
        </w:rPr>
        <w:lastRenderedPageBreak/>
        <w:t>mission, and goals and is thought to take longer to develop than job satisfaction</w:t>
      </w:r>
      <w:r w:rsidR="00204220">
        <w:rPr>
          <w:rStyle w:val="normaltextrun"/>
        </w:rPr>
        <w:t>.</w:t>
      </w:r>
      <w:r w:rsidR="00204220">
        <w:rPr>
          <w:rStyle w:val="FootnoteReference"/>
        </w:rPr>
        <w:footnoteReference w:id="120"/>
      </w:r>
      <w:r w:rsidR="00204220">
        <w:rPr>
          <w:rStyle w:val="normaltextrun"/>
        </w:rPr>
        <w:t xml:space="preserve"> </w:t>
      </w:r>
      <w:r w:rsidRPr="008A01D4">
        <w:rPr>
          <w:rStyle w:val="normaltextrun"/>
        </w:rPr>
        <w:t>In contrast to culture and climate, discussed above as a group level phenomenon, job satisfaction and organizational commitment are individual-level constructs. Morale, as measured by the OSC, is defined as the combination of job satisfaction and organizational commitment</w:t>
      </w:r>
      <w:r w:rsidR="00204220">
        <w:rPr>
          <w:rStyle w:val="normaltextrun"/>
        </w:rPr>
        <w:t>.</w:t>
      </w:r>
      <w:r w:rsidR="00204220">
        <w:rPr>
          <w:rStyle w:val="FootnoteReference"/>
        </w:rPr>
        <w:footnoteReference w:id="121"/>
      </w:r>
      <w:r w:rsidRPr="008A01D4">
        <w:rPr>
          <w:rStyle w:val="normaltextrun"/>
        </w:rPr>
        <w:t xml:space="preserve"> </w:t>
      </w:r>
    </w:p>
    <w:p w14:paraId="14F130FF" w14:textId="77777777" w:rsidR="00055F1A" w:rsidRDefault="00055F1A" w:rsidP="00193F5F">
      <w:pPr>
        <w:rPr>
          <w:rStyle w:val="normaltextrun"/>
        </w:rPr>
      </w:pPr>
      <w:r w:rsidRPr="008A01D4">
        <w:rPr>
          <w:rStyle w:val="normaltextrun"/>
        </w:rPr>
        <w:t xml:space="preserve">T-scores for morale are computed by subtracting the average morale raw score and then dividing by the standard deviation obtained from a comparative sample of 584 staff members in 15 juvenile justice facilities. T-scores (the center data point on each vertical line) show the average individual score of worker morale in each facility. The standard deviation (the top and bottom data point on each vertical line) provides information about how far most individual scores on morale within the facility are above or below the average of each facility. A T-score of 50 is the average and </w:t>
      </w:r>
      <w:r w:rsidR="00C97E97">
        <w:rPr>
          <w:rStyle w:val="normaltextrun"/>
        </w:rPr>
        <w:t>ten</w:t>
      </w:r>
      <w:r w:rsidRPr="008A01D4">
        <w:rPr>
          <w:rStyle w:val="normaltextrun"/>
        </w:rPr>
        <w:t xml:space="preserve"> is the standard deviation of the comparative sample of 584 staff members in 15 similar juvenile justice facilities</w:t>
      </w:r>
      <w:r w:rsidR="004C75A6">
        <w:rPr>
          <w:rStyle w:val="normaltextrun"/>
        </w:rPr>
        <w:t xml:space="preserve">. </w:t>
      </w:r>
    </w:p>
    <w:p w14:paraId="03F15C5D" w14:textId="77777777" w:rsidR="00973A90" w:rsidRDefault="00055F1A" w:rsidP="00193F5F">
      <w:pPr>
        <w:rPr>
          <w:rStyle w:val="normaltextrun"/>
        </w:rPr>
      </w:pPr>
      <w:r w:rsidRPr="00C97E97">
        <w:rPr>
          <w:rStyle w:val="normaltextrun"/>
        </w:rPr>
        <w:t xml:space="preserve">As shown in </w:t>
      </w:r>
      <w:r w:rsidR="00D4764C" w:rsidRPr="00C97E97">
        <w:rPr>
          <w:rStyle w:val="normaltextrun"/>
        </w:rPr>
        <w:t xml:space="preserve">Exhibit </w:t>
      </w:r>
      <w:r w:rsidR="005E430A">
        <w:rPr>
          <w:rStyle w:val="normaltextrun"/>
        </w:rPr>
        <w:t>5</w:t>
      </w:r>
      <w:r w:rsidR="00D4764C" w:rsidRPr="00C97E97">
        <w:rPr>
          <w:rStyle w:val="normaltextrun"/>
        </w:rPr>
        <w:t>-</w:t>
      </w:r>
      <w:r w:rsidR="00A05906">
        <w:rPr>
          <w:rStyle w:val="normaltextrun"/>
        </w:rPr>
        <w:t>34</w:t>
      </w:r>
      <w:r w:rsidRPr="00C97E97">
        <w:rPr>
          <w:rStyle w:val="normaltextrun"/>
        </w:rPr>
        <w:t>, among the three institutions and the community facilities, the community facilities have the highest morale score, indicating staff are more committed to their organization and satisfied with their job. In contrast, Green Hill and Echo Glen both have lower than average morale scores suggesting staff have a less positive appraisal of their jobs. Naselle has an average morale score compared to morale in 15 similar juvenile justice facilities</w:t>
      </w:r>
      <w:r w:rsidR="00973A90" w:rsidRPr="00C97E97">
        <w:rPr>
          <w:rStyle w:val="normaltextrun"/>
        </w:rPr>
        <w:t>.</w:t>
      </w:r>
    </w:p>
    <w:p w14:paraId="5D711853" w14:textId="77777777" w:rsidR="00055F1A" w:rsidRPr="00A5395E" w:rsidRDefault="00D4764C" w:rsidP="00453B14">
      <w:pPr>
        <w:pStyle w:val="Caption"/>
        <w:rPr>
          <w:rStyle w:val="normaltextrun"/>
        </w:rPr>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34</w:t>
      </w:r>
      <w:r w:rsidR="00E251C1">
        <w:t>.</w:t>
      </w:r>
      <w:r w:rsidR="00453B14">
        <w:t xml:space="preserve"> </w:t>
      </w:r>
      <w:r w:rsidR="00A5395E">
        <w:t>Employee Morale, by Facility</w:t>
      </w:r>
    </w:p>
    <w:p w14:paraId="56BF1F5D" w14:textId="77777777" w:rsidR="00055F1A" w:rsidRDefault="00973A90" w:rsidP="003F455A">
      <w:pPr>
        <w:jc w:val="center"/>
      </w:pPr>
      <w:r>
        <w:rPr>
          <w:noProof/>
        </w:rPr>
        <w:drawing>
          <wp:inline distT="0" distB="0" distL="0" distR="0" wp14:anchorId="7C7E6ABA" wp14:editId="18D16E97">
            <wp:extent cx="5168155" cy="353037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7"/>
                    <a:stretch>
                      <a:fillRect/>
                    </a:stretch>
                  </pic:blipFill>
                  <pic:spPr>
                    <a:xfrm>
                      <a:off x="0" y="0"/>
                      <a:ext cx="5207897" cy="3557526"/>
                    </a:xfrm>
                    <a:prstGeom prst="rect">
                      <a:avLst/>
                    </a:prstGeom>
                  </pic:spPr>
                </pic:pic>
              </a:graphicData>
            </a:graphic>
          </wp:inline>
        </w:drawing>
      </w:r>
    </w:p>
    <w:p w14:paraId="7D230C3F" w14:textId="77777777" w:rsidR="00784256" w:rsidRDefault="00405E71" w:rsidP="00193F5F">
      <w:pPr>
        <w:rPr>
          <w:bdr w:val="none" w:sz="0" w:space="0" w:color="auto" w:frame="1"/>
        </w:rPr>
      </w:pPr>
      <w:r w:rsidRPr="00EC3A4A">
        <w:rPr>
          <w:bdr w:val="none" w:sz="0" w:space="0" w:color="auto" w:frame="1"/>
        </w:rPr>
        <w:lastRenderedPageBreak/>
        <w:t>Supervisors and staff reported substantial</w:t>
      </w:r>
      <w:r w:rsidR="00784256" w:rsidRPr="00EC3A4A">
        <w:rPr>
          <w:bdr w:val="none" w:sz="0" w:space="0" w:color="auto" w:frame="1"/>
        </w:rPr>
        <w:t xml:space="preserve"> stress and burnout among the staff. In turn, this is leading to low staff morale</w:t>
      </w:r>
      <w:r w:rsidR="00C97E97">
        <w:rPr>
          <w:bdr w:val="none" w:sz="0" w:space="0" w:color="auto" w:frame="1"/>
        </w:rPr>
        <w:t>.</w:t>
      </w:r>
      <w:r w:rsidR="00EC3A4A" w:rsidRPr="00EC3A4A">
        <w:rPr>
          <w:bdr w:val="none" w:sz="0" w:space="0" w:color="auto" w:frame="1"/>
        </w:rPr>
        <w:t xml:space="preserve"> </w:t>
      </w:r>
      <w:r w:rsidRPr="00EC3A4A">
        <w:rPr>
          <w:bdr w:val="none" w:sz="0" w:space="0" w:color="auto" w:frame="1"/>
        </w:rPr>
        <w:t xml:space="preserve">The primary factor identified for low morale was the lack of adequate staffing leading to unmanageable workloads. Both supervisors and staff also indicated </w:t>
      </w:r>
      <w:r w:rsidR="00AB609C">
        <w:rPr>
          <w:bdr w:val="none" w:sz="0" w:space="0" w:color="auto" w:frame="1"/>
        </w:rPr>
        <w:t xml:space="preserve"> </w:t>
      </w:r>
      <w:r w:rsidRPr="00EC3A4A">
        <w:rPr>
          <w:bdr w:val="none" w:sz="0" w:space="0" w:color="auto" w:frame="1"/>
        </w:rPr>
        <w:t xml:space="preserve"> expectations of staff continue to </w:t>
      </w:r>
      <w:r w:rsidR="00C97E97" w:rsidRPr="00EC3A4A">
        <w:rPr>
          <w:bdr w:val="none" w:sz="0" w:space="0" w:color="auto" w:frame="1"/>
        </w:rPr>
        <w:t>increase,</w:t>
      </w:r>
      <w:r w:rsidRPr="00EC3A4A">
        <w:rPr>
          <w:bdr w:val="none" w:sz="0" w:space="0" w:color="auto" w:frame="1"/>
        </w:rPr>
        <w:t xml:space="preserve"> and everything is a priority. </w:t>
      </w:r>
      <w:r w:rsidR="001D5E32" w:rsidRPr="00EC3A4A">
        <w:rPr>
          <w:bdr w:val="none" w:sz="0" w:space="0" w:color="auto" w:frame="1"/>
        </w:rPr>
        <w:t>Yet, it was reported the ongoing issue of stress and burnout is not being acknowledged or addressed by leadership.</w:t>
      </w:r>
      <w:r w:rsidR="00EC3A4A" w:rsidRPr="00EC3A4A">
        <w:rPr>
          <w:bdr w:val="none" w:sz="0" w:space="0" w:color="auto" w:frame="1"/>
        </w:rPr>
        <w:t xml:space="preserve"> Supervisors did not identify </w:t>
      </w:r>
      <w:r w:rsidR="00C97E97">
        <w:rPr>
          <w:bdr w:val="none" w:sz="0" w:space="0" w:color="auto" w:frame="1"/>
        </w:rPr>
        <w:t>any</w:t>
      </w:r>
      <w:r w:rsidR="00EC3A4A" w:rsidRPr="00EC3A4A">
        <w:rPr>
          <w:bdr w:val="none" w:sz="0" w:space="0" w:color="auto" w:frame="1"/>
        </w:rPr>
        <w:t xml:space="preserve"> specific strategies or programs being implemented to help reduce the significant impact of stress and burnout on the staff. A majority, if not all supervisors, indicated having adequate levels of staff would have a significant impact on improving staff morale.</w:t>
      </w:r>
    </w:p>
    <w:p w14:paraId="4499C872" w14:textId="77777777" w:rsidR="009E2A56" w:rsidRDefault="00D71ADC" w:rsidP="00D71ADC">
      <w:r>
        <w:t xml:space="preserve">As part of its Strategic Plan, RA is focusing on improving job satisfaction. The goal is to increase </w:t>
      </w:r>
      <w:r w:rsidRPr="00DE7D24">
        <w:t>satisfaction level of staff</w:t>
      </w:r>
      <w:r w:rsidR="009E2A56">
        <w:t>,</w:t>
      </w:r>
      <w:r w:rsidRPr="00DE7D24">
        <w:t xml:space="preserve"> as expressed on the employee survey question</w:t>
      </w:r>
      <w:r w:rsidR="009E2A56">
        <w:t>,</w:t>
      </w:r>
      <w:r w:rsidRPr="00DE7D24">
        <w:t xml:space="preserve"> “In general, I’m satisfied with my job” from 64% in 2015 to 80% by June 2019.</w:t>
      </w:r>
      <w:r>
        <w:rPr>
          <w:rStyle w:val="FootnoteReference"/>
        </w:rPr>
        <w:footnoteReference w:id="122"/>
      </w:r>
      <w:r w:rsidR="00BF0C66">
        <w:t xml:space="preserve"> The action plan includes: </w:t>
      </w:r>
    </w:p>
    <w:p w14:paraId="5AAB851E" w14:textId="77777777" w:rsidR="009E2A56" w:rsidRDefault="009E2A56" w:rsidP="009E2A56">
      <w:pPr>
        <w:pStyle w:val="ListBullet"/>
      </w:pPr>
      <w:r>
        <w:t>R</w:t>
      </w:r>
      <w:r w:rsidR="00BF0C66">
        <w:t>eviewing employee survey results</w:t>
      </w:r>
      <w:r>
        <w:t xml:space="preserve">, </w:t>
      </w:r>
      <w:r w:rsidR="00BF0C66">
        <w:t>highlighting strengths and concerns</w:t>
      </w:r>
      <w:r>
        <w:t>,</w:t>
      </w:r>
      <w:r w:rsidR="00BF0C66">
        <w:t xml:space="preserve"> and developing local and administration action and communication plans in collaboration with staff; </w:t>
      </w:r>
    </w:p>
    <w:p w14:paraId="011EC996" w14:textId="77777777" w:rsidR="009E2A56" w:rsidRDefault="009E2A56" w:rsidP="009E2A56">
      <w:pPr>
        <w:pStyle w:val="ListBullet"/>
      </w:pPr>
      <w:r>
        <w:t xml:space="preserve">Assembling </w:t>
      </w:r>
      <w:r w:rsidR="00BF0C66">
        <w:t>workgroups with</w:t>
      </w:r>
      <w:r>
        <w:t xml:space="preserve"> </w:t>
      </w:r>
      <w:r w:rsidR="00BF0C66">
        <w:t xml:space="preserve">field staff that will make recommendations to address the concerns and build on identified strengths to improve satisfaction; </w:t>
      </w:r>
    </w:p>
    <w:p w14:paraId="1528325F" w14:textId="77777777" w:rsidR="009E2A56" w:rsidRDefault="009E2A56" w:rsidP="009E2A56">
      <w:pPr>
        <w:pStyle w:val="ListBullet"/>
      </w:pPr>
      <w:r>
        <w:t xml:space="preserve">Having </w:t>
      </w:r>
      <w:r w:rsidR="00BF0C66">
        <w:t>leaders across RA encourage</w:t>
      </w:r>
      <w:r>
        <w:t>,</w:t>
      </w:r>
      <w:r w:rsidR="00BF0C66">
        <w:t xml:space="preserve"> promote, and communicat</w:t>
      </w:r>
      <w:r>
        <w:t>e</w:t>
      </w:r>
      <w:r w:rsidR="00BF0C66">
        <w:t xml:space="preserve"> innovations on an ongoing basis</w:t>
      </w:r>
      <w:r>
        <w:t>;</w:t>
      </w:r>
    </w:p>
    <w:p w14:paraId="422126CD" w14:textId="77777777" w:rsidR="00D71ADC" w:rsidRPr="00DE7D24" w:rsidRDefault="009E2A56" w:rsidP="009E2A56">
      <w:pPr>
        <w:pStyle w:val="ListBullet"/>
      </w:pPr>
      <w:r>
        <w:t>Holding m</w:t>
      </w:r>
      <w:r w:rsidR="00BF0C66">
        <w:t>anagers and supervisors accountable to implement action plans in response to survey results.</w:t>
      </w:r>
      <w:r w:rsidR="00BF0C66">
        <w:rPr>
          <w:rStyle w:val="FootnoteReference"/>
        </w:rPr>
        <w:footnoteReference w:id="123"/>
      </w:r>
    </w:p>
    <w:p w14:paraId="0CDA65F9" w14:textId="77777777" w:rsidR="00C32C1A" w:rsidRDefault="00C60D66" w:rsidP="00F42D48">
      <w:pPr>
        <w:pStyle w:val="Heading2"/>
      </w:pPr>
      <w:bookmarkStart w:id="90" w:name="_Toc531597527"/>
      <w:r>
        <w:t>Recruitment, Selection &amp; Retention</w:t>
      </w:r>
      <w:bookmarkEnd w:id="90"/>
      <w:r>
        <w:t xml:space="preserve"> </w:t>
      </w:r>
    </w:p>
    <w:p w14:paraId="3186B502" w14:textId="77777777" w:rsidR="00C32C1A" w:rsidRPr="00245FB2" w:rsidRDefault="00722B1B" w:rsidP="005D343C">
      <w:pPr>
        <w:pStyle w:val="RFPtext"/>
        <w:keepNext/>
        <w:keepLines/>
        <w:rPr>
          <w:b/>
          <w:color w:val="000000" w:themeColor="text1"/>
        </w:rPr>
      </w:pPr>
      <w:r w:rsidRPr="00245FB2">
        <w:rPr>
          <w:b/>
          <w:color w:val="000000" w:themeColor="text1"/>
          <w:sz w:val="24"/>
        </w:rPr>
        <w:t xml:space="preserve">JR faces many challenges in recruiting and retaining a sufficient number of staff needed to successfully implement the </w:t>
      </w:r>
      <w:r w:rsidR="008C0316">
        <w:rPr>
          <w:b/>
          <w:color w:val="000000" w:themeColor="text1"/>
          <w:sz w:val="24"/>
        </w:rPr>
        <w:t>Rehabilitation Model</w:t>
      </w:r>
      <w:r w:rsidRPr="00245FB2">
        <w:rPr>
          <w:b/>
          <w:color w:val="000000" w:themeColor="text1"/>
          <w:sz w:val="24"/>
        </w:rPr>
        <w:t xml:space="preserve">. </w:t>
      </w:r>
      <w:r w:rsidR="005D343C" w:rsidRPr="00245FB2">
        <w:rPr>
          <w:b/>
          <w:color w:val="000000" w:themeColor="text1"/>
          <w:sz w:val="24"/>
        </w:rPr>
        <w:t xml:space="preserve">Experienced </w:t>
      </w:r>
      <w:r w:rsidR="00AB609C" w:rsidRPr="00245FB2">
        <w:rPr>
          <w:b/>
          <w:color w:val="000000" w:themeColor="text1"/>
          <w:sz w:val="24"/>
        </w:rPr>
        <w:t>Human Resource (</w:t>
      </w:r>
      <w:r w:rsidR="005D343C" w:rsidRPr="00245FB2">
        <w:rPr>
          <w:b/>
          <w:color w:val="000000" w:themeColor="text1"/>
          <w:sz w:val="24"/>
        </w:rPr>
        <w:t>HR</w:t>
      </w:r>
      <w:r w:rsidR="00AB609C" w:rsidRPr="00245FB2">
        <w:rPr>
          <w:b/>
          <w:color w:val="000000" w:themeColor="text1"/>
          <w:sz w:val="24"/>
        </w:rPr>
        <w:t>)</w:t>
      </w:r>
      <w:r w:rsidR="005D343C" w:rsidRPr="00245FB2">
        <w:rPr>
          <w:b/>
          <w:color w:val="000000" w:themeColor="text1"/>
          <w:sz w:val="24"/>
        </w:rPr>
        <w:t xml:space="preserve"> staff dedicated to JR could develop and implement a workforce development</w:t>
      </w:r>
      <w:r w:rsidR="00AB609C" w:rsidRPr="00245FB2">
        <w:rPr>
          <w:b/>
          <w:color w:val="000000" w:themeColor="text1"/>
          <w:sz w:val="24"/>
        </w:rPr>
        <w:t xml:space="preserve"> plan</w:t>
      </w:r>
      <w:r w:rsidR="005D343C" w:rsidRPr="00245FB2">
        <w:rPr>
          <w:b/>
          <w:color w:val="000000" w:themeColor="text1"/>
          <w:sz w:val="24"/>
        </w:rPr>
        <w:t xml:space="preserve"> that would improve </w:t>
      </w:r>
      <w:r w:rsidRPr="00245FB2">
        <w:rPr>
          <w:b/>
          <w:color w:val="000000" w:themeColor="text1"/>
          <w:sz w:val="24"/>
        </w:rPr>
        <w:t xml:space="preserve">staff </w:t>
      </w:r>
      <w:r w:rsidR="00BC3B17" w:rsidRPr="00245FB2">
        <w:rPr>
          <w:b/>
          <w:color w:val="000000" w:themeColor="text1"/>
          <w:sz w:val="24"/>
        </w:rPr>
        <w:t xml:space="preserve">recruitment, selection and retention. JR </w:t>
      </w:r>
      <w:r w:rsidR="005D343C" w:rsidRPr="00245FB2">
        <w:rPr>
          <w:b/>
          <w:color w:val="000000" w:themeColor="text1"/>
          <w:sz w:val="24"/>
        </w:rPr>
        <w:t xml:space="preserve">also </w:t>
      </w:r>
      <w:r w:rsidR="00BC3B17" w:rsidRPr="00245FB2">
        <w:rPr>
          <w:b/>
          <w:color w:val="000000" w:themeColor="text1"/>
          <w:sz w:val="24"/>
        </w:rPr>
        <w:t>requires a workforce development plan and dedicated staff to support recruitment and selection</w:t>
      </w:r>
      <w:r w:rsidR="00BC3B17" w:rsidRPr="00245FB2">
        <w:rPr>
          <w:b/>
          <w:color w:val="000000" w:themeColor="text1"/>
        </w:rPr>
        <w:t>.</w:t>
      </w:r>
    </w:p>
    <w:p w14:paraId="17DAE65F" w14:textId="77777777" w:rsidR="00857C73" w:rsidRDefault="00A81F50" w:rsidP="000B29D5">
      <w:r w:rsidRPr="001757B2">
        <w:t xml:space="preserve">Recruitment </w:t>
      </w:r>
      <w:r>
        <w:t xml:space="preserve">is the process an organization uses to let people know they are hiring </w:t>
      </w:r>
      <w:r w:rsidR="00CE75F0">
        <w:t xml:space="preserve">staff for a position and </w:t>
      </w:r>
      <w:r w:rsidR="00C97E97">
        <w:t xml:space="preserve">to </w:t>
      </w:r>
      <w:r w:rsidR="00CE75F0">
        <w:t>provide a description of the position that leads people to apply.</w:t>
      </w:r>
      <w:r>
        <w:t xml:space="preserve"> </w:t>
      </w:r>
      <w:r w:rsidR="00C97E97">
        <w:t xml:space="preserve">Good recruitment </w:t>
      </w:r>
      <w:r w:rsidRPr="001757B2">
        <w:t xml:space="preserve">goes beyond getting people to apply for a posted position. It must be about finding people who are the “right fit” </w:t>
      </w:r>
      <w:r w:rsidRPr="1FF1B213">
        <w:rPr>
          <w:shd w:val="clear" w:color="auto" w:fill="FFFFFF"/>
        </w:rPr>
        <w:t>for the organization or facility</w:t>
      </w:r>
      <w:r w:rsidR="00204220">
        <w:rPr>
          <w:rFonts w:eastAsia="Times New Roman"/>
          <w:shd w:val="clear" w:color="auto" w:fill="FFFFFF"/>
        </w:rPr>
        <w:t>.</w:t>
      </w:r>
      <w:r w:rsidR="00204220">
        <w:rPr>
          <w:rStyle w:val="FootnoteReference"/>
          <w:rFonts w:eastAsia="Times New Roman"/>
          <w:shd w:val="clear" w:color="auto" w:fill="FFFFFF"/>
        </w:rPr>
        <w:footnoteReference w:id="124"/>
      </w:r>
      <w:r>
        <w:rPr>
          <w:rFonts w:eastAsia="Times New Roman"/>
          <w:shd w:val="clear" w:color="auto" w:fill="FFFFFF"/>
        </w:rPr>
        <w:t xml:space="preserve"> </w:t>
      </w:r>
      <w:r w:rsidR="00857C73" w:rsidRPr="005A0AEA">
        <w:t xml:space="preserve">Some estimates are that nearly 80% of turnover is due to hiring mistakes. That is, if organizations can select and hire the right people for the job, turnover would be reduced </w:t>
      </w:r>
      <w:r w:rsidR="00C97E97" w:rsidRPr="005A0AEA">
        <w:t>substantially,</w:t>
      </w:r>
      <w:r w:rsidR="00857C73" w:rsidRPr="005A0AEA">
        <w:t xml:space="preserve"> and retention would increase</w:t>
      </w:r>
      <w:r w:rsidR="00F1206E">
        <w:t>.</w:t>
      </w:r>
      <w:r w:rsidR="00F1206E">
        <w:rPr>
          <w:rStyle w:val="FootnoteReference"/>
        </w:rPr>
        <w:footnoteReference w:id="125"/>
      </w:r>
      <w:r w:rsidR="00F1206E">
        <w:t xml:space="preserve"> </w:t>
      </w:r>
    </w:p>
    <w:p w14:paraId="43C4796B" w14:textId="77777777" w:rsidR="00857C73" w:rsidRDefault="00857C73" w:rsidP="00F9757C">
      <w:r>
        <w:t xml:space="preserve">This section summarizes </w:t>
      </w:r>
      <w:r w:rsidR="00F9757C">
        <w:t>the</w:t>
      </w:r>
      <w:r>
        <w:t xml:space="preserve"> current process for recruiting and selecting staff for the JR institutions and community facilities. The sum</w:t>
      </w:r>
      <w:r w:rsidR="00186BB6">
        <w:t>mary is based on discussion with JR</w:t>
      </w:r>
      <w:r w:rsidR="00F9757C">
        <w:t xml:space="preserve"> s</w:t>
      </w:r>
      <w:r w:rsidR="00DC5777">
        <w:t xml:space="preserve">uperintendents, administrators; </w:t>
      </w:r>
      <w:r w:rsidR="00F9757C">
        <w:t xml:space="preserve">discussions with representatives from </w:t>
      </w:r>
      <w:r w:rsidR="00AB609C">
        <w:t xml:space="preserve">the </w:t>
      </w:r>
      <w:r w:rsidR="00F9757C">
        <w:t xml:space="preserve">DSHS </w:t>
      </w:r>
      <w:r w:rsidR="00DA34DE">
        <w:t>Human</w:t>
      </w:r>
      <w:r w:rsidR="00DC5777">
        <w:t xml:space="preserve"> Resources Division (HRD);</w:t>
      </w:r>
      <w:r w:rsidR="00DA34DE">
        <w:t xml:space="preserve"> and information gathered through the </w:t>
      </w:r>
      <w:r w:rsidR="00E251C1">
        <w:t>staff survey</w:t>
      </w:r>
      <w:r w:rsidR="00DA34DE">
        <w:t>.</w:t>
      </w:r>
    </w:p>
    <w:p w14:paraId="6372CC78" w14:textId="77777777" w:rsidR="00DA34DE" w:rsidRPr="00C32C1A" w:rsidRDefault="00DA34DE" w:rsidP="00B00EB4">
      <w:pPr>
        <w:pStyle w:val="Heading3"/>
        <w:numPr>
          <w:ilvl w:val="2"/>
          <w:numId w:val="40"/>
        </w:numPr>
        <w:ind w:left="720"/>
      </w:pPr>
      <w:bookmarkStart w:id="91" w:name="_Toc531597528"/>
      <w:r w:rsidRPr="00C32C1A">
        <w:lastRenderedPageBreak/>
        <w:t>Recruitment</w:t>
      </w:r>
      <w:bookmarkEnd w:id="91"/>
    </w:p>
    <w:p w14:paraId="461B0630" w14:textId="77777777" w:rsidR="00E24F88" w:rsidRDefault="00E24F88" w:rsidP="00930855">
      <w:pPr>
        <w:pStyle w:val="PullQuote"/>
        <w:framePr w:w="3569" w:wrap="around" w:hAnchor="page" w:x="6713" w:y="1219"/>
      </w:pPr>
      <w:r>
        <w:t>“We need someone doing proactive recruitment.”</w:t>
      </w:r>
    </w:p>
    <w:p w14:paraId="15C93D2D" w14:textId="77777777" w:rsidR="00E24F88" w:rsidRDefault="00E24F88" w:rsidP="00930855">
      <w:pPr>
        <w:pStyle w:val="PullQuote"/>
        <w:framePr w:w="3569" w:wrap="around" w:hAnchor="page" w:x="6713" w:y="1219"/>
        <w:jc w:val="right"/>
      </w:pPr>
      <w:r>
        <w:t>— Leadership</w:t>
      </w:r>
    </w:p>
    <w:p w14:paraId="643CA3BD" w14:textId="77777777" w:rsidR="007C1A79" w:rsidRDefault="0029266D" w:rsidP="0029266D">
      <w:pPr>
        <w:rPr>
          <w:b/>
        </w:rPr>
      </w:pPr>
      <w:r w:rsidRPr="009F7F6A">
        <w:t>Currently</w:t>
      </w:r>
      <w:r w:rsidR="0086489A" w:rsidRPr="009F7F6A">
        <w:t>,</w:t>
      </w:r>
      <w:r w:rsidRPr="009F7F6A">
        <w:t xml:space="preserve"> recru</w:t>
      </w:r>
      <w:r w:rsidR="0086489A" w:rsidRPr="009F7F6A">
        <w:t xml:space="preserve">itment to fill positions at each of the </w:t>
      </w:r>
      <w:r w:rsidRPr="009F7F6A">
        <w:t>facilities is conducted</w:t>
      </w:r>
      <w:r w:rsidR="004F3C72" w:rsidRPr="009F7F6A">
        <w:t xml:space="preserve"> by leadership or other staff</w:t>
      </w:r>
      <w:r w:rsidR="00AB609C">
        <w:t xml:space="preserve"> at </w:t>
      </w:r>
      <w:r w:rsidR="00926309">
        <w:t xml:space="preserve">each </w:t>
      </w:r>
      <w:r w:rsidR="00AB609C">
        <w:t>facility</w:t>
      </w:r>
      <w:r w:rsidRPr="009F7F6A">
        <w:t xml:space="preserve">. In the past, </w:t>
      </w:r>
      <w:r w:rsidR="00204220" w:rsidRPr="009F7F6A">
        <w:t xml:space="preserve">JR facilities had dedicated </w:t>
      </w:r>
      <w:r w:rsidRPr="009F7F6A">
        <w:t xml:space="preserve">human </w:t>
      </w:r>
      <w:r w:rsidR="00E535B4" w:rsidRPr="009F7F6A">
        <w:t>resources</w:t>
      </w:r>
      <w:r w:rsidR="00204220" w:rsidRPr="009F7F6A">
        <w:t xml:space="preserve"> staff to support recruitment efforts.</w:t>
      </w:r>
      <w:r w:rsidRPr="009F7F6A">
        <w:t xml:space="preserve"> </w:t>
      </w:r>
      <w:r w:rsidR="00DC5777" w:rsidRPr="009F7F6A">
        <w:t xml:space="preserve">Most </w:t>
      </w:r>
      <w:r w:rsidRPr="009F7F6A">
        <w:t xml:space="preserve">recruitment </w:t>
      </w:r>
      <w:r w:rsidR="00690662" w:rsidRPr="009F7F6A">
        <w:t xml:space="preserve">involves developing a job description that is sent to HRD </w:t>
      </w:r>
      <w:r w:rsidR="005A59CC" w:rsidRPr="009F7F6A">
        <w:t xml:space="preserve">through the Applicant Tracking System. The </w:t>
      </w:r>
      <w:r w:rsidR="0086489A" w:rsidRPr="009F7F6A">
        <w:t xml:space="preserve">job description </w:t>
      </w:r>
      <w:r w:rsidR="005A59CC" w:rsidRPr="009F7F6A">
        <w:t>is reviewed by</w:t>
      </w:r>
      <w:r w:rsidR="0086489A" w:rsidRPr="009F7F6A">
        <w:t xml:space="preserve"> HRD staff who will work with the hiring manager at the facility to revise it as necessary. HRD posts the job description online. </w:t>
      </w:r>
      <w:r w:rsidR="007A5F0A" w:rsidRPr="009F7F6A">
        <w:t>Most of the facility leadership indicated they do not have time to conduct other recruitment strategies that could improve the applicant pool</w:t>
      </w:r>
      <w:r w:rsidR="009F7F6A" w:rsidRPr="009F7F6A">
        <w:t>.</w:t>
      </w:r>
    </w:p>
    <w:p w14:paraId="056272F0" w14:textId="77777777" w:rsidR="00D23945" w:rsidRDefault="00952285" w:rsidP="0029266D">
      <w:r w:rsidRPr="00C97E97">
        <w:t xml:space="preserve">Through the </w:t>
      </w:r>
      <w:r w:rsidR="00E251C1" w:rsidRPr="00C97E97">
        <w:t>staff survey</w:t>
      </w:r>
      <w:r w:rsidRPr="00C97E97">
        <w:t xml:space="preserve">, we asked staff how they learned about their current positions. As shown in </w:t>
      </w:r>
      <w:r w:rsidR="00D4764C" w:rsidRPr="00C97E97">
        <w:t xml:space="preserve">Exhibit </w:t>
      </w:r>
      <w:r w:rsidR="005E430A">
        <w:t>5</w:t>
      </w:r>
      <w:r w:rsidR="00D4764C" w:rsidRPr="00C97E97">
        <w:t>-</w:t>
      </w:r>
      <w:r w:rsidR="00A05906">
        <w:t>35</w:t>
      </w:r>
      <w:r w:rsidRPr="00C97E97">
        <w:t>,</w:t>
      </w:r>
      <w:r w:rsidR="00042DB8" w:rsidRPr="00C97E97">
        <w:t xml:space="preserve"> overall most staff learn about JR position openings through an online job</w:t>
      </w:r>
      <w:r w:rsidR="00A16D81" w:rsidRPr="00C97E97">
        <w:t xml:space="preserve"> </w:t>
      </w:r>
      <w:r w:rsidR="00A84D38" w:rsidRPr="00C97E97">
        <w:t>position</w:t>
      </w:r>
      <w:r w:rsidR="00042DB8" w:rsidRPr="00C97E97">
        <w:t xml:space="preserve"> </w:t>
      </w:r>
      <w:r w:rsidR="00245FB2">
        <w:t xml:space="preserve">posting </w:t>
      </w:r>
      <w:r w:rsidR="00042DB8" w:rsidRPr="00C97E97">
        <w:t>(33.7%) or through a referral from a current employee (32.6%).</w:t>
      </w:r>
      <w:r w:rsidR="00EC0573" w:rsidRPr="00C97E97">
        <w:t xml:space="preserve"> However, most of the staff at Echo Glen (50.0%) received a suggestion to apply for their position through someone already working at the facility.</w:t>
      </w:r>
      <w:r w:rsidR="00930855" w:rsidRPr="00C97E97">
        <w:t xml:space="preserve"> </w:t>
      </w:r>
      <w:r w:rsidR="00A16D81" w:rsidRPr="00C97E97">
        <w:t>A referral</w:t>
      </w:r>
      <w:r w:rsidR="00930855" w:rsidRPr="00C97E97">
        <w:t xml:space="preserve"> by current employees </w:t>
      </w:r>
      <w:r w:rsidR="00A84D38">
        <w:t xml:space="preserve">also </w:t>
      </w:r>
      <w:r w:rsidR="00930855" w:rsidRPr="00C97E97">
        <w:t xml:space="preserve">was a primary way in which staff learned about opportunities to work at the </w:t>
      </w:r>
      <w:r w:rsidR="00861FD3">
        <w:t xml:space="preserve">other </w:t>
      </w:r>
      <w:r w:rsidR="00930855" w:rsidRPr="00C97E97">
        <w:t>facilities. At Naselle (19.4%) and the community facilities (25.8%) many staff learned about their current positions through internal DSHS job postings. This may suggest staff may be moving from one position to another within DSHS.</w:t>
      </w:r>
    </w:p>
    <w:p w14:paraId="2CE01C88" w14:textId="77777777" w:rsidR="00042DB8" w:rsidRDefault="00D4764C" w:rsidP="00453B14">
      <w:pPr>
        <w:pStyle w:val="Caption"/>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35</w:t>
      </w:r>
      <w:r w:rsidR="00E251C1">
        <w:t>.</w:t>
      </w:r>
      <w:r w:rsidR="00453B14">
        <w:t xml:space="preserve"> </w:t>
      </w:r>
      <w:r w:rsidR="00EC0573">
        <w:t>How Staff Learn About Current Openings, by Facility</w:t>
      </w:r>
    </w:p>
    <w:tbl>
      <w:tblPr>
        <w:tblStyle w:val="HyzerTable"/>
        <w:tblW w:w="5000" w:type="pct"/>
        <w:tblLook w:val="0420" w:firstRow="1" w:lastRow="0" w:firstColumn="0" w:lastColumn="0" w:noHBand="0" w:noVBand="1"/>
      </w:tblPr>
      <w:tblGrid>
        <w:gridCol w:w="1550"/>
        <w:gridCol w:w="869"/>
        <w:gridCol w:w="1148"/>
        <w:gridCol w:w="1037"/>
        <w:gridCol w:w="1471"/>
        <w:gridCol w:w="1168"/>
        <w:gridCol w:w="1387"/>
        <w:gridCol w:w="730"/>
      </w:tblGrid>
      <w:tr w:rsidR="00952285" w:rsidRPr="00CD1826" w14:paraId="523D645D" w14:textId="77777777" w:rsidTr="00A84D38">
        <w:trPr>
          <w:cnfStyle w:val="100000000000" w:firstRow="1" w:lastRow="0" w:firstColumn="0" w:lastColumn="0" w:oddVBand="0" w:evenVBand="0" w:oddHBand="0" w:evenHBand="0" w:firstRowFirstColumn="0" w:firstRowLastColumn="0" w:lastRowFirstColumn="0" w:lastRowLastColumn="0"/>
          <w:trHeight w:val="213"/>
          <w:tblHeader/>
        </w:trPr>
        <w:tc>
          <w:tcPr>
            <w:tcW w:w="828" w:type="pct"/>
            <w:tcBorders>
              <w:bottom w:val="single" w:sz="2" w:space="0" w:color="808080" w:themeColor="text1" w:themeTint="7F"/>
            </w:tcBorders>
            <w:vAlign w:val="center"/>
          </w:tcPr>
          <w:p w14:paraId="2CB361DA" w14:textId="77777777" w:rsidR="00952285" w:rsidRPr="00A64BAE" w:rsidRDefault="00952285" w:rsidP="00EC0573">
            <w:pPr>
              <w:pStyle w:val="tableheaderwhite"/>
              <w:spacing w:before="20" w:after="20"/>
              <w:rPr>
                <w:sz w:val="22"/>
              </w:rPr>
            </w:pPr>
            <w:r w:rsidRPr="1FF1B213">
              <w:rPr>
                <w:sz w:val="22"/>
                <w:szCs w:val="22"/>
              </w:rPr>
              <w:t>Facility</w:t>
            </w:r>
          </w:p>
        </w:tc>
        <w:tc>
          <w:tcPr>
            <w:tcW w:w="464" w:type="pct"/>
            <w:tcBorders>
              <w:bottom w:val="single" w:sz="2" w:space="0" w:color="808080" w:themeColor="text1" w:themeTint="7F"/>
            </w:tcBorders>
            <w:vAlign w:val="center"/>
          </w:tcPr>
          <w:p w14:paraId="78BDB6DE" w14:textId="77777777" w:rsidR="00952285" w:rsidRPr="00A64BAE" w:rsidRDefault="00952285" w:rsidP="00EC0573">
            <w:pPr>
              <w:pStyle w:val="tableheaderwhite"/>
              <w:spacing w:before="20" w:after="20"/>
              <w:rPr>
                <w:sz w:val="22"/>
              </w:rPr>
            </w:pPr>
            <w:r w:rsidRPr="1FF1B213">
              <w:rPr>
                <w:sz w:val="22"/>
                <w:szCs w:val="22"/>
              </w:rPr>
              <w:t>Online</w:t>
            </w:r>
          </w:p>
        </w:tc>
        <w:tc>
          <w:tcPr>
            <w:tcW w:w="613" w:type="pct"/>
            <w:tcBorders>
              <w:bottom w:val="single" w:sz="2" w:space="0" w:color="808080" w:themeColor="text1" w:themeTint="7F"/>
            </w:tcBorders>
            <w:vAlign w:val="center"/>
          </w:tcPr>
          <w:p w14:paraId="211D5837" w14:textId="77777777" w:rsidR="00952285" w:rsidRPr="00A64BAE" w:rsidRDefault="00952285" w:rsidP="00EC0573">
            <w:pPr>
              <w:pStyle w:val="tableheaderwhite"/>
              <w:spacing w:before="20" w:after="20"/>
              <w:rPr>
                <w:sz w:val="22"/>
              </w:rPr>
            </w:pPr>
            <w:r w:rsidRPr="1FF1B213">
              <w:rPr>
                <w:sz w:val="22"/>
                <w:szCs w:val="22"/>
              </w:rPr>
              <w:t>Print Ad</w:t>
            </w:r>
          </w:p>
        </w:tc>
        <w:tc>
          <w:tcPr>
            <w:tcW w:w="554" w:type="pct"/>
            <w:tcBorders>
              <w:bottom w:val="single" w:sz="2" w:space="0" w:color="808080" w:themeColor="text1" w:themeTint="7F"/>
            </w:tcBorders>
            <w:vAlign w:val="center"/>
          </w:tcPr>
          <w:p w14:paraId="7DCDE94E" w14:textId="77777777" w:rsidR="00952285" w:rsidRPr="00A64BAE" w:rsidRDefault="00952285" w:rsidP="00EC0573">
            <w:pPr>
              <w:pStyle w:val="tableheaderwhite"/>
              <w:spacing w:before="20" w:after="20"/>
              <w:rPr>
                <w:sz w:val="22"/>
              </w:rPr>
            </w:pPr>
            <w:r w:rsidRPr="1FF1B213">
              <w:rPr>
                <w:sz w:val="22"/>
                <w:szCs w:val="22"/>
              </w:rPr>
              <w:t>Job Fair</w:t>
            </w:r>
          </w:p>
        </w:tc>
        <w:tc>
          <w:tcPr>
            <w:tcW w:w="786" w:type="pct"/>
            <w:tcBorders>
              <w:bottom w:val="single" w:sz="2" w:space="0" w:color="808080" w:themeColor="text1" w:themeTint="7F"/>
            </w:tcBorders>
            <w:vAlign w:val="center"/>
          </w:tcPr>
          <w:p w14:paraId="5F7C3F6F" w14:textId="77777777" w:rsidR="00952285" w:rsidRPr="00A64BAE" w:rsidRDefault="00952285" w:rsidP="00EC0573">
            <w:pPr>
              <w:pStyle w:val="tableheaderwhite"/>
              <w:spacing w:before="20" w:after="20"/>
              <w:rPr>
                <w:sz w:val="22"/>
              </w:rPr>
            </w:pPr>
            <w:r w:rsidRPr="1FF1B213">
              <w:rPr>
                <w:sz w:val="22"/>
                <w:szCs w:val="22"/>
              </w:rPr>
              <w:t>University Recruitment</w:t>
            </w:r>
          </w:p>
        </w:tc>
        <w:tc>
          <w:tcPr>
            <w:tcW w:w="624" w:type="pct"/>
            <w:tcBorders>
              <w:bottom w:val="single" w:sz="2" w:space="0" w:color="808080" w:themeColor="text1" w:themeTint="7F"/>
            </w:tcBorders>
            <w:vAlign w:val="center"/>
          </w:tcPr>
          <w:p w14:paraId="3C9A66F5" w14:textId="77777777" w:rsidR="00952285" w:rsidRPr="00A64BAE" w:rsidRDefault="00952285" w:rsidP="00EC0573">
            <w:pPr>
              <w:pStyle w:val="tableheaderwhite"/>
              <w:spacing w:before="20" w:after="20"/>
              <w:rPr>
                <w:sz w:val="22"/>
              </w:rPr>
            </w:pPr>
            <w:r w:rsidRPr="1FF1B213">
              <w:rPr>
                <w:sz w:val="22"/>
                <w:szCs w:val="22"/>
              </w:rPr>
              <w:t>Employee</w:t>
            </w:r>
          </w:p>
        </w:tc>
        <w:tc>
          <w:tcPr>
            <w:tcW w:w="741" w:type="pct"/>
            <w:tcBorders>
              <w:bottom w:val="single" w:sz="2" w:space="0" w:color="808080" w:themeColor="text1" w:themeTint="7F"/>
            </w:tcBorders>
            <w:vAlign w:val="center"/>
          </w:tcPr>
          <w:p w14:paraId="0A6C927C" w14:textId="77777777" w:rsidR="00952285" w:rsidRDefault="00952285" w:rsidP="00EC0573">
            <w:pPr>
              <w:pStyle w:val="tableheaderwhite"/>
              <w:spacing w:before="20" w:after="20"/>
              <w:rPr>
                <w:sz w:val="22"/>
              </w:rPr>
            </w:pPr>
            <w:r w:rsidRPr="1FF1B213">
              <w:rPr>
                <w:sz w:val="22"/>
                <w:szCs w:val="22"/>
              </w:rPr>
              <w:t>Internal DSHS</w:t>
            </w:r>
          </w:p>
          <w:p w14:paraId="023C4B7C" w14:textId="77777777" w:rsidR="00952285" w:rsidRPr="00A64BAE" w:rsidRDefault="00952285" w:rsidP="00EC0573">
            <w:pPr>
              <w:pStyle w:val="tableheaderwhite"/>
              <w:spacing w:before="20" w:after="20"/>
              <w:rPr>
                <w:sz w:val="22"/>
              </w:rPr>
            </w:pPr>
            <w:r w:rsidRPr="1FF1B213">
              <w:rPr>
                <w:sz w:val="22"/>
                <w:szCs w:val="22"/>
              </w:rPr>
              <w:t>Job Posting</w:t>
            </w:r>
          </w:p>
        </w:tc>
        <w:tc>
          <w:tcPr>
            <w:tcW w:w="390" w:type="pct"/>
            <w:tcBorders>
              <w:bottom w:val="single" w:sz="2" w:space="0" w:color="808080" w:themeColor="text1" w:themeTint="7F"/>
            </w:tcBorders>
            <w:vAlign w:val="center"/>
          </w:tcPr>
          <w:p w14:paraId="5E287C82" w14:textId="77777777" w:rsidR="00952285" w:rsidRPr="00A64BAE" w:rsidRDefault="00952285" w:rsidP="00EC0573">
            <w:pPr>
              <w:pStyle w:val="tableheaderwhite"/>
              <w:spacing w:before="20" w:after="20"/>
              <w:rPr>
                <w:sz w:val="22"/>
              </w:rPr>
            </w:pPr>
            <w:r w:rsidRPr="1FF1B213">
              <w:rPr>
                <w:sz w:val="22"/>
                <w:szCs w:val="22"/>
              </w:rPr>
              <w:t>Other</w:t>
            </w:r>
          </w:p>
        </w:tc>
      </w:tr>
      <w:tr w:rsidR="00952285" w:rsidRPr="00CD1826" w14:paraId="274FDBDB" w14:textId="77777777" w:rsidTr="00A84D38">
        <w:trPr>
          <w:cnfStyle w:val="000000100000" w:firstRow="0" w:lastRow="0" w:firstColumn="0" w:lastColumn="0" w:oddVBand="0" w:evenVBand="0" w:oddHBand="1" w:evenHBand="0" w:firstRowFirstColumn="0" w:firstRowLastColumn="0" w:lastRowFirstColumn="0" w:lastRowLastColumn="0"/>
        </w:trPr>
        <w:tc>
          <w:tcPr>
            <w:tcW w:w="828" w:type="pct"/>
            <w:shd w:val="clear" w:color="auto" w:fill="A6A6A6" w:themeFill="background1" w:themeFillShade="A6"/>
          </w:tcPr>
          <w:p w14:paraId="18402C2A" w14:textId="77777777" w:rsidR="00952285" w:rsidRPr="00906E09" w:rsidRDefault="00952285" w:rsidP="00EC0573">
            <w:pPr>
              <w:pStyle w:val="TableText"/>
              <w:rPr>
                <w:b/>
              </w:rPr>
            </w:pPr>
            <w:r>
              <w:rPr>
                <w:b/>
              </w:rPr>
              <w:t>JR (n=175)</w:t>
            </w:r>
          </w:p>
        </w:tc>
        <w:tc>
          <w:tcPr>
            <w:tcW w:w="464" w:type="pct"/>
            <w:shd w:val="clear" w:color="auto" w:fill="A6A6A6" w:themeFill="background1" w:themeFillShade="A6"/>
          </w:tcPr>
          <w:p w14:paraId="70EAFBB4" w14:textId="77777777" w:rsidR="00952285" w:rsidRPr="00202F57" w:rsidRDefault="00952285" w:rsidP="00EC0573">
            <w:pPr>
              <w:pStyle w:val="tabletextcenter"/>
              <w:rPr>
                <w:b/>
              </w:rPr>
            </w:pPr>
            <w:r w:rsidRPr="00202F57">
              <w:rPr>
                <w:b/>
              </w:rPr>
              <w:t>33.7%</w:t>
            </w:r>
          </w:p>
        </w:tc>
        <w:tc>
          <w:tcPr>
            <w:tcW w:w="613" w:type="pct"/>
            <w:shd w:val="clear" w:color="auto" w:fill="A6A6A6" w:themeFill="background1" w:themeFillShade="A6"/>
          </w:tcPr>
          <w:p w14:paraId="01C72E4B" w14:textId="77777777" w:rsidR="00952285" w:rsidRPr="00202F57" w:rsidRDefault="00952285" w:rsidP="00EC0573">
            <w:pPr>
              <w:pStyle w:val="tabletextcenter"/>
              <w:rPr>
                <w:b/>
              </w:rPr>
            </w:pPr>
            <w:r w:rsidRPr="00202F57">
              <w:rPr>
                <w:b/>
              </w:rPr>
              <w:t>1.1%</w:t>
            </w:r>
          </w:p>
        </w:tc>
        <w:tc>
          <w:tcPr>
            <w:tcW w:w="554" w:type="pct"/>
            <w:shd w:val="clear" w:color="auto" w:fill="A6A6A6" w:themeFill="background1" w:themeFillShade="A6"/>
          </w:tcPr>
          <w:p w14:paraId="51479723" w14:textId="77777777" w:rsidR="00952285" w:rsidRPr="00202F57" w:rsidRDefault="00952285" w:rsidP="00EC0573">
            <w:pPr>
              <w:pStyle w:val="tabletextcenter"/>
              <w:rPr>
                <w:b/>
              </w:rPr>
            </w:pPr>
            <w:r w:rsidRPr="00202F57">
              <w:rPr>
                <w:b/>
              </w:rPr>
              <w:t>1.7%</w:t>
            </w:r>
          </w:p>
        </w:tc>
        <w:tc>
          <w:tcPr>
            <w:tcW w:w="786" w:type="pct"/>
            <w:shd w:val="clear" w:color="auto" w:fill="A6A6A6" w:themeFill="background1" w:themeFillShade="A6"/>
          </w:tcPr>
          <w:p w14:paraId="427DF3C8" w14:textId="77777777" w:rsidR="00952285" w:rsidRPr="00202F57" w:rsidRDefault="00952285" w:rsidP="00EC0573">
            <w:pPr>
              <w:pStyle w:val="tabletextcenter"/>
              <w:rPr>
                <w:b/>
              </w:rPr>
            </w:pPr>
            <w:r w:rsidRPr="00202F57">
              <w:rPr>
                <w:b/>
              </w:rPr>
              <w:t>1.1%</w:t>
            </w:r>
          </w:p>
        </w:tc>
        <w:tc>
          <w:tcPr>
            <w:tcW w:w="624" w:type="pct"/>
            <w:shd w:val="clear" w:color="auto" w:fill="A6A6A6" w:themeFill="background1" w:themeFillShade="A6"/>
          </w:tcPr>
          <w:p w14:paraId="74FE16DF" w14:textId="77777777" w:rsidR="00952285" w:rsidRPr="00202F57" w:rsidRDefault="00952285" w:rsidP="00EC0573">
            <w:pPr>
              <w:pStyle w:val="tabletextcenter"/>
              <w:rPr>
                <w:b/>
              </w:rPr>
            </w:pPr>
            <w:r w:rsidRPr="00202F57">
              <w:rPr>
                <w:b/>
              </w:rPr>
              <w:t>32.6%</w:t>
            </w:r>
          </w:p>
        </w:tc>
        <w:tc>
          <w:tcPr>
            <w:tcW w:w="741" w:type="pct"/>
            <w:shd w:val="clear" w:color="auto" w:fill="A6A6A6" w:themeFill="background1" w:themeFillShade="A6"/>
          </w:tcPr>
          <w:p w14:paraId="52C05356" w14:textId="77777777" w:rsidR="00952285" w:rsidRPr="00202F57" w:rsidRDefault="00952285" w:rsidP="00EC0573">
            <w:pPr>
              <w:pStyle w:val="tabletextcenter"/>
              <w:rPr>
                <w:b/>
              </w:rPr>
            </w:pPr>
            <w:r w:rsidRPr="00202F57">
              <w:rPr>
                <w:b/>
              </w:rPr>
              <w:t>12.0%</w:t>
            </w:r>
          </w:p>
        </w:tc>
        <w:tc>
          <w:tcPr>
            <w:tcW w:w="390" w:type="pct"/>
            <w:shd w:val="clear" w:color="auto" w:fill="A6A6A6" w:themeFill="background1" w:themeFillShade="A6"/>
          </w:tcPr>
          <w:p w14:paraId="3749DA7E" w14:textId="77777777" w:rsidR="00952285" w:rsidRPr="00202F57" w:rsidRDefault="00952285" w:rsidP="00EC0573">
            <w:pPr>
              <w:pStyle w:val="tabletextcenter"/>
              <w:rPr>
                <w:b/>
              </w:rPr>
            </w:pPr>
            <w:r w:rsidRPr="00202F57">
              <w:rPr>
                <w:b/>
              </w:rPr>
              <w:t>17.</w:t>
            </w:r>
            <w:r w:rsidR="00A84D38">
              <w:rPr>
                <w:b/>
              </w:rPr>
              <w:t>8</w:t>
            </w:r>
            <w:r w:rsidRPr="00202F57">
              <w:rPr>
                <w:b/>
              </w:rPr>
              <w:t>%</w:t>
            </w:r>
          </w:p>
        </w:tc>
      </w:tr>
      <w:tr w:rsidR="00952285" w:rsidRPr="00CD1826" w14:paraId="5241E8B7" w14:textId="77777777" w:rsidTr="00A84D38">
        <w:tc>
          <w:tcPr>
            <w:tcW w:w="828" w:type="pct"/>
          </w:tcPr>
          <w:p w14:paraId="3DB2305C" w14:textId="77777777" w:rsidR="00952285" w:rsidRPr="00906E09" w:rsidRDefault="00952285" w:rsidP="00EC0573">
            <w:pPr>
              <w:pStyle w:val="TableText"/>
            </w:pPr>
            <w:r>
              <w:t>Echo Glen (n=34)</w:t>
            </w:r>
          </w:p>
        </w:tc>
        <w:tc>
          <w:tcPr>
            <w:tcW w:w="464" w:type="pct"/>
          </w:tcPr>
          <w:p w14:paraId="77F5FE0E" w14:textId="77777777" w:rsidR="00952285" w:rsidRPr="00832385" w:rsidRDefault="00952285" w:rsidP="00EC0573">
            <w:pPr>
              <w:pStyle w:val="tabletextcenter"/>
            </w:pPr>
            <w:r w:rsidRPr="005F6931">
              <w:t>23.5%</w:t>
            </w:r>
          </w:p>
        </w:tc>
        <w:tc>
          <w:tcPr>
            <w:tcW w:w="613" w:type="pct"/>
          </w:tcPr>
          <w:p w14:paraId="3320479D" w14:textId="77777777" w:rsidR="00952285" w:rsidRPr="00332BC4" w:rsidRDefault="00952285" w:rsidP="00EC0573">
            <w:pPr>
              <w:pStyle w:val="tabletextcenter"/>
            </w:pPr>
            <w:r w:rsidRPr="000A0A01">
              <w:t>2.9%</w:t>
            </w:r>
          </w:p>
        </w:tc>
        <w:tc>
          <w:tcPr>
            <w:tcW w:w="554" w:type="pct"/>
          </w:tcPr>
          <w:p w14:paraId="7868147E" w14:textId="77777777" w:rsidR="00952285" w:rsidRPr="00DE1991" w:rsidRDefault="00952285" w:rsidP="00EC0573">
            <w:pPr>
              <w:pStyle w:val="tabletextcenter"/>
            </w:pPr>
            <w:r w:rsidRPr="00FC7CD1">
              <w:t>0.0%</w:t>
            </w:r>
          </w:p>
        </w:tc>
        <w:tc>
          <w:tcPr>
            <w:tcW w:w="786" w:type="pct"/>
          </w:tcPr>
          <w:p w14:paraId="4BE72A65" w14:textId="77777777" w:rsidR="00952285" w:rsidRPr="00D2306F" w:rsidRDefault="00952285" w:rsidP="00EC0573">
            <w:pPr>
              <w:pStyle w:val="tabletextcenter"/>
            </w:pPr>
            <w:r w:rsidRPr="00BD49CD">
              <w:t>0.0%</w:t>
            </w:r>
          </w:p>
        </w:tc>
        <w:tc>
          <w:tcPr>
            <w:tcW w:w="624" w:type="pct"/>
          </w:tcPr>
          <w:p w14:paraId="7E525202" w14:textId="77777777" w:rsidR="00952285" w:rsidRPr="00740D84" w:rsidRDefault="00952285" w:rsidP="00EC0573">
            <w:pPr>
              <w:pStyle w:val="tabletextcenter"/>
            </w:pPr>
            <w:r w:rsidRPr="00B5741C">
              <w:t>50.0%</w:t>
            </w:r>
          </w:p>
        </w:tc>
        <w:tc>
          <w:tcPr>
            <w:tcW w:w="741" w:type="pct"/>
          </w:tcPr>
          <w:p w14:paraId="37211774" w14:textId="77777777" w:rsidR="00952285" w:rsidRPr="009F13FE" w:rsidRDefault="00952285" w:rsidP="00EC0573">
            <w:pPr>
              <w:pStyle w:val="tabletextcenter"/>
            </w:pPr>
            <w:r w:rsidRPr="00ED7D87">
              <w:t>0.0%</w:t>
            </w:r>
          </w:p>
        </w:tc>
        <w:tc>
          <w:tcPr>
            <w:tcW w:w="390" w:type="pct"/>
          </w:tcPr>
          <w:p w14:paraId="0B8D9962" w14:textId="77777777" w:rsidR="00952285" w:rsidRPr="00E552DA" w:rsidRDefault="00952285" w:rsidP="00EC0573">
            <w:pPr>
              <w:pStyle w:val="tabletextcenter"/>
            </w:pPr>
            <w:r w:rsidRPr="00015DFE">
              <w:t>23.</w:t>
            </w:r>
            <w:r w:rsidR="00A84D38">
              <w:t>6</w:t>
            </w:r>
            <w:r w:rsidRPr="00015DFE">
              <w:t>%</w:t>
            </w:r>
          </w:p>
        </w:tc>
      </w:tr>
      <w:tr w:rsidR="00952285" w:rsidRPr="00CD1826" w14:paraId="7BC5E92F" w14:textId="77777777" w:rsidTr="00A84D38">
        <w:trPr>
          <w:cnfStyle w:val="000000100000" w:firstRow="0" w:lastRow="0" w:firstColumn="0" w:lastColumn="0" w:oddVBand="0" w:evenVBand="0" w:oddHBand="1" w:evenHBand="0" w:firstRowFirstColumn="0" w:firstRowLastColumn="0" w:lastRowFirstColumn="0" w:lastRowLastColumn="0"/>
        </w:trPr>
        <w:tc>
          <w:tcPr>
            <w:tcW w:w="828" w:type="pct"/>
          </w:tcPr>
          <w:p w14:paraId="4589A373" w14:textId="77777777" w:rsidR="00952285" w:rsidRPr="00906E09" w:rsidRDefault="00952285" w:rsidP="00EC0573">
            <w:pPr>
              <w:pStyle w:val="TableText"/>
            </w:pPr>
            <w:r>
              <w:t>Green Hill (n=75)</w:t>
            </w:r>
          </w:p>
        </w:tc>
        <w:tc>
          <w:tcPr>
            <w:tcW w:w="464" w:type="pct"/>
          </w:tcPr>
          <w:p w14:paraId="4C504CFE" w14:textId="77777777" w:rsidR="00952285" w:rsidRPr="00832385" w:rsidRDefault="00952285" w:rsidP="00EC0573">
            <w:pPr>
              <w:pStyle w:val="tabletextcenter"/>
            </w:pPr>
            <w:r w:rsidRPr="005F6931">
              <w:t>41.3%</w:t>
            </w:r>
          </w:p>
        </w:tc>
        <w:tc>
          <w:tcPr>
            <w:tcW w:w="613" w:type="pct"/>
          </w:tcPr>
          <w:p w14:paraId="3FA67A6D" w14:textId="77777777" w:rsidR="00952285" w:rsidRPr="00332BC4" w:rsidRDefault="00952285" w:rsidP="00EC0573">
            <w:pPr>
              <w:pStyle w:val="tabletextcenter"/>
            </w:pPr>
            <w:r w:rsidRPr="000A0A01">
              <w:t>1.3%</w:t>
            </w:r>
          </w:p>
        </w:tc>
        <w:tc>
          <w:tcPr>
            <w:tcW w:w="554" w:type="pct"/>
          </w:tcPr>
          <w:p w14:paraId="70B36C61" w14:textId="77777777" w:rsidR="00952285" w:rsidRPr="00DE1991" w:rsidRDefault="00952285" w:rsidP="00EC0573">
            <w:pPr>
              <w:pStyle w:val="tabletextcenter"/>
            </w:pPr>
            <w:r w:rsidRPr="00FC7CD1">
              <w:t>2.7%</w:t>
            </w:r>
          </w:p>
        </w:tc>
        <w:tc>
          <w:tcPr>
            <w:tcW w:w="786" w:type="pct"/>
          </w:tcPr>
          <w:p w14:paraId="2E51BBB4" w14:textId="77777777" w:rsidR="00952285" w:rsidRPr="00D2306F" w:rsidRDefault="00952285" w:rsidP="00EC0573">
            <w:pPr>
              <w:pStyle w:val="tabletextcenter"/>
            </w:pPr>
            <w:r w:rsidRPr="00BD49CD">
              <w:t>1.3%</w:t>
            </w:r>
          </w:p>
        </w:tc>
        <w:tc>
          <w:tcPr>
            <w:tcW w:w="624" w:type="pct"/>
          </w:tcPr>
          <w:p w14:paraId="109AA29D" w14:textId="77777777" w:rsidR="00952285" w:rsidRPr="00740D84" w:rsidRDefault="00952285" w:rsidP="00EC0573">
            <w:pPr>
              <w:pStyle w:val="tabletextcenter"/>
            </w:pPr>
            <w:r w:rsidRPr="00B5741C">
              <w:t>29.3%</w:t>
            </w:r>
          </w:p>
        </w:tc>
        <w:tc>
          <w:tcPr>
            <w:tcW w:w="741" w:type="pct"/>
          </w:tcPr>
          <w:p w14:paraId="175D19AF" w14:textId="77777777" w:rsidR="00952285" w:rsidRPr="009F13FE" w:rsidRDefault="00952285" w:rsidP="00EC0573">
            <w:pPr>
              <w:pStyle w:val="tabletextcenter"/>
            </w:pPr>
            <w:r w:rsidRPr="00ED7D87">
              <w:t>8.0%</w:t>
            </w:r>
          </w:p>
        </w:tc>
        <w:tc>
          <w:tcPr>
            <w:tcW w:w="390" w:type="pct"/>
          </w:tcPr>
          <w:p w14:paraId="69AF0E56" w14:textId="77777777" w:rsidR="00952285" w:rsidRPr="00E552DA" w:rsidRDefault="00952285" w:rsidP="00EC0573">
            <w:pPr>
              <w:pStyle w:val="tabletextcenter"/>
            </w:pPr>
            <w:r w:rsidRPr="00015DFE">
              <w:t>16.</w:t>
            </w:r>
            <w:r w:rsidR="00A84D38">
              <w:t>1</w:t>
            </w:r>
            <w:r w:rsidRPr="00015DFE">
              <w:t>%</w:t>
            </w:r>
          </w:p>
        </w:tc>
      </w:tr>
      <w:tr w:rsidR="00952285" w:rsidRPr="00CD1826" w14:paraId="3A1EEB41" w14:textId="77777777" w:rsidTr="00A84D38">
        <w:tc>
          <w:tcPr>
            <w:tcW w:w="828" w:type="pct"/>
          </w:tcPr>
          <w:p w14:paraId="728F9826" w14:textId="77777777" w:rsidR="00952285" w:rsidRPr="00906E09" w:rsidRDefault="00952285" w:rsidP="00EC0573">
            <w:pPr>
              <w:pStyle w:val="TableText"/>
            </w:pPr>
            <w:r>
              <w:t>Naselle (n=31)</w:t>
            </w:r>
          </w:p>
        </w:tc>
        <w:tc>
          <w:tcPr>
            <w:tcW w:w="464" w:type="pct"/>
          </w:tcPr>
          <w:p w14:paraId="09CCCF30" w14:textId="77777777" w:rsidR="00952285" w:rsidRDefault="00952285" w:rsidP="00EC0573">
            <w:pPr>
              <w:pStyle w:val="tabletextcenter"/>
            </w:pPr>
            <w:r w:rsidRPr="005F6931">
              <w:t>29.0%</w:t>
            </w:r>
          </w:p>
        </w:tc>
        <w:tc>
          <w:tcPr>
            <w:tcW w:w="613" w:type="pct"/>
          </w:tcPr>
          <w:p w14:paraId="11350EC6" w14:textId="77777777" w:rsidR="00952285" w:rsidRDefault="00952285" w:rsidP="00EC0573">
            <w:pPr>
              <w:pStyle w:val="tabletextcenter"/>
            </w:pPr>
            <w:r w:rsidRPr="000A0A01">
              <w:t>0.0%</w:t>
            </w:r>
          </w:p>
        </w:tc>
        <w:tc>
          <w:tcPr>
            <w:tcW w:w="554" w:type="pct"/>
          </w:tcPr>
          <w:p w14:paraId="3B848D75" w14:textId="77777777" w:rsidR="00952285" w:rsidRDefault="00952285" w:rsidP="00EC0573">
            <w:pPr>
              <w:pStyle w:val="tabletextcenter"/>
            </w:pPr>
            <w:r w:rsidRPr="00FC7CD1">
              <w:t>3.2%</w:t>
            </w:r>
          </w:p>
        </w:tc>
        <w:tc>
          <w:tcPr>
            <w:tcW w:w="786" w:type="pct"/>
          </w:tcPr>
          <w:p w14:paraId="67339EF0" w14:textId="77777777" w:rsidR="00952285" w:rsidRPr="00CD1826" w:rsidRDefault="00952285" w:rsidP="00EC0573">
            <w:pPr>
              <w:pStyle w:val="tabletextcenter"/>
            </w:pPr>
            <w:r w:rsidRPr="00BD49CD">
              <w:t>0.0%</w:t>
            </w:r>
          </w:p>
        </w:tc>
        <w:tc>
          <w:tcPr>
            <w:tcW w:w="624" w:type="pct"/>
          </w:tcPr>
          <w:p w14:paraId="42654A6F" w14:textId="77777777" w:rsidR="00952285" w:rsidRPr="00CD1826" w:rsidRDefault="00952285" w:rsidP="00EC0573">
            <w:pPr>
              <w:pStyle w:val="tabletextcenter"/>
            </w:pPr>
            <w:r w:rsidRPr="00B5741C">
              <w:t>22.6%</w:t>
            </w:r>
          </w:p>
        </w:tc>
        <w:tc>
          <w:tcPr>
            <w:tcW w:w="741" w:type="pct"/>
          </w:tcPr>
          <w:p w14:paraId="42E557B8" w14:textId="77777777" w:rsidR="00952285" w:rsidRPr="00CD1826" w:rsidRDefault="00952285" w:rsidP="00EC0573">
            <w:pPr>
              <w:pStyle w:val="tabletextcenter"/>
            </w:pPr>
            <w:r w:rsidRPr="00ED7D87">
              <w:t>19.4%</w:t>
            </w:r>
          </w:p>
        </w:tc>
        <w:tc>
          <w:tcPr>
            <w:tcW w:w="390" w:type="pct"/>
          </w:tcPr>
          <w:p w14:paraId="73630E0D" w14:textId="77777777" w:rsidR="00952285" w:rsidRPr="00CD1826" w:rsidRDefault="00952285" w:rsidP="00EC0573">
            <w:pPr>
              <w:pStyle w:val="tabletextcenter"/>
            </w:pPr>
            <w:r w:rsidRPr="00015DFE">
              <w:t>25.8%</w:t>
            </w:r>
          </w:p>
        </w:tc>
      </w:tr>
      <w:tr w:rsidR="00952285" w:rsidRPr="00CD1826" w14:paraId="6A62302F" w14:textId="77777777" w:rsidTr="00A84D38">
        <w:trPr>
          <w:cnfStyle w:val="000000100000" w:firstRow="0" w:lastRow="0" w:firstColumn="0" w:lastColumn="0" w:oddVBand="0" w:evenVBand="0" w:oddHBand="1" w:evenHBand="0" w:firstRowFirstColumn="0" w:firstRowLastColumn="0" w:lastRowFirstColumn="0" w:lastRowLastColumn="0"/>
        </w:trPr>
        <w:tc>
          <w:tcPr>
            <w:tcW w:w="828" w:type="pct"/>
          </w:tcPr>
          <w:p w14:paraId="4F33F10F" w14:textId="77777777" w:rsidR="00952285" w:rsidRPr="00906E09" w:rsidRDefault="00952285" w:rsidP="00EC0573">
            <w:pPr>
              <w:pStyle w:val="TableText"/>
            </w:pPr>
            <w:r>
              <w:t>Community Facilities (n=35)</w:t>
            </w:r>
          </w:p>
        </w:tc>
        <w:tc>
          <w:tcPr>
            <w:tcW w:w="464" w:type="pct"/>
          </w:tcPr>
          <w:p w14:paraId="16B39B20" w14:textId="77777777" w:rsidR="00952285" w:rsidRDefault="00952285" w:rsidP="00EC0573">
            <w:pPr>
              <w:pStyle w:val="tabletextcenter"/>
            </w:pPr>
            <w:r w:rsidRPr="005F6931">
              <w:t>31.4%</w:t>
            </w:r>
          </w:p>
        </w:tc>
        <w:tc>
          <w:tcPr>
            <w:tcW w:w="613" w:type="pct"/>
          </w:tcPr>
          <w:p w14:paraId="0352E9D4" w14:textId="77777777" w:rsidR="00952285" w:rsidRDefault="00952285" w:rsidP="00EC0573">
            <w:pPr>
              <w:pStyle w:val="tabletextcenter"/>
            </w:pPr>
            <w:r w:rsidRPr="000A0A01">
              <w:t>0.0%</w:t>
            </w:r>
          </w:p>
        </w:tc>
        <w:tc>
          <w:tcPr>
            <w:tcW w:w="554" w:type="pct"/>
          </w:tcPr>
          <w:p w14:paraId="1EE11D45" w14:textId="77777777" w:rsidR="00952285" w:rsidRDefault="00952285" w:rsidP="00EC0573">
            <w:pPr>
              <w:pStyle w:val="tabletextcenter"/>
            </w:pPr>
            <w:r w:rsidRPr="00FC7CD1">
              <w:t>0.0%</w:t>
            </w:r>
          </w:p>
        </w:tc>
        <w:tc>
          <w:tcPr>
            <w:tcW w:w="786" w:type="pct"/>
          </w:tcPr>
          <w:p w14:paraId="3D2C9CD6" w14:textId="77777777" w:rsidR="00952285" w:rsidRPr="00CD1826" w:rsidRDefault="00952285" w:rsidP="00EC0573">
            <w:pPr>
              <w:pStyle w:val="tabletextcenter"/>
            </w:pPr>
            <w:r w:rsidRPr="00BD49CD">
              <w:t>2.9%</w:t>
            </w:r>
          </w:p>
        </w:tc>
        <w:tc>
          <w:tcPr>
            <w:tcW w:w="624" w:type="pct"/>
          </w:tcPr>
          <w:p w14:paraId="73899422" w14:textId="77777777" w:rsidR="00952285" w:rsidRPr="00CD1826" w:rsidRDefault="00952285" w:rsidP="00EC0573">
            <w:pPr>
              <w:pStyle w:val="tabletextcenter"/>
            </w:pPr>
            <w:r w:rsidRPr="00B5741C">
              <w:t>31.4%</w:t>
            </w:r>
          </w:p>
        </w:tc>
        <w:tc>
          <w:tcPr>
            <w:tcW w:w="741" w:type="pct"/>
          </w:tcPr>
          <w:p w14:paraId="0004C6C1" w14:textId="77777777" w:rsidR="00952285" w:rsidRPr="00CD1826" w:rsidRDefault="00952285" w:rsidP="00EC0573">
            <w:pPr>
              <w:pStyle w:val="tabletextcenter"/>
            </w:pPr>
            <w:r w:rsidRPr="00ED7D87">
              <w:t>25.7%</w:t>
            </w:r>
          </w:p>
        </w:tc>
        <w:tc>
          <w:tcPr>
            <w:tcW w:w="390" w:type="pct"/>
          </w:tcPr>
          <w:p w14:paraId="52498AE4" w14:textId="77777777" w:rsidR="00952285" w:rsidRPr="00CD1826" w:rsidRDefault="00952285" w:rsidP="00EC0573">
            <w:pPr>
              <w:pStyle w:val="tabletextcenter"/>
            </w:pPr>
            <w:r w:rsidRPr="00015DFE">
              <w:t>8.6%</w:t>
            </w:r>
          </w:p>
        </w:tc>
      </w:tr>
    </w:tbl>
    <w:p w14:paraId="53DF5D3B" w14:textId="77777777" w:rsidR="00A84D38" w:rsidRPr="00256CC5" w:rsidRDefault="00A84D38" w:rsidP="00A84D38">
      <w:pPr>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3B087853" w14:textId="77777777" w:rsidR="0029266D" w:rsidRDefault="007A5F0A" w:rsidP="0029266D">
      <w:r>
        <w:t xml:space="preserve">HRD is responsible for conducting </w:t>
      </w:r>
      <w:r w:rsidR="0086489A">
        <w:t>the initial review to determine if applicants meet the minimum qualifications. There is no formal format for review. Rather, staff review applications to determine if the applicant has all the required qualifications listed in the State of Washington Classification Specification for the particular position posted. While there is no specific staff person assigned to JR, HRD does have staff that can provide support in recruitment and selection of new staff.</w:t>
      </w:r>
      <w:r w:rsidR="00952285">
        <w:rPr>
          <w:rStyle w:val="FootnoteReference"/>
        </w:rPr>
        <w:footnoteReference w:id="126"/>
      </w:r>
    </w:p>
    <w:p w14:paraId="4EFCE477" w14:textId="77777777" w:rsidR="00C7049E" w:rsidRDefault="00F021C0" w:rsidP="0029266D">
      <w:r>
        <w:t xml:space="preserve">At each facility, superintendents and administrators indicated they </w:t>
      </w:r>
      <w:r w:rsidR="00A84D38">
        <w:t xml:space="preserve">experience </w:t>
      </w:r>
      <w:r>
        <w:t>significant difficulty in</w:t>
      </w:r>
      <w:r w:rsidR="00CE75F0">
        <w:t xml:space="preserve"> </w:t>
      </w:r>
      <w:r>
        <w:t xml:space="preserve">finding and retaining qualified staff for all vacant positions. Leadership indicated </w:t>
      </w:r>
      <w:r w:rsidR="00861FD3">
        <w:t xml:space="preserve">  </w:t>
      </w:r>
      <w:r>
        <w:t>both recruiting staff and turnover rates were serious problems.</w:t>
      </w:r>
      <w:r w:rsidR="00CE75F0">
        <w:t xml:space="preserve"> </w:t>
      </w:r>
      <w:r>
        <w:t>R</w:t>
      </w:r>
      <w:r w:rsidR="00C7049E">
        <w:t>easons as to why they believe it is</w:t>
      </w:r>
      <w:r>
        <w:t xml:space="preserve"> so difficult to recruit staff </w:t>
      </w:r>
      <w:r w:rsidR="00C7049E">
        <w:t>included:</w:t>
      </w:r>
    </w:p>
    <w:p w14:paraId="56D57AAD" w14:textId="77777777" w:rsidR="00C7049E" w:rsidRDefault="00C7049E" w:rsidP="001D7D7E">
      <w:pPr>
        <w:pStyle w:val="ListBullet"/>
      </w:pPr>
      <w:r>
        <w:t xml:space="preserve">Salary is so low and does not </w:t>
      </w:r>
      <w:r w:rsidR="00A84D38">
        <w:t xml:space="preserve">meet </w:t>
      </w:r>
      <w:r>
        <w:t>the cost of living</w:t>
      </w:r>
      <w:r w:rsidR="00A84D38">
        <w:t>;</w:t>
      </w:r>
    </w:p>
    <w:p w14:paraId="56D029B2" w14:textId="77777777" w:rsidR="00F021C0" w:rsidRDefault="00F021C0" w:rsidP="001D7D7E">
      <w:pPr>
        <w:pStyle w:val="ListBullet"/>
      </w:pPr>
      <w:r>
        <w:lastRenderedPageBreak/>
        <w:t>Salary compared to other similar positions is low</w:t>
      </w:r>
      <w:r w:rsidR="00A84D38">
        <w:t>;</w:t>
      </w:r>
    </w:p>
    <w:p w14:paraId="0ADC6C42" w14:textId="77777777" w:rsidR="001A4278" w:rsidRDefault="001A4278" w:rsidP="001D7D7E">
      <w:pPr>
        <w:pStyle w:val="ListBullet"/>
      </w:pPr>
      <w:r>
        <w:t>The level of violence and verbal aggression staff have to deal with</w:t>
      </w:r>
      <w:r w:rsidR="00A84D38">
        <w:t>;</w:t>
      </w:r>
    </w:p>
    <w:p w14:paraId="4531C43E" w14:textId="77777777" w:rsidR="00C7049E" w:rsidRDefault="00C7049E" w:rsidP="001D7D7E">
      <w:pPr>
        <w:pStyle w:val="ListBullet"/>
      </w:pPr>
      <w:r>
        <w:t>Remote location</w:t>
      </w:r>
      <w:r w:rsidR="00A84D38">
        <w:t>;</w:t>
      </w:r>
    </w:p>
    <w:p w14:paraId="21425511" w14:textId="77777777" w:rsidR="00CE75F0" w:rsidRDefault="00CE75F0" w:rsidP="001D7D7E">
      <w:pPr>
        <w:pStyle w:val="ListBullet"/>
      </w:pPr>
      <w:r>
        <w:t>Challenging hours</w:t>
      </w:r>
      <w:r w:rsidR="00A84D38">
        <w:t>;</w:t>
      </w:r>
    </w:p>
    <w:p w14:paraId="08C63F27" w14:textId="77777777" w:rsidR="00A65ABF" w:rsidRDefault="00C7049E" w:rsidP="001D7D7E">
      <w:pPr>
        <w:pStyle w:val="ListBullet"/>
      </w:pPr>
      <w:r>
        <w:t>No incentives to cover the costs of commuting</w:t>
      </w:r>
      <w:r w:rsidR="00A84D38">
        <w:t>;</w:t>
      </w:r>
    </w:p>
    <w:p w14:paraId="387163B4" w14:textId="77777777" w:rsidR="00CE75F0" w:rsidRDefault="00CE75F0" w:rsidP="001D7D7E">
      <w:pPr>
        <w:pStyle w:val="ListBullet"/>
      </w:pPr>
      <w:r>
        <w:t>Labor market issues such as low unemployment rates</w:t>
      </w:r>
      <w:r w:rsidR="00A84D38">
        <w:t>; and</w:t>
      </w:r>
    </w:p>
    <w:p w14:paraId="710AD47E" w14:textId="77777777" w:rsidR="00202384" w:rsidRDefault="00202384" w:rsidP="001D7D7E">
      <w:pPr>
        <w:pStyle w:val="ListBullet"/>
      </w:pPr>
      <w:r>
        <w:t>There is not adequate time or money to train staff so that they can feel competent in their positions</w:t>
      </w:r>
      <w:r w:rsidR="00A84D38">
        <w:t>.</w:t>
      </w:r>
    </w:p>
    <w:p w14:paraId="4786D963" w14:textId="77777777" w:rsidR="00202384" w:rsidRDefault="00202384" w:rsidP="001144F3">
      <w:pPr>
        <w:pStyle w:val="Heading3"/>
      </w:pPr>
      <w:bookmarkStart w:id="92" w:name="_Toc531597529"/>
      <w:r>
        <w:t xml:space="preserve">Job </w:t>
      </w:r>
      <w:r w:rsidR="00902855">
        <w:t>Requirement</w:t>
      </w:r>
      <w:r w:rsidR="00861D90">
        <w:t>s</w:t>
      </w:r>
      <w:bookmarkEnd w:id="92"/>
    </w:p>
    <w:p w14:paraId="1B4E8F4C" w14:textId="77777777" w:rsidR="00546B31" w:rsidRPr="00546B31" w:rsidRDefault="00546B31" w:rsidP="00546B31">
      <w:pPr>
        <w:pStyle w:val="PullQuote"/>
        <w:framePr w:wrap="around" w:hAnchor="page" w:x="7465" w:y="103"/>
      </w:pPr>
      <w:r w:rsidRPr="00546B31">
        <w:t>“I got out of my M</w:t>
      </w:r>
      <w:r w:rsidR="00862746">
        <w:t xml:space="preserve">asters of Social Work (MSW) </w:t>
      </w:r>
      <w:r w:rsidRPr="00546B31">
        <w:t>program, came here and had no ideas of what I was getting into. I never had a tour of the facility.”</w:t>
      </w:r>
    </w:p>
    <w:p w14:paraId="2FDC1267" w14:textId="77777777" w:rsidR="00546B31" w:rsidRDefault="00546B31" w:rsidP="00546B31">
      <w:pPr>
        <w:pStyle w:val="PullQuote"/>
        <w:framePr w:wrap="around" w:hAnchor="page" w:x="7465" w:y="103"/>
        <w:jc w:val="right"/>
      </w:pPr>
      <w:r>
        <w:t>— Counselor</w:t>
      </w:r>
    </w:p>
    <w:p w14:paraId="28BAD150" w14:textId="77777777" w:rsidR="00202384" w:rsidRDefault="00902855" w:rsidP="00202384">
      <w:r w:rsidRPr="00A84D38">
        <w:rPr>
          <w:rFonts w:eastAsia="Times New Roman"/>
          <w:color w:val="212121"/>
        </w:rPr>
        <w:t xml:space="preserve">Both the </w:t>
      </w:r>
      <w:r w:rsidRPr="00A84D38">
        <w:t xml:space="preserve">job title and description should accurately reflect the position an organization is seeking to fill. When a person is seeking a new job, they initially identify jobs to apply for based on the title of the position and then </w:t>
      </w:r>
      <w:r w:rsidR="00204220" w:rsidRPr="00A84D38">
        <w:t xml:space="preserve">they look at the job description. </w:t>
      </w:r>
      <w:r w:rsidRPr="00A84D38">
        <w:t xml:space="preserve">As shown in </w:t>
      </w:r>
      <w:r w:rsidR="00D4764C" w:rsidRPr="00A84D38">
        <w:t xml:space="preserve">Exhibit </w:t>
      </w:r>
      <w:r w:rsidR="005E430A">
        <w:t>5</w:t>
      </w:r>
      <w:r w:rsidR="00D4764C" w:rsidRPr="00A84D38">
        <w:t>-</w:t>
      </w:r>
      <w:r w:rsidR="00A05906">
        <w:t>36</w:t>
      </w:r>
      <w:r w:rsidRPr="00A84D38">
        <w:t xml:space="preserve">, </w:t>
      </w:r>
      <w:r w:rsidR="00A54015" w:rsidRPr="00A84D38">
        <w:t>less than half (44</w:t>
      </w:r>
      <w:r w:rsidR="00A84D38">
        <w:t>.0</w:t>
      </w:r>
      <w:r w:rsidRPr="00A84D38">
        <w:t>%</w:t>
      </w:r>
      <w:r w:rsidR="00A54015" w:rsidRPr="00A84D38">
        <w:t>)</w:t>
      </w:r>
      <w:r w:rsidRPr="00A84D38">
        <w:t xml:space="preserve"> of staff agreed</w:t>
      </w:r>
      <w:r w:rsidR="00A54015" w:rsidRPr="00A84D38">
        <w:t xml:space="preserve"> or strongly agreed</w:t>
      </w:r>
      <w:r w:rsidRPr="00A84D38">
        <w:t xml:space="preserve"> the position was fully and accurately described during the recruitment process. </w:t>
      </w:r>
      <w:r w:rsidR="00A54015" w:rsidRPr="00A84D38">
        <w:t>Fifty-six</w:t>
      </w:r>
      <w:r w:rsidRPr="00A84D38">
        <w:t xml:space="preserve"> percent</w:t>
      </w:r>
      <w:r w:rsidR="00A54015" w:rsidRPr="00A84D38">
        <w:t xml:space="preserve"> (56</w:t>
      </w:r>
      <w:r w:rsidR="00A84D38">
        <w:t>.0</w:t>
      </w:r>
      <w:r w:rsidR="00A54015" w:rsidRPr="00A84D38">
        <w:t>%</w:t>
      </w:r>
      <w:r w:rsidRPr="00A84D38">
        <w:t xml:space="preserve">) of staff </w:t>
      </w:r>
      <w:r w:rsidR="00A54015" w:rsidRPr="00A84D38">
        <w:t xml:space="preserve">strongly disagreed, </w:t>
      </w:r>
      <w:r w:rsidRPr="00A84D38">
        <w:t>disagreed or were neutral about whether their position was fully and accurately described.</w:t>
      </w:r>
      <w:r w:rsidR="00225D1D" w:rsidRPr="00A84D38">
        <w:t xml:space="preserve"> The community facilities overall are doing a better job than the institutions in describing the roles and responsibilities of direct services staff. Sixty percent</w:t>
      </w:r>
      <w:r w:rsidR="004962BA" w:rsidRPr="00A84D38">
        <w:t xml:space="preserve"> (60%)</w:t>
      </w:r>
      <w:r w:rsidR="00225D1D" w:rsidRPr="00A84D38">
        <w:t xml:space="preserve"> of staff of the community facilities indicated their position was fully and accurately describe during the recruitment and hiring process. For the three institutions, the</w:t>
      </w:r>
      <w:r w:rsidR="00DD03ED">
        <w:t xml:space="preserve"> percentage of staff indicating</w:t>
      </w:r>
      <w:r w:rsidR="00861FD3">
        <w:t xml:space="preserve"> </w:t>
      </w:r>
      <w:r w:rsidR="00225D1D" w:rsidRPr="00A84D38">
        <w:t>the job was fully and accurately desc</w:t>
      </w:r>
      <w:r w:rsidR="007C4B7B" w:rsidRPr="00A84D38">
        <w:t>ribed ranged from a low of 38.3</w:t>
      </w:r>
      <w:r w:rsidR="004962BA" w:rsidRPr="00A84D38">
        <w:t xml:space="preserve">% </w:t>
      </w:r>
      <w:r w:rsidR="00225D1D" w:rsidRPr="00A84D38">
        <w:t>at</w:t>
      </w:r>
      <w:r w:rsidR="007C4B7B" w:rsidRPr="00A84D38">
        <w:t xml:space="preserve"> Echo Glen to a high of 41.4</w:t>
      </w:r>
      <w:r w:rsidR="004962BA" w:rsidRPr="00A84D38">
        <w:t xml:space="preserve">% </w:t>
      </w:r>
      <w:r w:rsidR="00225D1D" w:rsidRPr="00A84D38">
        <w:t>at Green Hill.</w:t>
      </w:r>
    </w:p>
    <w:p w14:paraId="21FCA003" w14:textId="77777777" w:rsidR="00A54015" w:rsidRDefault="00D4764C" w:rsidP="00453B14">
      <w:pPr>
        <w:pStyle w:val="Caption"/>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36</w:t>
      </w:r>
      <w:r w:rsidR="00E251C1">
        <w:t>.</w:t>
      </w:r>
      <w:r w:rsidR="00453B14">
        <w:t xml:space="preserve"> </w:t>
      </w:r>
      <w:r w:rsidR="00A54015">
        <w:t>Position Described Accurately, by Facility</w:t>
      </w:r>
    </w:p>
    <w:tbl>
      <w:tblPr>
        <w:tblStyle w:val="HyzerTable"/>
        <w:tblW w:w="5000" w:type="pct"/>
        <w:tblLook w:val="0420" w:firstRow="1" w:lastRow="0" w:firstColumn="0" w:lastColumn="0" w:noHBand="0" w:noVBand="1"/>
      </w:tblPr>
      <w:tblGrid>
        <w:gridCol w:w="2482"/>
        <w:gridCol w:w="1376"/>
        <w:gridCol w:w="1376"/>
        <w:gridCol w:w="1376"/>
        <w:gridCol w:w="1376"/>
        <w:gridCol w:w="1374"/>
      </w:tblGrid>
      <w:tr w:rsidR="00A54015" w:rsidRPr="00CD1826" w14:paraId="34D9F921" w14:textId="77777777" w:rsidTr="004D04F4">
        <w:trPr>
          <w:cnfStyle w:val="100000000000" w:firstRow="1" w:lastRow="0" w:firstColumn="0" w:lastColumn="0" w:oddVBand="0" w:evenVBand="0" w:oddHBand="0" w:evenHBand="0" w:firstRowFirstColumn="0" w:firstRowLastColumn="0" w:lastRowFirstColumn="0" w:lastRowLastColumn="0"/>
          <w:trHeight w:val="645"/>
          <w:tblHeader/>
        </w:trPr>
        <w:tc>
          <w:tcPr>
            <w:tcW w:w="1326" w:type="pct"/>
            <w:tcBorders>
              <w:bottom w:val="single" w:sz="2" w:space="0" w:color="808080" w:themeColor="text1" w:themeTint="7F"/>
            </w:tcBorders>
            <w:vAlign w:val="center"/>
          </w:tcPr>
          <w:p w14:paraId="73936489" w14:textId="77777777" w:rsidR="00A54015" w:rsidRPr="00A84D38" w:rsidRDefault="00A54015" w:rsidP="004D04F4">
            <w:pPr>
              <w:pStyle w:val="tableheaderwhite"/>
              <w:spacing w:before="20" w:after="20"/>
              <w:jc w:val="left"/>
              <w:rPr>
                <w:sz w:val="22"/>
              </w:rPr>
            </w:pPr>
            <w:r w:rsidRPr="00A84D38">
              <w:rPr>
                <w:sz w:val="22"/>
              </w:rPr>
              <w:t>Facility</w:t>
            </w:r>
          </w:p>
        </w:tc>
        <w:tc>
          <w:tcPr>
            <w:tcW w:w="735" w:type="pct"/>
            <w:tcBorders>
              <w:bottom w:val="single" w:sz="2" w:space="0" w:color="808080" w:themeColor="text1" w:themeTint="7F"/>
            </w:tcBorders>
            <w:vAlign w:val="center"/>
          </w:tcPr>
          <w:p w14:paraId="7884C69D" w14:textId="77777777" w:rsidR="00A54015" w:rsidRPr="00A84D38" w:rsidRDefault="00A54015" w:rsidP="004D04F4">
            <w:pPr>
              <w:pStyle w:val="tableheaderwhite"/>
              <w:spacing w:before="20" w:after="20"/>
              <w:rPr>
                <w:sz w:val="22"/>
              </w:rPr>
            </w:pPr>
            <w:r w:rsidRPr="00A84D38">
              <w:rPr>
                <w:sz w:val="22"/>
              </w:rPr>
              <w:t>Strongly Disagree</w:t>
            </w:r>
          </w:p>
        </w:tc>
        <w:tc>
          <w:tcPr>
            <w:tcW w:w="735" w:type="pct"/>
            <w:tcBorders>
              <w:bottom w:val="single" w:sz="2" w:space="0" w:color="808080" w:themeColor="text1" w:themeTint="7F"/>
            </w:tcBorders>
            <w:vAlign w:val="center"/>
          </w:tcPr>
          <w:p w14:paraId="18C47624" w14:textId="77777777" w:rsidR="00A54015" w:rsidRPr="00A84D38" w:rsidRDefault="00A54015" w:rsidP="004D04F4">
            <w:pPr>
              <w:pStyle w:val="tableheaderwhite"/>
              <w:spacing w:before="20" w:after="20"/>
              <w:rPr>
                <w:sz w:val="22"/>
              </w:rPr>
            </w:pPr>
            <w:r w:rsidRPr="00A84D38">
              <w:rPr>
                <w:sz w:val="22"/>
              </w:rPr>
              <w:t>Disagree</w:t>
            </w:r>
          </w:p>
        </w:tc>
        <w:tc>
          <w:tcPr>
            <w:tcW w:w="735" w:type="pct"/>
            <w:tcBorders>
              <w:bottom w:val="single" w:sz="2" w:space="0" w:color="808080" w:themeColor="text1" w:themeTint="7F"/>
            </w:tcBorders>
            <w:vAlign w:val="center"/>
          </w:tcPr>
          <w:p w14:paraId="43F4F55B" w14:textId="77777777" w:rsidR="00A54015" w:rsidRPr="00A84D38" w:rsidRDefault="00A54015" w:rsidP="004D04F4">
            <w:pPr>
              <w:pStyle w:val="tableheaderwhite"/>
              <w:spacing w:before="20" w:after="20"/>
              <w:rPr>
                <w:sz w:val="22"/>
              </w:rPr>
            </w:pPr>
            <w:r w:rsidRPr="00A84D38">
              <w:rPr>
                <w:sz w:val="22"/>
              </w:rPr>
              <w:t>Neutral</w:t>
            </w:r>
          </w:p>
        </w:tc>
        <w:tc>
          <w:tcPr>
            <w:tcW w:w="735" w:type="pct"/>
            <w:tcBorders>
              <w:bottom w:val="single" w:sz="2" w:space="0" w:color="808080" w:themeColor="text1" w:themeTint="7F"/>
            </w:tcBorders>
            <w:vAlign w:val="center"/>
          </w:tcPr>
          <w:p w14:paraId="27757954" w14:textId="77777777" w:rsidR="00A54015" w:rsidRPr="00A84D38" w:rsidRDefault="00A54015" w:rsidP="004D04F4">
            <w:pPr>
              <w:pStyle w:val="tableheaderwhite"/>
              <w:spacing w:before="20" w:after="20"/>
              <w:rPr>
                <w:sz w:val="22"/>
              </w:rPr>
            </w:pPr>
            <w:r w:rsidRPr="00A84D38">
              <w:rPr>
                <w:sz w:val="22"/>
              </w:rPr>
              <w:t>Agree</w:t>
            </w:r>
          </w:p>
        </w:tc>
        <w:tc>
          <w:tcPr>
            <w:tcW w:w="735" w:type="pct"/>
            <w:tcBorders>
              <w:bottom w:val="single" w:sz="2" w:space="0" w:color="808080" w:themeColor="text1" w:themeTint="7F"/>
            </w:tcBorders>
            <w:vAlign w:val="center"/>
          </w:tcPr>
          <w:p w14:paraId="60BC5A1D" w14:textId="77777777" w:rsidR="00A54015" w:rsidRPr="00A84D38" w:rsidRDefault="00A54015" w:rsidP="004D04F4">
            <w:pPr>
              <w:pStyle w:val="tableheaderwhite"/>
              <w:spacing w:before="20" w:after="20"/>
              <w:rPr>
                <w:sz w:val="22"/>
              </w:rPr>
            </w:pPr>
            <w:r w:rsidRPr="00A84D38">
              <w:rPr>
                <w:sz w:val="22"/>
              </w:rPr>
              <w:t>Strongly Agree</w:t>
            </w:r>
          </w:p>
        </w:tc>
      </w:tr>
      <w:tr w:rsidR="00A54015" w:rsidRPr="00507F7B" w14:paraId="353FA4FB" w14:textId="77777777" w:rsidTr="004D04F4">
        <w:trPr>
          <w:cnfStyle w:val="000000100000" w:firstRow="0" w:lastRow="0" w:firstColumn="0" w:lastColumn="0" w:oddVBand="0" w:evenVBand="0" w:oddHBand="1" w:evenHBand="0" w:firstRowFirstColumn="0" w:firstRowLastColumn="0" w:lastRowFirstColumn="0" w:lastRowLastColumn="0"/>
        </w:trPr>
        <w:tc>
          <w:tcPr>
            <w:tcW w:w="1326" w:type="pct"/>
            <w:tcBorders>
              <w:top w:val="single" w:sz="2" w:space="0" w:color="808080" w:themeColor="text1" w:themeTint="7F"/>
            </w:tcBorders>
            <w:shd w:val="clear" w:color="auto" w:fill="A6A6A6" w:themeFill="background1" w:themeFillShade="A6"/>
          </w:tcPr>
          <w:p w14:paraId="293744BA" w14:textId="77777777" w:rsidR="00A54015" w:rsidRPr="00A84D38" w:rsidRDefault="00A54015" w:rsidP="00A84D38">
            <w:pPr>
              <w:pStyle w:val="TableBullet"/>
              <w:numPr>
                <w:ilvl w:val="0"/>
                <w:numId w:val="0"/>
              </w:numPr>
              <w:ind w:left="130" w:hanging="130"/>
              <w:rPr>
                <w:b/>
              </w:rPr>
            </w:pPr>
            <w:r w:rsidRPr="00A84D38">
              <w:rPr>
                <w:b/>
              </w:rPr>
              <w:t>JR (n=175)</w:t>
            </w:r>
          </w:p>
        </w:tc>
        <w:tc>
          <w:tcPr>
            <w:tcW w:w="735" w:type="pct"/>
            <w:tcBorders>
              <w:top w:val="single" w:sz="2" w:space="0" w:color="808080" w:themeColor="text1" w:themeTint="7F"/>
            </w:tcBorders>
            <w:shd w:val="clear" w:color="auto" w:fill="A6A6A6" w:themeFill="background1" w:themeFillShade="A6"/>
            <w:vAlign w:val="center"/>
          </w:tcPr>
          <w:p w14:paraId="48544FF6" w14:textId="77777777" w:rsidR="00A54015" w:rsidRPr="006E4003" w:rsidRDefault="00A54015" w:rsidP="00A54015">
            <w:pPr>
              <w:pStyle w:val="tabletextcenter"/>
              <w:rPr>
                <w:b/>
              </w:rPr>
            </w:pPr>
            <w:r w:rsidRPr="006E4003">
              <w:rPr>
                <w:b/>
              </w:rPr>
              <w:t>9.7%</w:t>
            </w:r>
          </w:p>
        </w:tc>
        <w:tc>
          <w:tcPr>
            <w:tcW w:w="735" w:type="pct"/>
            <w:tcBorders>
              <w:top w:val="single" w:sz="2" w:space="0" w:color="808080" w:themeColor="text1" w:themeTint="7F"/>
            </w:tcBorders>
            <w:shd w:val="clear" w:color="auto" w:fill="A6A6A6" w:themeFill="background1" w:themeFillShade="A6"/>
            <w:vAlign w:val="center"/>
          </w:tcPr>
          <w:p w14:paraId="658C79A4" w14:textId="77777777" w:rsidR="00A54015" w:rsidRPr="006E4003" w:rsidRDefault="00A54015" w:rsidP="00A54015">
            <w:pPr>
              <w:pStyle w:val="tabletextcenter"/>
              <w:rPr>
                <w:b/>
              </w:rPr>
            </w:pPr>
            <w:r w:rsidRPr="006E4003">
              <w:rPr>
                <w:b/>
              </w:rPr>
              <w:t>22.9%</w:t>
            </w:r>
          </w:p>
        </w:tc>
        <w:tc>
          <w:tcPr>
            <w:tcW w:w="735" w:type="pct"/>
            <w:tcBorders>
              <w:top w:val="single" w:sz="2" w:space="0" w:color="808080" w:themeColor="text1" w:themeTint="7F"/>
            </w:tcBorders>
            <w:shd w:val="clear" w:color="auto" w:fill="A6A6A6" w:themeFill="background1" w:themeFillShade="A6"/>
            <w:vAlign w:val="center"/>
          </w:tcPr>
          <w:p w14:paraId="59236A49" w14:textId="77777777" w:rsidR="00A54015" w:rsidRPr="006E4003" w:rsidRDefault="00A54015" w:rsidP="00A54015">
            <w:pPr>
              <w:pStyle w:val="tabletextcenter"/>
              <w:rPr>
                <w:b/>
              </w:rPr>
            </w:pPr>
            <w:r w:rsidRPr="006E4003">
              <w:rPr>
                <w:b/>
              </w:rPr>
              <w:t>23.4%</w:t>
            </w:r>
          </w:p>
        </w:tc>
        <w:tc>
          <w:tcPr>
            <w:tcW w:w="735" w:type="pct"/>
            <w:tcBorders>
              <w:top w:val="single" w:sz="2" w:space="0" w:color="808080" w:themeColor="text1" w:themeTint="7F"/>
            </w:tcBorders>
            <w:shd w:val="clear" w:color="auto" w:fill="A6A6A6" w:themeFill="background1" w:themeFillShade="A6"/>
            <w:vAlign w:val="center"/>
          </w:tcPr>
          <w:p w14:paraId="3EB146F7" w14:textId="77777777" w:rsidR="00A54015" w:rsidRPr="006E4003" w:rsidRDefault="00A54015" w:rsidP="00A54015">
            <w:pPr>
              <w:pStyle w:val="tabletextcenter"/>
              <w:rPr>
                <w:b/>
              </w:rPr>
            </w:pPr>
            <w:r w:rsidRPr="006E4003">
              <w:rPr>
                <w:b/>
              </w:rPr>
              <w:t>37.7%</w:t>
            </w:r>
          </w:p>
        </w:tc>
        <w:tc>
          <w:tcPr>
            <w:tcW w:w="735" w:type="pct"/>
            <w:tcBorders>
              <w:top w:val="single" w:sz="2" w:space="0" w:color="808080" w:themeColor="text1" w:themeTint="7F"/>
            </w:tcBorders>
            <w:shd w:val="clear" w:color="auto" w:fill="A6A6A6" w:themeFill="background1" w:themeFillShade="A6"/>
            <w:vAlign w:val="center"/>
          </w:tcPr>
          <w:p w14:paraId="31FC4068" w14:textId="77777777" w:rsidR="00A54015" w:rsidRPr="006E4003" w:rsidRDefault="00A54015" w:rsidP="00A54015">
            <w:pPr>
              <w:pStyle w:val="tabletextcenter"/>
              <w:rPr>
                <w:b/>
              </w:rPr>
            </w:pPr>
            <w:r w:rsidRPr="006E4003">
              <w:rPr>
                <w:b/>
              </w:rPr>
              <w:t>6.3%</w:t>
            </w:r>
          </w:p>
        </w:tc>
      </w:tr>
      <w:tr w:rsidR="00A54015" w:rsidRPr="00507F7B" w14:paraId="04E18796" w14:textId="77777777" w:rsidTr="004D04F4">
        <w:tc>
          <w:tcPr>
            <w:tcW w:w="1326" w:type="pct"/>
            <w:tcBorders>
              <w:top w:val="single" w:sz="2" w:space="0" w:color="808080" w:themeColor="text1" w:themeTint="7F"/>
            </w:tcBorders>
          </w:tcPr>
          <w:p w14:paraId="65A90ACC" w14:textId="77777777" w:rsidR="00A54015" w:rsidRPr="00745B42" w:rsidRDefault="00A54015" w:rsidP="00A84D38">
            <w:pPr>
              <w:pStyle w:val="TableBullet"/>
              <w:numPr>
                <w:ilvl w:val="0"/>
                <w:numId w:val="0"/>
              </w:numPr>
              <w:ind w:left="130" w:hanging="130"/>
            </w:pPr>
            <w:r w:rsidRPr="00745B42">
              <w:t>Echo Glen</w:t>
            </w:r>
            <w:r>
              <w:t xml:space="preserve"> (n=34)</w:t>
            </w:r>
          </w:p>
        </w:tc>
        <w:tc>
          <w:tcPr>
            <w:tcW w:w="735" w:type="pct"/>
            <w:tcBorders>
              <w:top w:val="single" w:sz="2" w:space="0" w:color="808080" w:themeColor="text1" w:themeTint="7F"/>
            </w:tcBorders>
            <w:vAlign w:val="center"/>
          </w:tcPr>
          <w:p w14:paraId="2110173E" w14:textId="77777777" w:rsidR="00A54015" w:rsidRPr="00507F7B" w:rsidRDefault="00A54015" w:rsidP="00A54015">
            <w:pPr>
              <w:pStyle w:val="tabletextcenter"/>
            </w:pPr>
            <w:r w:rsidRPr="007B3B1F">
              <w:t>11.8%</w:t>
            </w:r>
          </w:p>
        </w:tc>
        <w:tc>
          <w:tcPr>
            <w:tcW w:w="735" w:type="pct"/>
            <w:tcBorders>
              <w:top w:val="single" w:sz="2" w:space="0" w:color="808080" w:themeColor="text1" w:themeTint="7F"/>
            </w:tcBorders>
            <w:vAlign w:val="center"/>
          </w:tcPr>
          <w:p w14:paraId="015864EB" w14:textId="77777777" w:rsidR="00A54015" w:rsidRPr="00507F7B" w:rsidRDefault="00A54015" w:rsidP="00A54015">
            <w:pPr>
              <w:pStyle w:val="tabletextcenter"/>
            </w:pPr>
            <w:r w:rsidRPr="00837F4E">
              <w:t>23.5%</w:t>
            </w:r>
          </w:p>
        </w:tc>
        <w:tc>
          <w:tcPr>
            <w:tcW w:w="735" w:type="pct"/>
            <w:tcBorders>
              <w:top w:val="single" w:sz="2" w:space="0" w:color="808080" w:themeColor="text1" w:themeTint="7F"/>
            </w:tcBorders>
            <w:vAlign w:val="center"/>
          </w:tcPr>
          <w:p w14:paraId="3724321C" w14:textId="77777777" w:rsidR="00A54015" w:rsidRPr="00507F7B" w:rsidRDefault="00A54015" w:rsidP="00A54015">
            <w:pPr>
              <w:pStyle w:val="tabletextcenter"/>
            </w:pPr>
            <w:r w:rsidRPr="001F7402">
              <w:t>26.5%</w:t>
            </w:r>
          </w:p>
        </w:tc>
        <w:tc>
          <w:tcPr>
            <w:tcW w:w="735" w:type="pct"/>
            <w:tcBorders>
              <w:top w:val="single" w:sz="2" w:space="0" w:color="808080" w:themeColor="text1" w:themeTint="7F"/>
            </w:tcBorders>
            <w:vAlign w:val="center"/>
          </w:tcPr>
          <w:p w14:paraId="02A3327F" w14:textId="77777777" w:rsidR="00A54015" w:rsidRPr="00507F7B" w:rsidRDefault="00A54015" w:rsidP="00A54015">
            <w:pPr>
              <w:pStyle w:val="tabletextcenter"/>
            </w:pPr>
            <w:r w:rsidRPr="00743C7F">
              <w:t>32.4%</w:t>
            </w:r>
          </w:p>
        </w:tc>
        <w:tc>
          <w:tcPr>
            <w:tcW w:w="735" w:type="pct"/>
            <w:tcBorders>
              <w:top w:val="single" w:sz="2" w:space="0" w:color="808080" w:themeColor="text1" w:themeTint="7F"/>
            </w:tcBorders>
            <w:vAlign w:val="center"/>
          </w:tcPr>
          <w:p w14:paraId="49D4D44E" w14:textId="77777777" w:rsidR="00A54015" w:rsidRPr="00507F7B" w:rsidRDefault="00A54015" w:rsidP="00A54015">
            <w:pPr>
              <w:pStyle w:val="tabletextcenter"/>
              <w:rPr>
                <w:b/>
              </w:rPr>
            </w:pPr>
            <w:r w:rsidRPr="00F656DE">
              <w:t>5.9%</w:t>
            </w:r>
          </w:p>
        </w:tc>
      </w:tr>
      <w:tr w:rsidR="00A54015" w:rsidRPr="00CD1826" w14:paraId="734FB848" w14:textId="77777777" w:rsidTr="004D04F4">
        <w:trPr>
          <w:cnfStyle w:val="000000100000" w:firstRow="0" w:lastRow="0" w:firstColumn="0" w:lastColumn="0" w:oddVBand="0" w:evenVBand="0" w:oddHBand="1" w:evenHBand="0" w:firstRowFirstColumn="0" w:firstRowLastColumn="0" w:lastRowFirstColumn="0" w:lastRowLastColumn="0"/>
        </w:trPr>
        <w:tc>
          <w:tcPr>
            <w:tcW w:w="1326" w:type="pct"/>
            <w:tcBorders>
              <w:bottom w:val="single" w:sz="2" w:space="0" w:color="808080" w:themeColor="text1" w:themeTint="7F"/>
            </w:tcBorders>
          </w:tcPr>
          <w:p w14:paraId="5B1B4867" w14:textId="77777777" w:rsidR="00A54015" w:rsidRPr="00745B42" w:rsidRDefault="00A54015" w:rsidP="00A84D38">
            <w:pPr>
              <w:pStyle w:val="TableBullet"/>
              <w:numPr>
                <w:ilvl w:val="0"/>
                <w:numId w:val="0"/>
              </w:numPr>
              <w:ind w:left="130" w:hanging="130"/>
            </w:pPr>
            <w:r w:rsidRPr="00745B42">
              <w:t>Green Hill</w:t>
            </w:r>
            <w:r>
              <w:t xml:space="preserve"> (n=75)</w:t>
            </w:r>
          </w:p>
        </w:tc>
        <w:tc>
          <w:tcPr>
            <w:tcW w:w="735" w:type="pct"/>
            <w:tcBorders>
              <w:bottom w:val="single" w:sz="2" w:space="0" w:color="808080" w:themeColor="text1" w:themeTint="7F"/>
            </w:tcBorders>
            <w:vAlign w:val="center"/>
          </w:tcPr>
          <w:p w14:paraId="40B57920" w14:textId="77777777" w:rsidR="00A54015" w:rsidRPr="006D322C" w:rsidRDefault="00A54015" w:rsidP="00A54015">
            <w:pPr>
              <w:pStyle w:val="tabletextcenter"/>
            </w:pPr>
            <w:r w:rsidRPr="007B3B1F">
              <w:t>12.0%</w:t>
            </w:r>
          </w:p>
        </w:tc>
        <w:tc>
          <w:tcPr>
            <w:tcW w:w="735" w:type="pct"/>
            <w:tcBorders>
              <w:bottom w:val="single" w:sz="2" w:space="0" w:color="808080" w:themeColor="text1" w:themeTint="7F"/>
            </w:tcBorders>
            <w:vAlign w:val="center"/>
          </w:tcPr>
          <w:p w14:paraId="0CF49513" w14:textId="77777777" w:rsidR="00A54015" w:rsidRPr="006D322C" w:rsidRDefault="00A54015" w:rsidP="00A54015">
            <w:pPr>
              <w:pStyle w:val="tabletextcenter"/>
            </w:pPr>
            <w:r w:rsidRPr="00837F4E">
              <w:t>25.3%</w:t>
            </w:r>
          </w:p>
        </w:tc>
        <w:tc>
          <w:tcPr>
            <w:tcW w:w="735" w:type="pct"/>
            <w:tcBorders>
              <w:bottom w:val="single" w:sz="2" w:space="0" w:color="808080" w:themeColor="text1" w:themeTint="7F"/>
            </w:tcBorders>
            <w:vAlign w:val="center"/>
          </w:tcPr>
          <w:p w14:paraId="1E07A237" w14:textId="77777777" w:rsidR="00A54015" w:rsidRPr="006D322C" w:rsidRDefault="00A54015" w:rsidP="00A54015">
            <w:pPr>
              <w:pStyle w:val="tabletextcenter"/>
            </w:pPr>
            <w:r w:rsidRPr="001F7402">
              <w:t>21.3%</w:t>
            </w:r>
          </w:p>
        </w:tc>
        <w:tc>
          <w:tcPr>
            <w:tcW w:w="735" w:type="pct"/>
            <w:tcBorders>
              <w:bottom w:val="single" w:sz="2" w:space="0" w:color="808080" w:themeColor="text1" w:themeTint="7F"/>
            </w:tcBorders>
            <w:vAlign w:val="center"/>
          </w:tcPr>
          <w:p w14:paraId="25E6E72E" w14:textId="77777777" w:rsidR="00A54015" w:rsidRPr="006D322C" w:rsidRDefault="00A54015" w:rsidP="00A54015">
            <w:pPr>
              <w:pStyle w:val="tabletextcenter"/>
            </w:pPr>
            <w:r w:rsidRPr="00743C7F">
              <w:t>38.7%</w:t>
            </w:r>
          </w:p>
        </w:tc>
        <w:tc>
          <w:tcPr>
            <w:tcW w:w="735" w:type="pct"/>
            <w:tcBorders>
              <w:bottom w:val="single" w:sz="2" w:space="0" w:color="808080" w:themeColor="text1" w:themeTint="7F"/>
            </w:tcBorders>
            <w:vAlign w:val="center"/>
          </w:tcPr>
          <w:p w14:paraId="263FA954" w14:textId="77777777" w:rsidR="00A54015" w:rsidRPr="00CD1826" w:rsidRDefault="00A54015" w:rsidP="00A54015">
            <w:pPr>
              <w:pStyle w:val="tabletextcenter"/>
            </w:pPr>
            <w:r w:rsidRPr="00F656DE">
              <w:t>2.7%</w:t>
            </w:r>
          </w:p>
        </w:tc>
      </w:tr>
      <w:tr w:rsidR="00A54015" w:rsidRPr="00CD1826" w14:paraId="7FDE3284" w14:textId="77777777" w:rsidTr="004D04F4">
        <w:trPr>
          <w:trHeight w:val="265"/>
        </w:trPr>
        <w:tc>
          <w:tcPr>
            <w:tcW w:w="1326" w:type="pct"/>
            <w:tcBorders>
              <w:bottom w:val="single" w:sz="2" w:space="0" w:color="808080" w:themeColor="text1" w:themeTint="7F"/>
            </w:tcBorders>
          </w:tcPr>
          <w:p w14:paraId="545D87E8" w14:textId="77777777" w:rsidR="00A54015" w:rsidRPr="00745B42" w:rsidRDefault="00A54015" w:rsidP="00A54015">
            <w:pPr>
              <w:pStyle w:val="TableText"/>
            </w:pPr>
            <w:r w:rsidRPr="00745B42">
              <w:t>Naselle</w:t>
            </w:r>
            <w:r>
              <w:t xml:space="preserve"> (n=31)</w:t>
            </w:r>
          </w:p>
        </w:tc>
        <w:tc>
          <w:tcPr>
            <w:tcW w:w="735" w:type="pct"/>
            <w:tcBorders>
              <w:bottom w:val="single" w:sz="2" w:space="0" w:color="808080" w:themeColor="text1" w:themeTint="7F"/>
            </w:tcBorders>
            <w:vAlign w:val="center"/>
          </w:tcPr>
          <w:p w14:paraId="2333C2E6" w14:textId="77777777" w:rsidR="00A54015" w:rsidRDefault="00A54015" w:rsidP="00A54015">
            <w:pPr>
              <w:pStyle w:val="tabletextcenter"/>
            </w:pPr>
            <w:r w:rsidRPr="007B3B1F">
              <w:t>6.5%</w:t>
            </w:r>
          </w:p>
        </w:tc>
        <w:tc>
          <w:tcPr>
            <w:tcW w:w="735" w:type="pct"/>
            <w:tcBorders>
              <w:bottom w:val="single" w:sz="2" w:space="0" w:color="808080" w:themeColor="text1" w:themeTint="7F"/>
            </w:tcBorders>
            <w:vAlign w:val="center"/>
          </w:tcPr>
          <w:p w14:paraId="13C8AF73" w14:textId="77777777" w:rsidR="00A54015" w:rsidRDefault="00A54015" w:rsidP="00A54015">
            <w:pPr>
              <w:pStyle w:val="tabletextcenter"/>
            </w:pPr>
            <w:r w:rsidRPr="00837F4E">
              <w:t>32.3%</w:t>
            </w:r>
          </w:p>
        </w:tc>
        <w:tc>
          <w:tcPr>
            <w:tcW w:w="735" w:type="pct"/>
            <w:tcBorders>
              <w:bottom w:val="single" w:sz="2" w:space="0" w:color="808080" w:themeColor="text1" w:themeTint="7F"/>
            </w:tcBorders>
            <w:vAlign w:val="center"/>
          </w:tcPr>
          <w:p w14:paraId="14FF839B" w14:textId="77777777" w:rsidR="00A54015" w:rsidRDefault="00A54015" w:rsidP="00A54015">
            <w:pPr>
              <w:pStyle w:val="tabletextcenter"/>
            </w:pPr>
            <w:r w:rsidRPr="001F7402">
              <w:t>22.6%</w:t>
            </w:r>
          </w:p>
        </w:tc>
        <w:tc>
          <w:tcPr>
            <w:tcW w:w="735" w:type="pct"/>
            <w:tcBorders>
              <w:bottom w:val="single" w:sz="2" w:space="0" w:color="808080" w:themeColor="text1" w:themeTint="7F"/>
            </w:tcBorders>
            <w:vAlign w:val="center"/>
          </w:tcPr>
          <w:p w14:paraId="296886F5" w14:textId="77777777" w:rsidR="00A54015" w:rsidRPr="00CD1826" w:rsidRDefault="00A54015" w:rsidP="00A54015">
            <w:pPr>
              <w:pStyle w:val="tabletextcenter"/>
            </w:pPr>
            <w:r w:rsidRPr="00743C7F">
              <w:t>29.0%</w:t>
            </w:r>
          </w:p>
        </w:tc>
        <w:tc>
          <w:tcPr>
            <w:tcW w:w="735" w:type="pct"/>
            <w:tcBorders>
              <w:bottom w:val="single" w:sz="2" w:space="0" w:color="808080" w:themeColor="text1" w:themeTint="7F"/>
            </w:tcBorders>
            <w:vAlign w:val="center"/>
          </w:tcPr>
          <w:p w14:paraId="2A0E40F1" w14:textId="77777777" w:rsidR="00A54015" w:rsidRPr="00CD1826" w:rsidRDefault="00A54015" w:rsidP="00A54015">
            <w:pPr>
              <w:pStyle w:val="tabletextcenter"/>
            </w:pPr>
            <w:r w:rsidRPr="00F656DE">
              <w:t>9.7%</w:t>
            </w:r>
          </w:p>
        </w:tc>
      </w:tr>
      <w:tr w:rsidR="00A54015" w:rsidRPr="00CD1826" w14:paraId="47F45967" w14:textId="77777777" w:rsidTr="004D04F4">
        <w:trPr>
          <w:cnfStyle w:val="000000100000" w:firstRow="0" w:lastRow="0" w:firstColumn="0" w:lastColumn="0" w:oddVBand="0" w:evenVBand="0" w:oddHBand="1" w:evenHBand="0" w:firstRowFirstColumn="0" w:firstRowLastColumn="0" w:lastRowFirstColumn="0" w:lastRowLastColumn="0"/>
        </w:trPr>
        <w:tc>
          <w:tcPr>
            <w:tcW w:w="1326" w:type="pct"/>
            <w:tcBorders>
              <w:top w:val="single" w:sz="2" w:space="0" w:color="808080" w:themeColor="text1" w:themeTint="7F"/>
            </w:tcBorders>
          </w:tcPr>
          <w:p w14:paraId="0A44F169" w14:textId="77777777" w:rsidR="00A54015" w:rsidRPr="00745B42" w:rsidRDefault="00A54015" w:rsidP="00A54015">
            <w:pPr>
              <w:pStyle w:val="TableText"/>
            </w:pPr>
            <w:r w:rsidRPr="00745B42">
              <w:t>Community Facilities</w:t>
            </w:r>
            <w:r>
              <w:t xml:space="preserve"> (n=35)</w:t>
            </w:r>
          </w:p>
        </w:tc>
        <w:tc>
          <w:tcPr>
            <w:tcW w:w="735" w:type="pct"/>
            <w:tcBorders>
              <w:top w:val="single" w:sz="2" w:space="0" w:color="808080" w:themeColor="text1" w:themeTint="7F"/>
            </w:tcBorders>
            <w:vAlign w:val="center"/>
          </w:tcPr>
          <w:p w14:paraId="11EDFB93" w14:textId="77777777" w:rsidR="00A54015" w:rsidRPr="002C1885" w:rsidRDefault="00A54015" w:rsidP="00A54015">
            <w:pPr>
              <w:pStyle w:val="tabletextcenter"/>
              <w:rPr>
                <w:b/>
              </w:rPr>
            </w:pPr>
            <w:r w:rsidRPr="007B3B1F">
              <w:t>5.7%</w:t>
            </w:r>
          </w:p>
        </w:tc>
        <w:tc>
          <w:tcPr>
            <w:tcW w:w="735" w:type="pct"/>
            <w:tcBorders>
              <w:top w:val="single" w:sz="2" w:space="0" w:color="808080" w:themeColor="text1" w:themeTint="7F"/>
            </w:tcBorders>
            <w:vAlign w:val="center"/>
          </w:tcPr>
          <w:p w14:paraId="71D8F33E" w14:textId="77777777" w:rsidR="00A54015" w:rsidRPr="002C1885" w:rsidRDefault="00A54015" w:rsidP="00A54015">
            <w:pPr>
              <w:pStyle w:val="tabletextcenter"/>
              <w:rPr>
                <w:b/>
              </w:rPr>
            </w:pPr>
            <w:r w:rsidRPr="00837F4E">
              <w:t>8.6%</w:t>
            </w:r>
          </w:p>
        </w:tc>
        <w:tc>
          <w:tcPr>
            <w:tcW w:w="735" w:type="pct"/>
            <w:tcBorders>
              <w:top w:val="single" w:sz="2" w:space="0" w:color="808080" w:themeColor="text1" w:themeTint="7F"/>
            </w:tcBorders>
            <w:vAlign w:val="center"/>
          </w:tcPr>
          <w:p w14:paraId="2AF87E3F" w14:textId="77777777" w:rsidR="00A54015" w:rsidRPr="002C1885" w:rsidRDefault="00A54015" w:rsidP="00A54015">
            <w:pPr>
              <w:pStyle w:val="tabletextcenter"/>
              <w:rPr>
                <w:b/>
              </w:rPr>
            </w:pPr>
            <w:r w:rsidRPr="001F7402">
              <w:t>25.7%</w:t>
            </w:r>
          </w:p>
        </w:tc>
        <w:tc>
          <w:tcPr>
            <w:tcW w:w="735" w:type="pct"/>
            <w:tcBorders>
              <w:top w:val="single" w:sz="2" w:space="0" w:color="808080" w:themeColor="text1" w:themeTint="7F"/>
            </w:tcBorders>
            <w:vAlign w:val="center"/>
          </w:tcPr>
          <w:p w14:paraId="1A0FFFF2" w14:textId="77777777" w:rsidR="00A54015" w:rsidRPr="002C1885" w:rsidRDefault="00A54015" w:rsidP="00A54015">
            <w:pPr>
              <w:pStyle w:val="tabletextcenter"/>
              <w:rPr>
                <w:b/>
              </w:rPr>
            </w:pPr>
            <w:r w:rsidRPr="00743C7F">
              <w:t>48.6%</w:t>
            </w:r>
          </w:p>
        </w:tc>
        <w:tc>
          <w:tcPr>
            <w:tcW w:w="735" w:type="pct"/>
            <w:tcBorders>
              <w:top w:val="single" w:sz="2" w:space="0" w:color="808080" w:themeColor="text1" w:themeTint="7F"/>
            </w:tcBorders>
            <w:vAlign w:val="center"/>
          </w:tcPr>
          <w:p w14:paraId="72DA9E35" w14:textId="77777777" w:rsidR="00A54015" w:rsidRPr="002C1885" w:rsidRDefault="00A54015" w:rsidP="00A54015">
            <w:pPr>
              <w:pStyle w:val="tabletextcenter"/>
            </w:pPr>
            <w:r w:rsidRPr="00F656DE">
              <w:t>11.4%</w:t>
            </w:r>
          </w:p>
        </w:tc>
      </w:tr>
    </w:tbl>
    <w:p w14:paraId="0416B1E4" w14:textId="77777777" w:rsidR="00A84D38" w:rsidRPr="00256CC5" w:rsidRDefault="00A84D38" w:rsidP="00A84D38">
      <w:pPr>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75B339C3" w14:textId="77777777" w:rsidR="002027A5" w:rsidRDefault="00784F92" w:rsidP="00202384">
      <w:r w:rsidRPr="004D04F4">
        <w:t>M</w:t>
      </w:r>
      <w:r w:rsidR="00861D90" w:rsidRPr="004D04F4">
        <w:t>any organizations use realistic job previews (RJPs) to provide information about the position’s positive and negative aspects in order to enable potential applicants to determine if they are a good fit for the position. RJPs also help align the applicant’s goals and expectations with the work requirements. RJPs may include booklets, brochures, videos, meetings with current staff, and experiential activities such as job shadowing.</w:t>
      </w:r>
      <w:r w:rsidR="00DD5F98" w:rsidRPr="004D04F4">
        <w:t xml:space="preserve"> A tour of the facility is</w:t>
      </w:r>
      <w:r w:rsidR="00A30721" w:rsidRPr="004D04F4">
        <w:t xml:space="preserve"> one RJP method that can provide applicants a more complete picture or the work environment. In the </w:t>
      </w:r>
      <w:r w:rsidR="00E251C1" w:rsidRPr="004D04F4">
        <w:t>staff survey</w:t>
      </w:r>
      <w:r w:rsidR="00A30721" w:rsidRPr="004D04F4">
        <w:t>, participants were asked if they took a tour of the facility and/or shadowed a curren</w:t>
      </w:r>
      <w:r w:rsidR="00685CB0" w:rsidRPr="004D04F4">
        <w:t>t</w:t>
      </w:r>
      <w:r w:rsidR="00A30721" w:rsidRPr="004D04F4">
        <w:t xml:space="preserve"> employee on-site prior to being offered a p</w:t>
      </w:r>
      <w:r w:rsidR="00685CB0" w:rsidRPr="004D04F4">
        <w:t xml:space="preserve">osition and whether it was helpful in setting realistic job expectations. </w:t>
      </w:r>
      <w:r w:rsidR="00453B14" w:rsidRPr="004D04F4">
        <w:t xml:space="preserve">Exhibit </w:t>
      </w:r>
      <w:r w:rsidR="00C75275">
        <w:t>5</w:t>
      </w:r>
      <w:r w:rsidR="00453B14" w:rsidRPr="004D04F4">
        <w:t>-</w:t>
      </w:r>
      <w:r w:rsidR="00A05906">
        <w:t>37</w:t>
      </w:r>
      <w:r w:rsidR="00A05906" w:rsidRPr="004D04F4">
        <w:t xml:space="preserve"> </w:t>
      </w:r>
      <w:r w:rsidR="00685CB0" w:rsidRPr="004D04F4">
        <w:t>shows a majority of applicants are not provided an opportunity to tour the facility</w:t>
      </w:r>
      <w:r w:rsidR="002027A5" w:rsidRPr="004D04F4">
        <w:t xml:space="preserve"> or shadow a</w:t>
      </w:r>
      <w:r w:rsidR="00685CB0" w:rsidRPr="004D04F4">
        <w:t xml:space="preserve"> current employee prior to being offered a position</w:t>
      </w:r>
      <w:r w:rsidR="004C75A6" w:rsidRPr="004D04F4">
        <w:t xml:space="preserve">. </w:t>
      </w:r>
      <w:r w:rsidR="00685CB0" w:rsidRPr="004D04F4">
        <w:t xml:space="preserve">Of the applicants provided a tour or shadowing opportunity, most indicated </w:t>
      </w:r>
      <w:r w:rsidR="00861FD3">
        <w:t>it</w:t>
      </w:r>
      <w:r w:rsidR="00861FD3" w:rsidRPr="004D04F4">
        <w:t xml:space="preserve"> </w:t>
      </w:r>
      <w:r w:rsidR="00685CB0" w:rsidRPr="004D04F4">
        <w:t>was helpful for setting realistic job expectations (20.6%).</w:t>
      </w:r>
    </w:p>
    <w:p w14:paraId="77BBE80B" w14:textId="77777777" w:rsidR="00A30721" w:rsidRDefault="00453B14" w:rsidP="00453B14">
      <w:pPr>
        <w:pStyle w:val="Caption"/>
      </w:pPr>
      <w:r>
        <w:lastRenderedPageBreak/>
        <w:t xml:space="preserve">Exhibit </w:t>
      </w:r>
      <w:r w:rsidR="00EC62E5">
        <w:rPr>
          <w:noProof/>
        </w:rPr>
        <w:fldChar w:fldCharType="begin"/>
      </w:r>
      <w:r w:rsidR="00EC62E5">
        <w:rPr>
          <w:noProof/>
        </w:rPr>
        <w:instrText xml:space="preserve"> STYLEREF 1 \s </w:instrText>
      </w:r>
      <w:r w:rsidR="00EC62E5">
        <w:rPr>
          <w:noProof/>
        </w:rPr>
        <w:fldChar w:fldCharType="separate"/>
      </w:r>
      <w:r w:rsidR="00FD2536">
        <w:rPr>
          <w:noProof/>
        </w:rPr>
        <w:t>5</w:t>
      </w:r>
      <w:r w:rsidR="00EC62E5">
        <w:rPr>
          <w:noProof/>
        </w:rPr>
        <w:fldChar w:fldCharType="end"/>
      </w:r>
      <w:r>
        <w:noBreakHyphen/>
      </w:r>
      <w:r w:rsidR="00A05906">
        <w:rPr>
          <w:noProof/>
        </w:rPr>
        <w:t>37</w:t>
      </w:r>
      <w:r>
        <w:t>:</w:t>
      </w:r>
      <w:r w:rsidR="00685CB0">
        <w:t xml:space="preserve"> </w:t>
      </w:r>
      <w:r w:rsidR="00A30721">
        <w:t xml:space="preserve">Tour of Facility/Shadow Current Employee Prior to Hire, by Facility </w:t>
      </w:r>
    </w:p>
    <w:tbl>
      <w:tblPr>
        <w:tblStyle w:val="HyzerTable"/>
        <w:tblW w:w="5000" w:type="pct"/>
        <w:tblLook w:val="0420" w:firstRow="1" w:lastRow="0" w:firstColumn="0" w:lastColumn="0" w:noHBand="0" w:noVBand="1"/>
      </w:tblPr>
      <w:tblGrid>
        <w:gridCol w:w="2939"/>
        <w:gridCol w:w="1211"/>
        <w:gridCol w:w="1700"/>
        <w:gridCol w:w="1247"/>
        <w:gridCol w:w="2263"/>
      </w:tblGrid>
      <w:tr w:rsidR="00685CB0" w:rsidRPr="00CD1826" w14:paraId="6228C7CB" w14:textId="77777777" w:rsidTr="00546B31">
        <w:trPr>
          <w:cnfStyle w:val="100000000000" w:firstRow="1" w:lastRow="0" w:firstColumn="0" w:lastColumn="0" w:oddVBand="0" w:evenVBand="0" w:oddHBand="0" w:evenHBand="0" w:firstRowFirstColumn="0" w:firstRowLastColumn="0" w:lastRowFirstColumn="0" w:lastRowLastColumn="0"/>
          <w:trHeight w:val="213"/>
          <w:tblHeader/>
        </w:trPr>
        <w:tc>
          <w:tcPr>
            <w:tcW w:w="1570" w:type="pct"/>
            <w:tcBorders>
              <w:bottom w:val="single" w:sz="2" w:space="0" w:color="808080" w:themeColor="text1" w:themeTint="7F"/>
            </w:tcBorders>
            <w:vAlign w:val="center"/>
          </w:tcPr>
          <w:p w14:paraId="7EC1F816" w14:textId="77777777" w:rsidR="00A30721" w:rsidRPr="00A64BAE" w:rsidRDefault="00A30721" w:rsidP="00A30721">
            <w:pPr>
              <w:pStyle w:val="tableheaderwhite"/>
              <w:spacing w:before="20" w:after="20"/>
              <w:rPr>
                <w:sz w:val="22"/>
              </w:rPr>
            </w:pPr>
            <w:r w:rsidRPr="1FF1B213">
              <w:rPr>
                <w:sz w:val="22"/>
                <w:szCs w:val="22"/>
              </w:rPr>
              <w:t>Facility</w:t>
            </w:r>
          </w:p>
        </w:tc>
        <w:tc>
          <w:tcPr>
            <w:tcW w:w="647" w:type="pct"/>
            <w:tcBorders>
              <w:bottom w:val="single" w:sz="2" w:space="0" w:color="808080" w:themeColor="text1" w:themeTint="7F"/>
            </w:tcBorders>
            <w:vAlign w:val="center"/>
          </w:tcPr>
          <w:p w14:paraId="72575B33" w14:textId="77777777" w:rsidR="00A30721" w:rsidRPr="00A64BAE" w:rsidRDefault="00A30721" w:rsidP="00A30721">
            <w:pPr>
              <w:pStyle w:val="tableheaderwhite"/>
              <w:spacing w:before="20" w:after="20"/>
              <w:rPr>
                <w:sz w:val="22"/>
              </w:rPr>
            </w:pPr>
            <w:r w:rsidRPr="1FF1B213">
              <w:rPr>
                <w:sz w:val="22"/>
                <w:szCs w:val="22"/>
              </w:rPr>
              <w:t>Yes</w:t>
            </w:r>
          </w:p>
          <w:p w14:paraId="1C52B36F" w14:textId="77777777" w:rsidR="00A30721" w:rsidRPr="00A64BAE" w:rsidRDefault="00A30721" w:rsidP="00A30721">
            <w:pPr>
              <w:pStyle w:val="tableheaderwhite"/>
              <w:spacing w:before="20" w:after="20"/>
              <w:rPr>
                <w:sz w:val="22"/>
              </w:rPr>
            </w:pPr>
            <w:r w:rsidRPr="1FF1B213">
              <w:rPr>
                <w:sz w:val="22"/>
                <w:szCs w:val="22"/>
              </w:rPr>
              <w:t>Helpful</w:t>
            </w:r>
          </w:p>
        </w:tc>
        <w:tc>
          <w:tcPr>
            <w:tcW w:w="908" w:type="pct"/>
            <w:tcBorders>
              <w:bottom w:val="single" w:sz="2" w:space="0" w:color="808080" w:themeColor="text1" w:themeTint="7F"/>
            </w:tcBorders>
            <w:vAlign w:val="center"/>
          </w:tcPr>
          <w:p w14:paraId="2BBA5F33" w14:textId="77777777" w:rsidR="00A30721" w:rsidRPr="00A64BAE" w:rsidRDefault="00A30721" w:rsidP="00A30721">
            <w:pPr>
              <w:pStyle w:val="tableheaderwhite"/>
              <w:spacing w:before="20" w:after="20"/>
              <w:rPr>
                <w:sz w:val="22"/>
              </w:rPr>
            </w:pPr>
            <w:r w:rsidRPr="1FF1B213">
              <w:rPr>
                <w:sz w:val="22"/>
                <w:szCs w:val="22"/>
              </w:rPr>
              <w:t>Yes</w:t>
            </w:r>
          </w:p>
          <w:p w14:paraId="27E2F202" w14:textId="77777777" w:rsidR="00A30721" w:rsidRPr="00A64BAE" w:rsidRDefault="00A30721" w:rsidP="00A30721">
            <w:pPr>
              <w:pStyle w:val="tableheaderwhite"/>
              <w:spacing w:before="20" w:after="20"/>
              <w:rPr>
                <w:sz w:val="22"/>
              </w:rPr>
            </w:pPr>
            <w:r w:rsidRPr="1FF1B213">
              <w:rPr>
                <w:sz w:val="22"/>
                <w:szCs w:val="22"/>
              </w:rPr>
              <w:t>Not Helpful</w:t>
            </w:r>
          </w:p>
        </w:tc>
        <w:tc>
          <w:tcPr>
            <w:tcW w:w="666" w:type="pct"/>
            <w:tcBorders>
              <w:bottom w:val="single" w:sz="2" w:space="0" w:color="808080" w:themeColor="text1" w:themeTint="7F"/>
            </w:tcBorders>
            <w:vAlign w:val="center"/>
          </w:tcPr>
          <w:p w14:paraId="486AFF55" w14:textId="77777777" w:rsidR="00A30721" w:rsidRPr="00A64BAE" w:rsidRDefault="00A30721" w:rsidP="00A30721">
            <w:pPr>
              <w:pStyle w:val="tableheaderwhite"/>
              <w:spacing w:before="20" w:after="20"/>
              <w:rPr>
                <w:sz w:val="22"/>
              </w:rPr>
            </w:pPr>
            <w:r w:rsidRPr="1FF1B213">
              <w:rPr>
                <w:sz w:val="22"/>
                <w:szCs w:val="22"/>
              </w:rPr>
              <w:t>No</w:t>
            </w:r>
          </w:p>
        </w:tc>
        <w:tc>
          <w:tcPr>
            <w:tcW w:w="1210" w:type="pct"/>
            <w:tcBorders>
              <w:bottom w:val="single" w:sz="2" w:space="0" w:color="808080" w:themeColor="text1" w:themeTint="7F"/>
            </w:tcBorders>
            <w:vAlign w:val="center"/>
          </w:tcPr>
          <w:p w14:paraId="4BD23A18" w14:textId="77777777" w:rsidR="00A30721" w:rsidRPr="00A64BAE" w:rsidRDefault="00A30721" w:rsidP="00A30721">
            <w:pPr>
              <w:pStyle w:val="tableheaderwhite"/>
              <w:spacing w:before="20" w:after="20"/>
              <w:rPr>
                <w:sz w:val="22"/>
              </w:rPr>
            </w:pPr>
            <w:r w:rsidRPr="1FF1B213">
              <w:rPr>
                <w:sz w:val="22"/>
                <w:szCs w:val="22"/>
              </w:rPr>
              <w:t>Unsure/</w:t>
            </w:r>
          </w:p>
          <w:p w14:paraId="5B0B78DE" w14:textId="77777777" w:rsidR="00A30721" w:rsidRPr="00A64BAE" w:rsidRDefault="00A30721" w:rsidP="00A30721">
            <w:pPr>
              <w:pStyle w:val="tableheaderwhite"/>
              <w:spacing w:before="20" w:after="20"/>
              <w:rPr>
                <w:sz w:val="22"/>
              </w:rPr>
            </w:pPr>
            <w:r w:rsidRPr="1FF1B213">
              <w:rPr>
                <w:sz w:val="22"/>
                <w:szCs w:val="22"/>
              </w:rPr>
              <w:t>Don’t Remember</w:t>
            </w:r>
          </w:p>
        </w:tc>
      </w:tr>
      <w:tr w:rsidR="00685CB0" w:rsidRPr="00507F7B" w14:paraId="50BCCE22" w14:textId="77777777" w:rsidTr="00546B31">
        <w:trPr>
          <w:cnfStyle w:val="000000100000" w:firstRow="0" w:lastRow="0" w:firstColumn="0" w:lastColumn="0" w:oddVBand="0" w:evenVBand="0" w:oddHBand="1" w:evenHBand="0" w:firstRowFirstColumn="0" w:firstRowLastColumn="0" w:lastRowFirstColumn="0" w:lastRowLastColumn="0"/>
        </w:trPr>
        <w:tc>
          <w:tcPr>
            <w:tcW w:w="1570" w:type="pct"/>
            <w:tcBorders>
              <w:top w:val="single" w:sz="2" w:space="0" w:color="808080" w:themeColor="text1" w:themeTint="7F"/>
            </w:tcBorders>
            <w:shd w:val="clear" w:color="auto" w:fill="A6A6A6" w:themeFill="background1" w:themeFillShade="A6"/>
          </w:tcPr>
          <w:p w14:paraId="5185AD35" w14:textId="77777777" w:rsidR="00A30721" w:rsidRPr="004D04F4" w:rsidRDefault="00A30721" w:rsidP="004D04F4">
            <w:pPr>
              <w:pStyle w:val="TableBullet"/>
              <w:numPr>
                <w:ilvl w:val="0"/>
                <w:numId w:val="0"/>
              </w:numPr>
              <w:ind w:left="130" w:hanging="130"/>
              <w:rPr>
                <w:b/>
              </w:rPr>
            </w:pPr>
            <w:r w:rsidRPr="004D04F4">
              <w:rPr>
                <w:b/>
              </w:rPr>
              <w:t>JR (n=175)</w:t>
            </w:r>
          </w:p>
        </w:tc>
        <w:tc>
          <w:tcPr>
            <w:tcW w:w="647" w:type="pct"/>
            <w:tcBorders>
              <w:top w:val="single" w:sz="2" w:space="0" w:color="808080" w:themeColor="text1" w:themeTint="7F"/>
            </w:tcBorders>
            <w:shd w:val="clear" w:color="auto" w:fill="A6A6A6" w:themeFill="background1" w:themeFillShade="A6"/>
            <w:vAlign w:val="bottom"/>
          </w:tcPr>
          <w:p w14:paraId="1052AAC4" w14:textId="77777777" w:rsidR="00A30721" w:rsidRPr="00CC6D1A" w:rsidRDefault="00A30721" w:rsidP="00A30721">
            <w:pPr>
              <w:pStyle w:val="TableText"/>
              <w:jc w:val="center"/>
              <w:rPr>
                <w:b/>
              </w:rPr>
            </w:pPr>
            <w:r w:rsidRPr="00CC6D1A">
              <w:rPr>
                <w:b/>
              </w:rPr>
              <w:t>20.6%</w:t>
            </w:r>
          </w:p>
        </w:tc>
        <w:tc>
          <w:tcPr>
            <w:tcW w:w="908" w:type="pct"/>
            <w:tcBorders>
              <w:top w:val="single" w:sz="2" w:space="0" w:color="808080" w:themeColor="text1" w:themeTint="7F"/>
            </w:tcBorders>
            <w:shd w:val="clear" w:color="auto" w:fill="A6A6A6" w:themeFill="background1" w:themeFillShade="A6"/>
            <w:vAlign w:val="bottom"/>
          </w:tcPr>
          <w:p w14:paraId="4E6DD2E1" w14:textId="77777777" w:rsidR="00A30721" w:rsidRPr="00CC6D1A" w:rsidRDefault="00A30721" w:rsidP="00A30721">
            <w:pPr>
              <w:pStyle w:val="TableText"/>
              <w:jc w:val="center"/>
              <w:rPr>
                <w:b/>
              </w:rPr>
            </w:pPr>
            <w:r w:rsidRPr="00CC6D1A">
              <w:rPr>
                <w:b/>
              </w:rPr>
              <w:t>9.7%</w:t>
            </w:r>
          </w:p>
        </w:tc>
        <w:tc>
          <w:tcPr>
            <w:tcW w:w="666" w:type="pct"/>
            <w:tcBorders>
              <w:top w:val="single" w:sz="2" w:space="0" w:color="808080" w:themeColor="text1" w:themeTint="7F"/>
            </w:tcBorders>
            <w:shd w:val="clear" w:color="auto" w:fill="A6A6A6" w:themeFill="background1" w:themeFillShade="A6"/>
            <w:vAlign w:val="bottom"/>
          </w:tcPr>
          <w:p w14:paraId="663FEBFC" w14:textId="77777777" w:rsidR="00A30721" w:rsidRPr="00CC6D1A" w:rsidRDefault="00A30721" w:rsidP="00A30721">
            <w:pPr>
              <w:pStyle w:val="TableText"/>
              <w:jc w:val="center"/>
              <w:rPr>
                <w:b/>
              </w:rPr>
            </w:pPr>
            <w:r w:rsidRPr="00CC6D1A">
              <w:rPr>
                <w:b/>
              </w:rPr>
              <w:t>65.1%</w:t>
            </w:r>
          </w:p>
        </w:tc>
        <w:tc>
          <w:tcPr>
            <w:tcW w:w="1210" w:type="pct"/>
            <w:tcBorders>
              <w:top w:val="single" w:sz="2" w:space="0" w:color="808080" w:themeColor="text1" w:themeTint="7F"/>
            </w:tcBorders>
            <w:shd w:val="clear" w:color="auto" w:fill="A6A6A6" w:themeFill="background1" w:themeFillShade="A6"/>
            <w:vAlign w:val="bottom"/>
          </w:tcPr>
          <w:p w14:paraId="3D4D121E" w14:textId="77777777" w:rsidR="00A30721" w:rsidRPr="00CC6D1A" w:rsidRDefault="00A30721" w:rsidP="00A30721">
            <w:pPr>
              <w:pStyle w:val="TableText"/>
              <w:jc w:val="center"/>
              <w:rPr>
                <w:b/>
              </w:rPr>
            </w:pPr>
            <w:r w:rsidRPr="00CC6D1A">
              <w:rPr>
                <w:b/>
              </w:rPr>
              <w:t>4.6%</w:t>
            </w:r>
          </w:p>
        </w:tc>
      </w:tr>
      <w:tr w:rsidR="00685CB0" w:rsidRPr="00507F7B" w14:paraId="3DFDF2A2" w14:textId="77777777" w:rsidTr="00546B31">
        <w:tc>
          <w:tcPr>
            <w:tcW w:w="1570" w:type="pct"/>
            <w:tcBorders>
              <w:top w:val="single" w:sz="2" w:space="0" w:color="808080" w:themeColor="text1" w:themeTint="7F"/>
            </w:tcBorders>
          </w:tcPr>
          <w:p w14:paraId="763CC1E5" w14:textId="77777777" w:rsidR="00A30721" w:rsidRPr="00CC6D1A" w:rsidRDefault="00A30721" w:rsidP="004D04F4">
            <w:pPr>
              <w:pStyle w:val="TableBullet"/>
              <w:numPr>
                <w:ilvl w:val="0"/>
                <w:numId w:val="0"/>
              </w:numPr>
              <w:ind w:left="130" w:hanging="130"/>
            </w:pPr>
            <w:r w:rsidRPr="00CC6D1A">
              <w:t>Echo Glen (n=34)</w:t>
            </w:r>
          </w:p>
        </w:tc>
        <w:tc>
          <w:tcPr>
            <w:tcW w:w="647" w:type="pct"/>
            <w:tcBorders>
              <w:top w:val="single" w:sz="2" w:space="0" w:color="808080" w:themeColor="text1" w:themeTint="7F"/>
            </w:tcBorders>
            <w:vAlign w:val="bottom"/>
          </w:tcPr>
          <w:p w14:paraId="13E75C57" w14:textId="77777777" w:rsidR="00A30721" w:rsidRPr="00507F7B" w:rsidRDefault="00A30721" w:rsidP="00A30721">
            <w:pPr>
              <w:pStyle w:val="TableText"/>
              <w:jc w:val="center"/>
            </w:pPr>
            <w:r>
              <w:t>23.5%</w:t>
            </w:r>
          </w:p>
        </w:tc>
        <w:tc>
          <w:tcPr>
            <w:tcW w:w="908" w:type="pct"/>
            <w:tcBorders>
              <w:top w:val="single" w:sz="2" w:space="0" w:color="808080" w:themeColor="text1" w:themeTint="7F"/>
            </w:tcBorders>
            <w:vAlign w:val="bottom"/>
          </w:tcPr>
          <w:p w14:paraId="2DCE29AF" w14:textId="77777777" w:rsidR="00A30721" w:rsidRPr="00507F7B" w:rsidRDefault="00A30721" w:rsidP="00A30721">
            <w:pPr>
              <w:pStyle w:val="TableText"/>
              <w:jc w:val="center"/>
            </w:pPr>
            <w:r>
              <w:t>14.7%</w:t>
            </w:r>
          </w:p>
        </w:tc>
        <w:tc>
          <w:tcPr>
            <w:tcW w:w="666" w:type="pct"/>
            <w:tcBorders>
              <w:top w:val="single" w:sz="2" w:space="0" w:color="808080" w:themeColor="text1" w:themeTint="7F"/>
            </w:tcBorders>
            <w:vAlign w:val="bottom"/>
          </w:tcPr>
          <w:p w14:paraId="5921DB44" w14:textId="77777777" w:rsidR="00A30721" w:rsidRPr="00507F7B" w:rsidRDefault="00A30721" w:rsidP="00A30721">
            <w:pPr>
              <w:pStyle w:val="TableText"/>
              <w:jc w:val="center"/>
            </w:pPr>
            <w:r>
              <w:t>58.8%</w:t>
            </w:r>
          </w:p>
        </w:tc>
        <w:tc>
          <w:tcPr>
            <w:tcW w:w="1210" w:type="pct"/>
            <w:tcBorders>
              <w:top w:val="single" w:sz="2" w:space="0" w:color="808080" w:themeColor="text1" w:themeTint="7F"/>
            </w:tcBorders>
            <w:vAlign w:val="bottom"/>
          </w:tcPr>
          <w:p w14:paraId="02E59E7E" w14:textId="77777777" w:rsidR="00A30721" w:rsidRPr="00507F7B" w:rsidRDefault="00A30721" w:rsidP="00A30721">
            <w:pPr>
              <w:pStyle w:val="TableText"/>
              <w:jc w:val="center"/>
            </w:pPr>
            <w:r>
              <w:t>2.9%</w:t>
            </w:r>
          </w:p>
        </w:tc>
      </w:tr>
      <w:tr w:rsidR="00685CB0" w:rsidRPr="00CD1826" w14:paraId="46948604" w14:textId="77777777" w:rsidTr="00546B31">
        <w:trPr>
          <w:cnfStyle w:val="000000100000" w:firstRow="0" w:lastRow="0" w:firstColumn="0" w:lastColumn="0" w:oddVBand="0" w:evenVBand="0" w:oddHBand="1" w:evenHBand="0" w:firstRowFirstColumn="0" w:firstRowLastColumn="0" w:lastRowFirstColumn="0" w:lastRowLastColumn="0"/>
        </w:trPr>
        <w:tc>
          <w:tcPr>
            <w:tcW w:w="1570" w:type="pct"/>
            <w:tcBorders>
              <w:bottom w:val="single" w:sz="2" w:space="0" w:color="808080" w:themeColor="text1" w:themeTint="7F"/>
            </w:tcBorders>
          </w:tcPr>
          <w:p w14:paraId="525206CC" w14:textId="77777777" w:rsidR="00A30721" w:rsidRPr="00CC6D1A" w:rsidRDefault="00A30721" w:rsidP="004D04F4">
            <w:pPr>
              <w:pStyle w:val="TableBullet"/>
              <w:numPr>
                <w:ilvl w:val="0"/>
                <w:numId w:val="0"/>
              </w:numPr>
              <w:ind w:left="130" w:hanging="130"/>
            </w:pPr>
            <w:r w:rsidRPr="00CC6D1A">
              <w:t>Green Hill (n=75)</w:t>
            </w:r>
          </w:p>
        </w:tc>
        <w:tc>
          <w:tcPr>
            <w:tcW w:w="647" w:type="pct"/>
            <w:tcBorders>
              <w:bottom w:val="single" w:sz="2" w:space="0" w:color="808080" w:themeColor="text1" w:themeTint="7F"/>
            </w:tcBorders>
            <w:vAlign w:val="bottom"/>
          </w:tcPr>
          <w:p w14:paraId="2FDB97B4" w14:textId="77777777" w:rsidR="00A30721" w:rsidRPr="006D322C" w:rsidRDefault="00A30721" w:rsidP="00A30721">
            <w:pPr>
              <w:pStyle w:val="TableText"/>
              <w:jc w:val="center"/>
            </w:pPr>
            <w:r>
              <w:t>6.7%</w:t>
            </w:r>
          </w:p>
        </w:tc>
        <w:tc>
          <w:tcPr>
            <w:tcW w:w="908" w:type="pct"/>
            <w:tcBorders>
              <w:bottom w:val="single" w:sz="2" w:space="0" w:color="808080" w:themeColor="text1" w:themeTint="7F"/>
            </w:tcBorders>
            <w:vAlign w:val="bottom"/>
          </w:tcPr>
          <w:p w14:paraId="165794D5" w14:textId="77777777" w:rsidR="00A30721" w:rsidRPr="006D322C" w:rsidRDefault="00A30721" w:rsidP="00A30721">
            <w:pPr>
              <w:pStyle w:val="TableText"/>
              <w:jc w:val="center"/>
            </w:pPr>
            <w:r>
              <w:t>5.3%</w:t>
            </w:r>
          </w:p>
        </w:tc>
        <w:tc>
          <w:tcPr>
            <w:tcW w:w="666" w:type="pct"/>
            <w:tcBorders>
              <w:bottom w:val="single" w:sz="2" w:space="0" w:color="808080" w:themeColor="text1" w:themeTint="7F"/>
            </w:tcBorders>
            <w:vAlign w:val="bottom"/>
          </w:tcPr>
          <w:p w14:paraId="38F56AF3" w14:textId="77777777" w:rsidR="00A30721" w:rsidRPr="006D322C" w:rsidRDefault="00A30721" w:rsidP="00A30721">
            <w:pPr>
              <w:pStyle w:val="TableText"/>
              <w:jc w:val="center"/>
            </w:pPr>
            <w:r>
              <w:t>84.0%</w:t>
            </w:r>
          </w:p>
        </w:tc>
        <w:tc>
          <w:tcPr>
            <w:tcW w:w="1210" w:type="pct"/>
            <w:tcBorders>
              <w:bottom w:val="single" w:sz="2" w:space="0" w:color="808080" w:themeColor="text1" w:themeTint="7F"/>
            </w:tcBorders>
            <w:vAlign w:val="bottom"/>
          </w:tcPr>
          <w:p w14:paraId="3A14AF44" w14:textId="77777777" w:rsidR="00A30721" w:rsidRPr="006D322C" w:rsidRDefault="00A30721" w:rsidP="00A30721">
            <w:pPr>
              <w:pStyle w:val="TableText"/>
              <w:jc w:val="center"/>
            </w:pPr>
            <w:r>
              <w:t>4.0%</w:t>
            </w:r>
          </w:p>
        </w:tc>
      </w:tr>
      <w:tr w:rsidR="00685CB0" w:rsidRPr="00CD1826" w14:paraId="52A77E1A" w14:textId="77777777" w:rsidTr="00546B31">
        <w:trPr>
          <w:trHeight w:val="265"/>
        </w:trPr>
        <w:tc>
          <w:tcPr>
            <w:tcW w:w="1570" w:type="pct"/>
            <w:tcBorders>
              <w:bottom w:val="single" w:sz="2" w:space="0" w:color="808080" w:themeColor="text1" w:themeTint="7F"/>
            </w:tcBorders>
          </w:tcPr>
          <w:p w14:paraId="4AE617C7" w14:textId="77777777" w:rsidR="00A30721" w:rsidRPr="00CC6D1A" w:rsidRDefault="00A30721" w:rsidP="00A30721">
            <w:pPr>
              <w:pStyle w:val="TableText"/>
            </w:pPr>
            <w:r w:rsidRPr="00CC6D1A">
              <w:t>Naselle (n=31)</w:t>
            </w:r>
          </w:p>
        </w:tc>
        <w:tc>
          <w:tcPr>
            <w:tcW w:w="647" w:type="pct"/>
            <w:tcBorders>
              <w:bottom w:val="single" w:sz="2" w:space="0" w:color="808080" w:themeColor="text1" w:themeTint="7F"/>
            </w:tcBorders>
            <w:vAlign w:val="bottom"/>
          </w:tcPr>
          <w:p w14:paraId="782AFC57" w14:textId="77777777" w:rsidR="00A30721" w:rsidRDefault="00A30721" w:rsidP="00A30721">
            <w:pPr>
              <w:pStyle w:val="TableText"/>
              <w:jc w:val="center"/>
            </w:pPr>
            <w:r>
              <w:t>35.5%</w:t>
            </w:r>
          </w:p>
        </w:tc>
        <w:tc>
          <w:tcPr>
            <w:tcW w:w="908" w:type="pct"/>
            <w:tcBorders>
              <w:bottom w:val="single" w:sz="2" w:space="0" w:color="808080" w:themeColor="text1" w:themeTint="7F"/>
            </w:tcBorders>
            <w:vAlign w:val="bottom"/>
          </w:tcPr>
          <w:p w14:paraId="241F87A6" w14:textId="77777777" w:rsidR="00A30721" w:rsidRDefault="00A30721" w:rsidP="00A30721">
            <w:pPr>
              <w:pStyle w:val="TableText"/>
              <w:jc w:val="center"/>
            </w:pPr>
            <w:r>
              <w:t>12.9%</w:t>
            </w:r>
          </w:p>
        </w:tc>
        <w:tc>
          <w:tcPr>
            <w:tcW w:w="666" w:type="pct"/>
            <w:tcBorders>
              <w:bottom w:val="single" w:sz="2" w:space="0" w:color="808080" w:themeColor="text1" w:themeTint="7F"/>
            </w:tcBorders>
            <w:vAlign w:val="bottom"/>
          </w:tcPr>
          <w:p w14:paraId="68A3B076" w14:textId="77777777" w:rsidR="00A30721" w:rsidRDefault="00A30721" w:rsidP="00A30721">
            <w:pPr>
              <w:pStyle w:val="TableText"/>
              <w:jc w:val="center"/>
            </w:pPr>
            <w:r>
              <w:t>45.2%</w:t>
            </w:r>
          </w:p>
        </w:tc>
        <w:tc>
          <w:tcPr>
            <w:tcW w:w="1210" w:type="pct"/>
            <w:tcBorders>
              <w:bottom w:val="single" w:sz="2" w:space="0" w:color="808080" w:themeColor="text1" w:themeTint="7F"/>
            </w:tcBorders>
            <w:vAlign w:val="bottom"/>
          </w:tcPr>
          <w:p w14:paraId="6AB591CE" w14:textId="77777777" w:rsidR="00A30721" w:rsidRPr="00CD1826" w:rsidRDefault="00A30721" w:rsidP="00A30721">
            <w:pPr>
              <w:pStyle w:val="TableText"/>
              <w:jc w:val="center"/>
            </w:pPr>
            <w:r>
              <w:t>6.5%</w:t>
            </w:r>
          </w:p>
        </w:tc>
      </w:tr>
      <w:tr w:rsidR="00685CB0" w:rsidRPr="00CD1826" w14:paraId="1DA8F297" w14:textId="77777777" w:rsidTr="00546B31">
        <w:trPr>
          <w:cnfStyle w:val="000000100000" w:firstRow="0" w:lastRow="0" w:firstColumn="0" w:lastColumn="0" w:oddVBand="0" w:evenVBand="0" w:oddHBand="1" w:evenHBand="0" w:firstRowFirstColumn="0" w:firstRowLastColumn="0" w:lastRowFirstColumn="0" w:lastRowLastColumn="0"/>
        </w:trPr>
        <w:tc>
          <w:tcPr>
            <w:tcW w:w="1570" w:type="pct"/>
            <w:tcBorders>
              <w:top w:val="single" w:sz="2" w:space="0" w:color="808080" w:themeColor="text1" w:themeTint="7F"/>
            </w:tcBorders>
          </w:tcPr>
          <w:p w14:paraId="7E9D855B" w14:textId="77777777" w:rsidR="00A30721" w:rsidRPr="00CC6D1A" w:rsidRDefault="00A30721" w:rsidP="00A30721">
            <w:pPr>
              <w:pStyle w:val="TableText"/>
            </w:pPr>
            <w:r w:rsidRPr="00CC6D1A">
              <w:t>Community Facilities (n=35)</w:t>
            </w:r>
          </w:p>
        </w:tc>
        <w:tc>
          <w:tcPr>
            <w:tcW w:w="647" w:type="pct"/>
            <w:tcBorders>
              <w:top w:val="single" w:sz="2" w:space="0" w:color="808080" w:themeColor="text1" w:themeTint="7F"/>
            </w:tcBorders>
            <w:vAlign w:val="bottom"/>
          </w:tcPr>
          <w:p w14:paraId="7C11F30F" w14:textId="77777777" w:rsidR="00A30721" w:rsidRPr="002C1885" w:rsidRDefault="00A30721" w:rsidP="00A30721">
            <w:pPr>
              <w:pStyle w:val="TableText"/>
              <w:jc w:val="center"/>
              <w:rPr>
                <w:b/>
              </w:rPr>
            </w:pPr>
            <w:r>
              <w:t>34.3%</w:t>
            </w:r>
          </w:p>
        </w:tc>
        <w:tc>
          <w:tcPr>
            <w:tcW w:w="908" w:type="pct"/>
            <w:tcBorders>
              <w:top w:val="single" w:sz="2" w:space="0" w:color="808080" w:themeColor="text1" w:themeTint="7F"/>
            </w:tcBorders>
            <w:vAlign w:val="bottom"/>
          </w:tcPr>
          <w:p w14:paraId="57A68228" w14:textId="77777777" w:rsidR="00A30721" w:rsidRPr="002C1885" w:rsidRDefault="00A30721" w:rsidP="00A30721">
            <w:pPr>
              <w:pStyle w:val="TableText"/>
              <w:jc w:val="center"/>
              <w:rPr>
                <w:b/>
              </w:rPr>
            </w:pPr>
            <w:r>
              <w:t>11.4%</w:t>
            </w:r>
          </w:p>
        </w:tc>
        <w:tc>
          <w:tcPr>
            <w:tcW w:w="666" w:type="pct"/>
            <w:tcBorders>
              <w:top w:val="single" w:sz="2" w:space="0" w:color="808080" w:themeColor="text1" w:themeTint="7F"/>
            </w:tcBorders>
            <w:vAlign w:val="bottom"/>
          </w:tcPr>
          <w:p w14:paraId="29DC0E2D" w14:textId="77777777" w:rsidR="00A30721" w:rsidRPr="002C1885" w:rsidRDefault="00A30721" w:rsidP="00A30721">
            <w:pPr>
              <w:pStyle w:val="TableText"/>
              <w:jc w:val="center"/>
              <w:rPr>
                <w:b/>
              </w:rPr>
            </w:pPr>
            <w:r>
              <w:t>48.6%</w:t>
            </w:r>
          </w:p>
        </w:tc>
        <w:tc>
          <w:tcPr>
            <w:tcW w:w="1210" w:type="pct"/>
            <w:tcBorders>
              <w:top w:val="single" w:sz="2" w:space="0" w:color="808080" w:themeColor="text1" w:themeTint="7F"/>
            </w:tcBorders>
            <w:vAlign w:val="bottom"/>
          </w:tcPr>
          <w:p w14:paraId="7A189F6C" w14:textId="77777777" w:rsidR="00A30721" w:rsidRPr="002C1885" w:rsidRDefault="00A30721" w:rsidP="00A30721">
            <w:pPr>
              <w:pStyle w:val="TableText"/>
              <w:jc w:val="center"/>
              <w:rPr>
                <w:b/>
              </w:rPr>
            </w:pPr>
            <w:r>
              <w:t>5.7%</w:t>
            </w:r>
          </w:p>
        </w:tc>
      </w:tr>
    </w:tbl>
    <w:p w14:paraId="756F442C" w14:textId="77777777" w:rsidR="004D04F4" w:rsidRPr="00256CC5" w:rsidRDefault="004D04F4" w:rsidP="00546B31">
      <w:pPr>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48974A77" w14:textId="77777777" w:rsidR="001844B4" w:rsidRPr="00245FB2" w:rsidRDefault="001844B4" w:rsidP="001844B4">
      <w:pPr>
        <w:keepNext/>
        <w:keepLines/>
        <w:numPr>
          <w:ilvl w:val="3"/>
          <w:numId w:val="6"/>
        </w:numPr>
        <w:tabs>
          <w:tab w:val="clear" w:pos="1494"/>
          <w:tab w:val="num" w:pos="864"/>
        </w:tabs>
        <w:spacing w:before="120"/>
        <w:ind w:left="864"/>
        <w:outlineLvl w:val="3"/>
        <w:rPr>
          <w:rFonts w:ascii="Arial Narrow" w:eastAsia="Times New Roman" w:hAnsi="Arial Narrow"/>
          <w:b/>
          <w:bCs/>
          <w:iCs/>
          <w:color w:val="000000" w:themeColor="text1"/>
          <w:szCs w:val="20"/>
        </w:rPr>
      </w:pPr>
      <w:bookmarkStart w:id="93" w:name="_Toc523836838"/>
      <w:bookmarkStart w:id="94" w:name="_Hlk523833859"/>
      <w:r w:rsidRPr="00245FB2">
        <w:rPr>
          <w:rFonts w:ascii="Arial Narrow" w:eastAsia="Times New Roman" w:hAnsi="Arial Narrow"/>
          <w:b/>
          <w:bCs/>
          <w:iCs/>
          <w:color w:val="000000" w:themeColor="text1"/>
          <w:szCs w:val="20"/>
        </w:rPr>
        <w:t>Recruitment in Central and Eastern Washington</w:t>
      </w:r>
      <w:bookmarkEnd w:id="93"/>
      <w:r w:rsidRPr="00245FB2">
        <w:rPr>
          <w:rFonts w:ascii="Arial Narrow" w:eastAsia="Times New Roman" w:hAnsi="Arial Narrow"/>
          <w:b/>
          <w:bCs/>
          <w:iCs/>
          <w:color w:val="000000" w:themeColor="text1"/>
          <w:szCs w:val="20"/>
        </w:rPr>
        <w:t xml:space="preserve"> </w:t>
      </w:r>
    </w:p>
    <w:p w14:paraId="6F108215" w14:textId="77777777" w:rsidR="001844B4" w:rsidRDefault="001844B4" w:rsidP="001844B4">
      <w:r w:rsidRPr="00047390">
        <w:t>During interviews, staff and managers in facilities outside of King County</w:t>
      </w:r>
      <w:r w:rsidR="00781829">
        <w:t>,</w:t>
      </w:r>
      <w:r w:rsidRPr="00047390">
        <w:t xml:space="preserve"> particularly those in the central and eastern parts of Washington, indicated finding qualified staff can be difficult. The small labor force, coupled with the remote location of some facilities, makes </w:t>
      </w:r>
      <w:r w:rsidR="00245FB2">
        <w:t>filling</w:t>
      </w:r>
      <w:r w:rsidR="00245FB2" w:rsidRPr="00047390">
        <w:t xml:space="preserve"> </w:t>
      </w:r>
      <w:r w:rsidRPr="00047390">
        <w:t>positions exceedingly challenging. Many community facility administers noted they have tried to forge partnerships with local universities or community colleges and conduct outreach with local chambers of commerce or similar organizations, but results ha</w:t>
      </w:r>
      <w:r w:rsidR="00CE77EE">
        <w:t>ve varied. Administrators noted</w:t>
      </w:r>
      <w:r w:rsidR="00BE4B4D" w:rsidRPr="00047390">
        <w:t xml:space="preserve"> </w:t>
      </w:r>
      <w:r w:rsidRPr="00047390">
        <w:t xml:space="preserve">the lack of time they have to dedicate to recruitment is also a challenge, given their many other responsibilities. </w:t>
      </w:r>
      <w:bookmarkEnd w:id="94"/>
    </w:p>
    <w:p w14:paraId="675B4B13" w14:textId="77777777" w:rsidR="00DA34DE" w:rsidRDefault="00DA34DE" w:rsidP="00C32C1A">
      <w:pPr>
        <w:pStyle w:val="Heading3"/>
      </w:pPr>
      <w:bookmarkStart w:id="95" w:name="_Toc531597530"/>
      <w:r>
        <w:t>Staff Qualifications</w:t>
      </w:r>
      <w:bookmarkEnd w:id="95"/>
      <w:r w:rsidR="00C7049E">
        <w:t xml:space="preserve"> </w:t>
      </w:r>
    </w:p>
    <w:p w14:paraId="345C0406" w14:textId="77777777" w:rsidR="00DA34DE" w:rsidRDefault="00DA34DE" w:rsidP="004031BF">
      <w:pPr>
        <w:pStyle w:val="PullQuote"/>
        <w:framePr w:wrap="around" w:hAnchor="page" w:x="7249" w:y="512"/>
      </w:pPr>
      <w:r>
        <w:t xml:space="preserve"> “Need to hire people that really want to do the job. Many people are old school with a corrections mentality. Many stay off the floor and don’t want to interact with the youth.”</w:t>
      </w:r>
    </w:p>
    <w:p w14:paraId="49133824" w14:textId="77777777" w:rsidR="00DA34DE" w:rsidRDefault="00DA34DE" w:rsidP="004031BF">
      <w:pPr>
        <w:pStyle w:val="PullQuote"/>
        <w:framePr w:wrap="around" w:hAnchor="page" w:x="7249" w:y="512"/>
        <w:jc w:val="right"/>
      </w:pPr>
      <w:r>
        <w:t>— JRSO</w:t>
      </w:r>
      <w:r w:rsidR="0003085A">
        <w:t xml:space="preserve"> 1</w:t>
      </w:r>
    </w:p>
    <w:p w14:paraId="015D8E61" w14:textId="77777777" w:rsidR="00DA34DE" w:rsidRDefault="00DA34DE" w:rsidP="00DA34DE">
      <w:r w:rsidRPr="00A42F9C">
        <w:t xml:space="preserve">In interviews and focus groups with leadership, counselors, and supervisors, </w:t>
      </w:r>
      <w:r w:rsidR="004031BF">
        <w:t xml:space="preserve">we asked </w:t>
      </w:r>
      <w:r w:rsidRPr="00A42F9C">
        <w:t>for feedback regarding</w:t>
      </w:r>
      <w:r>
        <w:t xml:space="preserve"> the qualifications of the staff currently being hired. There was concern expressed </w:t>
      </w:r>
      <w:r w:rsidR="00861FD3">
        <w:t xml:space="preserve">  </w:t>
      </w:r>
      <w:r>
        <w:t xml:space="preserve">there are </w:t>
      </w:r>
      <w:r w:rsidR="004031BF">
        <w:t xml:space="preserve">some </w:t>
      </w:r>
      <w:r>
        <w:t xml:space="preserve">staff that seem to have a </w:t>
      </w:r>
      <w:r w:rsidR="004031BF">
        <w:t xml:space="preserve">more </w:t>
      </w:r>
      <w:r>
        <w:t xml:space="preserve">punitive orientation to working with the youth. </w:t>
      </w:r>
      <w:r w:rsidR="002676D8">
        <w:t>Some staff</w:t>
      </w:r>
      <w:r>
        <w:t xml:space="preserve"> noted </w:t>
      </w:r>
      <w:r w:rsidR="00861FD3">
        <w:t xml:space="preserve">  </w:t>
      </w:r>
      <w:r>
        <w:t xml:space="preserve">many </w:t>
      </w:r>
      <w:r w:rsidR="004031BF">
        <w:t xml:space="preserve">new hires </w:t>
      </w:r>
      <w:r>
        <w:t xml:space="preserve">have a background in corrections. This concerned </w:t>
      </w:r>
      <w:r w:rsidR="004031BF">
        <w:t xml:space="preserve">some </w:t>
      </w:r>
      <w:r>
        <w:t xml:space="preserve">staff </w:t>
      </w:r>
      <w:r w:rsidR="00314522">
        <w:t xml:space="preserve">who </w:t>
      </w:r>
      <w:r>
        <w:t xml:space="preserve">were clearly supportive of the </w:t>
      </w:r>
      <w:r w:rsidR="008C0316">
        <w:t>Rehabilitation Model</w:t>
      </w:r>
      <w:r>
        <w:t xml:space="preserve"> and embraced the use of DBT to support positive youth development. They also underscored </w:t>
      </w:r>
      <w:r w:rsidR="00A15BC8">
        <w:t xml:space="preserve">the </w:t>
      </w:r>
      <w:r w:rsidR="008C0316">
        <w:t>key to implementing the Rehabilitation Model</w:t>
      </w:r>
      <w:r>
        <w:t xml:space="preserve"> and DBT and successfully influencing youth’s rehabilitative experiences is positive relationships with the youth. </w:t>
      </w:r>
    </w:p>
    <w:p w14:paraId="7D2BD5C8" w14:textId="77777777" w:rsidR="0083328A" w:rsidRDefault="00A65ABF" w:rsidP="000B29D5">
      <w:r>
        <w:t xml:space="preserve">Some staff also </w:t>
      </w:r>
      <w:r w:rsidR="004031BF">
        <w:t xml:space="preserve">said </w:t>
      </w:r>
      <w:r w:rsidR="00861D90">
        <w:t xml:space="preserve">they did not have a complete understanding of the responsibilities of the position and the work environment. </w:t>
      </w:r>
      <w:r>
        <w:t xml:space="preserve">This was particularly true for new counselors being hired that had not previously worked for JR. </w:t>
      </w:r>
    </w:p>
    <w:p w14:paraId="15B562DB" w14:textId="77777777" w:rsidR="0083328A" w:rsidRPr="0083328A" w:rsidRDefault="0083328A" w:rsidP="001144F3">
      <w:pPr>
        <w:pStyle w:val="Heading3"/>
      </w:pPr>
      <w:bookmarkStart w:id="96" w:name="_Toc531597531"/>
      <w:r w:rsidRPr="0083328A">
        <w:t>Interviews and Competencies</w:t>
      </w:r>
      <w:bookmarkEnd w:id="96"/>
    </w:p>
    <w:p w14:paraId="6A9E1AB0" w14:textId="77777777" w:rsidR="0083328A" w:rsidRDefault="0083328A" w:rsidP="000B29D5">
      <w:r>
        <w:t xml:space="preserve">Staff at each of the JR institutions and community facilities conduct </w:t>
      </w:r>
      <w:r w:rsidR="00E51C88">
        <w:t xml:space="preserve">their own </w:t>
      </w:r>
      <w:r>
        <w:t xml:space="preserve">interviews for open positions. </w:t>
      </w:r>
      <w:r w:rsidR="00861D90">
        <w:t>E</w:t>
      </w:r>
      <w:r>
        <w:t>ach facility develops its own interview structure and content.</w:t>
      </w:r>
      <w:r w:rsidR="00861D90">
        <w:t xml:space="preserve"> Many of the facilitie</w:t>
      </w:r>
      <w:r w:rsidR="00E51C88">
        <w:t xml:space="preserve">s use a panel interview process in which there are multiple staff involved in the interview. It was not clear as to whether </w:t>
      </w:r>
      <w:r w:rsidR="004031BF">
        <w:t xml:space="preserve">every facility </w:t>
      </w:r>
      <w:r w:rsidR="00E51C88">
        <w:t xml:space="preserve">structured </w:t>
      </w:r>
      <w:r w:rsidR="004031BF">
        <w:t xml:space="preserve">the </w:t>
      </w:r>
      <w:r w:rsidR="00193F5F">
        <w:t>interviews,</w:t>
      </w:r>
      <w:r w:rsidR="004031BF">
        <w:t xml:space="preserve"> </w:t>
      </w:r>
      <w:r w:rsidR="00E51C88">
        <w:t xml:space="preserve">so all applicants are asked the same questions and </w:t>
      </w:r>
      <w:r w:rsidR="00C150E1">
        <w:t xml:space="preserve">if there are established criteria for evaluating responses to questions. </w:t>
      </w:r>
      <w:r w:rsidR="00F203A4">
        <w:t xml:space="preserve">There was an overall sense </w:t>
      </w:r>
      <w:r w:rsidR="004031BF">
        <w:t xml:space="preserve">the hiring objective is sometimes to ensure facilities </w:t>
      </w:r>
      <w:r w:rsidR="00F203A4">
        <w:t>“have enough bodies.”</w:t>
      </w:r>
      <w:r w:rsidR="00D96577">
        <w:t xml:space="preserve"> In interviews with supervisors, some indicated they are not included in the interview process. </w:t>
      </w:r>
      <w:r w:rsidR="00D5749F">
        <w:t>Yet, they bring first</w:t>
      </w:r>
      <w:r w:rsidR="004031BF">
        <w:t>-</w:t>
      </w:r>
      <w:r w:rsidR="00D5749F">
        <w:t xml:space="preserve">hand knowledge regarding </w:t>
      </w:r>
      <w:r w:rsidR="00D96577">
        <w:t>the types of staff they need on their team</w:t>
      </w:r>
      <w:r w:rsidR="00D5749F">
        <w:t>.</w:t>
      </w:r>
      <w:r w:rsidR="00D96577">
        <w:t xml:space="preserve"> </w:t>
      </w:r>
    </w:p>
    <w:p w14:paraId="4E72B571" w14:textId="77777777" w:rsidR="004D2118" w:rsidRDefault="003671ED" w:rsidP="001144F3">
      <w:pPr>
        <w:pStyle w:val="Heading3"/>
      </w:pPr>
      <w:bookmarkStart w:id="97" w:name="_Toc531597532"/>
      <w:r>
        <w:lastRenderedPageBreak/>
        <w:t>Retention</w:t>
      </w:r>
      <w:bookmarkEnd w:id="97"/>
    </w:p>
    <w:p w14:paraId="21A79249" w14:textId="77777777" w:rsidR="00823083" w:rsidRPr="00823083" w:rsidRDefault="00823083" w:rsidP="00823083">
      <w:r>
        <w:t>Creating an</w:t>
      </w:r>
      <w:r w:rsidR="00D5749F">
        <w:t>d</w:t>
      </w:r>
      <w:r>
        <w:t xml:space="preserve"> implementing effective employee retention</w:t>
      </w:r>
      <w:r w:rsidR="00EF03D6">
        <w:t xml:space="preserve"> strategies is</w:t>
      </w:r>
      <w:r>
        <w:t xml:space="preserve"> part of an overall strategy for reducing turnover. In addition</w:t>
      </w:r>
      <w:r w:rsidR="00E24D9B">
        <w:t xml:space="preserve"> to providing fair compensation</w:t>
      </w:r>
      <w:r>
        <w:t xml:space="preserve">, staff want to feel they are appreciated. </w:t>
      </w:r>
      <w:r w:rsidR="00136897">
        <w:t>In any position, staff also want the possibility for advancement.</w:t>
      </w:r>
      <w:r w:rsidR="00EF03D6">
        <w:t xml:space="preserve"> This section descri</w:t>
      </w:r>
      <w:r w:rsidR="00EB1F98">
        <w:t>b</w:t>
      </w:r>
      <w:r w:rsidR="00EF03D6">
        <w:t>es finding</w:t>
      </w:r>
      <w:r w:rsidR="00EB1F98">
        <w:t>s</w:t>
      </w:r>
      <w:r w:rsidR="00EF03D6">
        <w:t xml:space="preserve"> from the </w:t>
      </w:r>
      <w:r w:rsidR="00E251C1">
        <w:t>staff survey</w:t>
      </w:r>
      <w:r w:rsidR="00EF03D6">
        <w:t xml:space="preserve"> regard</w:t>
      </w:r>
      <w:r w:rsidR="00024DAA">
        <w:t>ing select retention strategies including advancement opportunities, rewards and recognition, and orientation and initial mentoring.</w:t>
      </w:r>
    </w:p>
    <w:p w14:paraId="34A3B304" w14:textId="77777777" w:rsidR="004D2118" w:rsidRPr="000978DD" w:rsidRDefault="004D2118" w:rsidP="004D2118">
      <w:pPr>
        <w:pStyle w:val="Heading4"/>
        <w:rPr>
          <w:color w:val="000000" w:themeColor="text1"/>
        </w:rPr>
      </w:pPr>
      <w:r w:rsidRPr="000978DD">
        <w:rPr>
          <w:color w:val="000000" w:themeColor="text1"/>
        </w:rPr>
        <w:t>Advancement Opportunities</w:t>
      </w:r>
    </w:p>
    <w:p w14:paraId="071778A6" w14:textId="77777777" w:rsidR="002F1EB1" w:rsidRDefault="002F1EB1" w:rsidP="002F1EB1">
      <w:pPr>
        <w:pStyle w:val="PullQuote"/>
        <w:framePr w:wrap="around" w:hAnchor="page" w:x="7169" w:y="289"/>
      </w:pPr>
      <w:r>
        <w:t>“If someone wants to advance in this field, they will go elsewhere.”</w:t>
      </w:r>
    </w:p>
    <w:p w14:paraId="2A7C23C4" w14:textId="77777777" w:rsidR="002F1EB1" w:rsidRDefault="002F1EB1" w:rsidP="002F1EB1">
      <w:pPr>
        <w:pStyle w:val="PullQuote"/>
        <w:framePr w:wrap="around" w:hAnchor="page" w:x="7169" w:y="289"/>
        <w:jc w:val="right"/>
      </w:pPr>
      <w:r>
        <w:t>— Counselor</w:t>
      </w:r>
    </w:p>
    <w:p w14:paraId="7774D72A" w14:textId="77777777" w:rsidR="00067776" w:rsidRPr="00067776" w:rsidRDefault="00067776" w:rsidP="00067776">
      <w:r w:rsidRPr="004031BF">
        <w:t xml:space="preserve">As part of the </w:t>
      </w:r>
      <w:r w:rsidR="00E251C1" w:rsidRPr="004031BF">
        <w:t>staff survey</w:t>
      </w:r>
      <w:r w:rsidRPr="004031BF">
        <w:t xml:space="preserve">, we asked participants to indicate whether they </w:t>
      </w:r>
      <w:r w:rsidR="004031BF">
        <w:t xml:space="preserve">felt </w:t>
      </w:r>
      <w:r w:rsidRPr="004031BF">
        <w:t xml:space="preserve">there were opportunities for them to grow and advance in their career at </w:t>
      </w:r>
      <w:r w:rsidR="00024DAA">
        <w:t>JR</w:t>
      </w:r>
      <w:r w:rsidRPr="004031BF">
        <w:t xml:space="preserve">. </w:t>
      </w:r>
      <w:r w:rsidR="00F77D2E" w:rsidRPr="004031BF">
        <w:t>As show</w:t>
      </w:r>
      <w:r w:rsidR="00C419EE">
        <w:t>n</w:t>
      </w:r>
      <w:r w:rsidR="00F77D2E" w:rsidRPr="004031BF">
        <w:t xml:space="preserve"> in </w:t>
      </w:r>
      <w:r w:rsidR="00D4764C" w:rsidRPr="004031BF">
        <w:t xml:space="preserve">Exhibit </w:t>
      </w:r>
      <w:r w:rsidR="00C75275">
        <w:t>5</w:t>
      </w:r>
      <w:r w:rsidR="00D4764C" w:rsidRPr="004031BF">
        <w:t>-</w:t>
      </w:r>
      <w:r w:rsidR="00A05906">
        <w:t>38</w:t>
      </w:r>
      <w:r w:rsidR="00F77D2E" w:rsidRPr="004031BF">
        <w:t>, the percentage of staff at the facilities who believed there a</w:t>
      </w:r>
      <w:r w:rsidR="00EB1F98">
        <w:t>re</w:t>
      </w:r>
      <w:r w:rsidR="00F77D2E" w:rsidRPr="004031BF">
        <w:t xml:space="preserve"> growth and advancement</w:t>
      </w:r>
      <w:r w:rsidR="002F1EB1" w:rsidRPr="004031BF">
        <w:t xml:space="preserve"> </w:t>
      </w:r>
      <w:r w:rsidR="00F77D2E" w:rsidRPr="004031BF">
        <w:t>opportu</w:t>
      </w:r>
      <w:r w:rsidR="00D5749F" w:rsidRPr="004031BF">
        <w:t>nities ranged from a low of 7.4</w:t>
      </w:r>
      <w:r w:rsidR="004962BA" w:rsidRPr="004031BF">
        <w:t xml:space="preserve">% </w:t>
      </w:r>
      <w:r w:rsidR="00D5749F" w:rsidRPr="004031BF">
        <w:t>at Echo Glen to a high of 42.8</w:t>
      </w:r>
      <w:r w:rsidR="004962BA" w:rsidRPr="004031BF">
        <w:t xml:space="preserve">% </w:t>
      </w:r>
      <w:r w:rsidR="00F77D2E" w:rsidRPr="004031BF">
        <w:t>at the community facilities. Around a quarter of the staff at Green Hill (28.7%) and Naselle (25.9%) could see they could advance in their career in RA.</w:t>
      </w:r>
    </w:p>
    <w:p w14:paraId="586F529A" w14:textId="77777777" w:rsidR="004D2118" w:rsidRDefault="00D4764C" w:rsidP="00546B31">
      <w:pPr>
        <w:pStyle w:val="Caption"/>
        <w:keepLines/>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38</w:t>
      </w:r>
      <w:r w:rsidR="00E251C1">
        <w:t>.</w:t>
      </w:r>
      <w:r w:rsidR="00453B14">
        <w:t xml:space="preserve"> </w:t>
      </w:r>
      <w:r w:rsidR="00837B72">
        <w:t>Advancement Opportunities, by Facility</w:t>
      </w:r>
    </w:p>
    <w:tbl>
      <w:tblPr>
        <w:tblStyle w:val="HyzerTable"/>
        <w:tblW w:w="5000" w:type="pct"/>
        <w:tblLook w:val="0420" w:firstRow="1" w:lastRow="0" w:firstColumn="0" w:lastColumn="0" w:noHBand="0" w:noVBand="1"/>
      </w:tblPr>
      <w:tblGrid>
        <w:gridCol w:w="2817"/>
        <w:gridCol w:w="1204"/>
        <w:gridCol w:w="1213"/>
        <w:gridCol w:w="1818"/>
        <w:gridCol w:w="910"/>
        <w:gridCol w:w="1398"/>
      </w:tblGrid>
      <w:tr w:rsidR="004D2118" w:rsidRPr="00CD1826" w14:paraId="063639F5" w14:textId="77777777" w:rsidTr="004031BF">
        <w:trPr>
          <w:cnfStyle w:val="100000000000" w:firstRow="1" w:lastRow="0" w:firstColumn="0" w:lastColumn="0" w:oddVBand="0" w:evenVBand="0" w:oddHBand="0" w:evenHBand="0" w:firstRowFirstColumn="0" w:firstRowLastColumn="0" w:lastRowFirstColumn="0" w:lastRowLastColumn="0"/>
          <w:trHeight w:val="294"/>
          <w:tblHeader/>
        </w:trPr>
        <w:tc>
          <w:tcPr>
            <w:tcW w:w="1505" w:type="pct"/>
            <w:vMerge w:val="restart"/>
          </w:tcPr>
          <w:p w14:paraId="41C0D0F6" w14:textId="77777777" w:rsidR="004D2118" w:rsidRPr="002027A5" w:rsidRDefault="004D2118" w:rsidP="00546B31">
            <w:pPr>
              <w:pStyle w:val="tableheaderwhite"/>
              <w:keepNext/>
              <w:keepLines/>
              <w:rPr>
                <w:sz w:val="22"/>
                <w:szCs w:val="22"/>
              </w:rPr>
            </w:pPr>
            <w:r w:rsidRPr="002027A5">
              <w:rPr>
                <w:sz w:val="22"/>
                <w:szCs w:val="22"/>
              </w:rPr>
              <w:t>Facility</w:t>
            </w:r>
          </w:p>
        </w:tc>
        <w:tc>
          <w:tcPr>
            <w:tcW w:w="3495" w:type="pct"/>
            <w:gridSpan w:val="5"/>
            <w:tcBorders>
              <w:bottom w:val="single" w:sz="2" w:space="0" w:color="808080" w:themeColor="text1" w:themeTint="7F"/>
            </w:tcBorders>
            <w:vAlign w:val="center"/>
          </w:tcPr>
          <w:p w14:paraId="1D1D403E" w14:textId="77777777" w:rsidR="004D2118" w:rsidRPr="002027A5" w:rsidRDefault="004D2118" w:rsidP="00546B31">
            <w:pPr>
              <w:pStyle w:val="tableheaderwhite"/>
              <w:keepNext/>
              <w:keepLines/>
              <w:spacing w:before="20" w:after="20"/>
              <w:rPr>
                <w:sz w:val="22"/>
                <w:szCs w:val="22"/>
              </w:rPr>
            </w:pPr>
            <w:r w:rsidRPr="002027A5">
              <w:rPr>
                <w:sz w:val="22"/>
                <w:szCs w:val="22"/>
              </w:rPr>
              <w:t>“I See Growth and Advance Opportunities with RA”</w:t>
            </w:r>
          </w:p>
        </w:tc>
      </w:tr>
      <w:tr w:rsidR="004D2118" w:rsidRPr="004A5C18" w14:paraId="4436C98F" w14:textId="77777777" w:rsidTr="004031BF">
        <w:trPr>
          <w:cnfStyle w:val="100000000000" w:firstRow="1" w:lastRow="0" w:firstColumn="0" w:lastColumn="0" w:oddVBand="0" w:evenVBand="0" w:oddHBand="0" w:evenHBand="0" w:firstRowFirstColumn="0" w:firstRowLastColumn="0" w:lastRowFirstColumn="0" w:lastRowLastColumn="0"/>
          <w:tblHeader/>
        </w:trPr>
        <w:tc>
          <w:tcPr>
            <w:tcW w:w="1505" w:type="pct"/>
            <w:vMerge/>
          </w:tcPr>
          <w:p w14:paraId="695A1EA7" w14:textId="77777777" w:rsidR="004D2118" w:rsidRDefault="004D2118" w:rsidP="00546B31">
            <w:pPr>
              <w:pStyle w:val="TableText"/>
              <w:keepNext/>
              <w:keepLines/>
            </w:pPr>
          </w:p>
        </w:tc>
        <w:tc>
          <w:tcPr>
            <w:tcW w:w="643" w:type="pct"/>
            <w:tcBorders>
              <w:top w:val="single" w:sz="2" w:space="0" w:color="808080" w:themeColor="text1" w:themeTint="7F"/>
              <w:bottom w:val="single" w:sz="2" w:space="0" w:color="808080" w:themeColor="text1" w:themeTint="7F"/>
            </w:tcBorders>
            <w:shd w:val="clear" w:color="auto" w:fill="C6D9F1" w:themeFill="text2" w:themeFillTint="33"/>
          </w:tcPr>
          <w:p w14:paraId="4156E4C7" w14:textId="77777777" w:rsidR="004D2118" w:rsidRPr="002027A5" w:rsidRDefault="004D2118" w:rsidP="00546B31">
            <w:pPr>
              <w:pStyle w:val="boldcentered"/>
              <w:keepNext/>
              <w:keepLines/>
              <w:rPr>
                <w:rStyle w:val="TableTextBold"/>
                <w:rFonts w:ascii="Arial Narrow" w:hAnsi="Arial Narrow"/>
                <w:b/>
                <w:sz w:val="22"/>
                <w:szCs w:val="22"/>
              </w:rPr>
            </w:pPr>
            <w:r w:rsidRPr="002027A5">
              <w:rPr>
                <w:rStyle w:val="TableTextBold"/>
                <w:rFonts w:ascii="Arial Narrow" w:hAnsi="Arial Narrow"/>
                <w:b/>
                <w:sz w:val="22"/>
                <w:szCs w:val="22"/>
              </w:rPr>
              <w:t>Strongly Disagree</w:t>
            </w:r>
          </w:p>
        </w:tc>
        <w:tc>
          <w:tcPr>
            <w:tcW w:w="648" w:type="pct"/>
            <w:tcBorders>
              <w:top w:val="single" w:sz="2" w:space="0" w:color="808080" w:themeColor="text1" w:themeTint="7F"/>
              <w:bottom w:val="single" w:sz="2" w:space="0" w:color="808080" w:themeColor="text1" w:themeTint="7F"/>
            </w:tcBorders>
            <w:shd w:val="clear" w:color="auto" w:fill="C6D9F1" w:themeFill="text2" w:themeFillTint="33"/>
          </w:tcPr>
          <w:p w14:paraId="3D9386A7" w14:textId="77777777" w:rsidR="004D2118" w:rsidRPr="002027A5" w:rsidRDefault="004D2118" w:rsidP="00546B31">
            <w:pPr>
              <w:pStyle w:val="boldcentered"/>
              <w:keepNext/>
              <w:keepLines/>
              <w:rPr>
                <w:rStyle w:val="TableTextBold"/>
                <w:rFonts w:ascii="Arial Narrow" w:hAnsi="Arial Narrow"/>
                <w:b/>
                <w:sz w:val="22"/>
                <w:szCs w:val="22"/>
              </w:rPr>
            </w:pPr>
            <w:r w:rsidRPr="002027A5">
              <w:rPr>
                <w:rStyle w:val="TableTextBold"/>
                <w:rFonts w:ascii="Arial Narrow" w:hAnsi="Arial Narrow"/>
                <w:b/>
                <w:sz w:val="22"/>
                <w:szCs w:val="22"/>
              </w:rPr>
              <w:t>Disagree</w:t>
            </w:r>
          </w:p>
        </w:tc>
        <w:tc>
          <w:tcPr>
            <w:tcW w:w="971" w:type="pct"/>
            <w:tcBorders>
              <w:top w:val="single" w:sz="2" w:space="0" w:color="808080" w:themeColor="text1" w:themeTint="7F"/>
              <w:bottom w:val="single" w:sz="2" w:space="0" w:color="808080" w:themeColor="text1" w:themeTint="7F"/>
            </w:tcBorders>
            <w:shd w:val="clear" w:color="auto" w:fill="C6D9F1" w:themeFill="text2" w:themeFillTint="33"/>
          </w:tcPr>
          <w:p w14:paraId="5FA17EC5" w14:textId="77777777" w:rsidR="004D2118" w:rsidRPr="002027A5" w:rsidRDefault="004D2118" w:rsidP="00546B31">
            <w:pPr>
              <w:pStyle w:val="boldcentered"/>
              <w:keepNext/>
              <w:keepLines/>
              <w:rPr>
                <w:rStyle w:val="TableTextBold"/>
                <w:rFonts w:ascii="Arial Narrow" w:hAnsi="Arial Narrow"/>
                <w:b/>
                <w:sz w:val="22"/>
                <w:szCs w:val="22"/>
              </w:rPr>
            </w:pPr>
            <w:r w:rsidRPr="002027A5">
              <w:rPr>
                <w:rStyle w:val="TableTextBold"/>
                <w:rFonts w:ascii="Arial Narrow" w:hAnsi="Arial Narrow"/>
                <w:b/>
                <w:sz w:val="22"/>
                <w:szCs w:val="22"/>
              </w:rPr>
              <w:t>Neither Agree nor Disagree</w:t>
            </w:r>
          </w:p>
        </w:tc>
        <w:tc>
          <w:tcPr>
            <w:tcW w:w="486" w:type="pct"/>
            <w:tcBorders>
              <w:top w:val="single" w:sz="2" w:space="0" w:color="808080" w:themeColor="text1" w:themeTint="7F"/>
              <w:bottom w:val="single" w:sz="2" w:space="0" w:color="808080" w:themeColor="text1" w:themeTint="7F"/>
            </w:tcBorders>
            <w:shd w:val="clear" w:color="auto" w:fill="C6D9F1" w:themeFill="text2" w:themeFillTint="33"/>
          </w:tcPr>
          <w:p w14:paraId="51893E0E" w14:textId="77777777" w:rsidR="004D2118" w:rsidRPr="002027A5" w:rsidRDefault="004D2118" w:rsidP="00546B31">
            <w:pPr>
              <w:pStyle w:val="boldcentered"/>
              <w:keepNext/>
              <w:keepLines/>
              <w:rPr>
                <w:rStyle w:val="TableTextBold"/>
                <w:rFonts w:ascii="Arial Narrow" w:hAnsi="Arial Narrow"/>
                <w:b/>
                <w:sz w:val="22"/>
                <w:szCs w:val="22"/>
              </w:rPr>
            </w:pPr>
            <w:r w:rsidRPr="002027A5">
              <w:rPr>
                <w:rStyle w:val="TableTextBold"/>
                <w:rFonts w:ascii="Arial Narrow" w:hAnsi="Arial Narrow"/>
                <w:b/>
                <w:sz w:val="22"/>
                <w:szCs w:val="22"/>
              </w:rPr>
              <w:t>Agree</w:t>
            </w:r>
          </w:p>
        </w:tc>
        <w:tc>
          <w:tcPr>
            <w:tcW w:w="747" w:type="pct"/>
            <w:tcBorders>
              <w:top w:val="single" w:sz="2" w:space="0" w:color="808080" w:themeColor="text1" w:themeTint="7F"/>
              <w:bottom w:val="single" w:sz="2" w:space="0" w:color="808080" w:themeColor="text1" w:themeTint="7F"/>
            </w:tcBorders>
            <w:shd w:val="clear" w:color="auto" w:fill="C6D9F1" w:themeFill="text2" w:themeFillTint="33"/>
          </w:tcPr>
          <w:p w14:paraId="191E8DE8" w14:textId="77777777" w:rsidR="004D2118" w:rsidRPr="002027A5" w:rsidRDefault="004D2118" w:rsidP="00546B31">
            <w:pPr>
              <w:pStyle w:val="boldcentered"/>
              <w:keepNext/>
              <w:keepLines/>
              <w:rPr>
                <w:rFonts w:ascii="Arial Narrow" w:hAnsi="Arial Narrow"/>
                <w:sz w:val="22"/>
                <w:szCs w:val="22"/>
              </w:rPr>
            </w:pPr>
            <w:r w:rsidRPr="002027A5">
              <w:rPr>
                <w:rFonts w:ascii="Arial Narrow" w:hAnsi="Arial Narrow"/>
                <w:sz w:val="22"/>
                <w:szCs w:val="22"/>
              </w:rPr>
              <w:t>Strongly Agree</w:t>
            </w:r>
          </w:p>
        </w:tc>
      </w:tr>
      <w:tr w:rsidR="004D2118" w:rsidRPr="001A49FE" w14:paraId="2FC9F4A6" w14:textId="77777777" w:rsidTr="004031BF">
        <w:trPr>
          <w:cnfStyle w:val="000000100000" w:firstRow="0" w:lastRow="0" w:firstColumn="0" w:lastColumn="0" w:oddVBand="0" w:evenVBand="0" w:oddHBand="1" w:evenHBand="0" w:firstRowFirstColumn="0" w:firstRowLastColumn="0" w:lastRowFirstColumn="0" w:lastRowLastColumn="0"/>
        </w:trPr>
        <w:tc>
          <w:tcPr>
            <w:tcW w:w="1505" w:type="pct"/>
          </w:tcPr>
          <w:p w14:paraId="04DF4958" w14:textId="77777777" w:rsidR="004D2118" w:rsidRPr="004A5C18" w:rsidRDefault="004D2118" w:rsidP="00546B31">
            <w:pPr>
              <w:pStyle w:val="TableText"/>
              <w:keepNext/>
              <w:keepLines/>
              <w:rPr>
                <w:b/>
              </w:rPr>
            </w:pPr>
            <w:r w:rsidRPr="004A5C18">
              <w:rPr>
                <w:b/>
              </w:rPr>
              <w:t>Echo Glen</w:t>
            </w:r>
            <w:r>
              <w:rPr>
                <w:b/>
              </w:rPr>
              <w:t xml:space="preserve"> (n=27)</w:t>
            </w:r>
          </w:p>
        </w:tc>
        <w:tc>
          <w:tcPr>
            <w:tcW w:w="643" w:type="pct"/>
            <w:tcBorders>
              <w:top w:val="single" w:sz="2" w:space="0" w:color="808080" w:themeColor="text1" w:themeTint="7F"/>
            </w:tcBorders>
            <w:vAlign w:val="bottom"/>
          </w:tcPr>
          <w:p w14:paraId="050D7902" w14:textId="77777777" w:rsidR="004D2118" w:rsidRPr="00513717" w:rsidRDefault="004D2118" w:rsidP="00546B31">
            <w:pPr>
              <w:pStyle w:val="tabletextcenter"/>
              <w:keepNext/>
              <w:keepLines/>
              <w:rPr>
                <w:rStyle w:val="TableTextBold"/>
              </w:rPr>
            </w:pPr>
            <w:r w:rsidRPr="00513717">
              <w:t>37.0%</w:t>
            </w:r>
          </w:p>
        </w:tc>
        <w:tc>
          <w:tcPr>
            <w:tcW w:w="648" w:type="pct"/>
            <w:tcBorders>
              <w:top w:val="single" w:sz="2" w:space="0" w:color="808080" w:themeColor="text1" w:themeTint="7F"/>
            </w:tcBorders>
            <w:vAlign w:val="bottom"/>
          </w:tcPr>
          <w:p w14:paraId="70E7F281" w14:textId="77777777" w:rsidR="004D2118" w:rsidRPr="00513717" w:rsidRDefault="004D2118" w:rsidP="00546B31">
            <w:pPr>
              <w:pStyle w:val="tabletextcenter"/>
              <w:keepNext/>
              <w:keepLines/>
              <w:rPr>
                <w:rStyle w:val="TableTextBold"/>
              </w:rPr>
            </w:pPr>
            <w:r w:rsidRPr="00513717">
              <w:t>25.9%</w:t>
            </w:r>
          </w:p>
        </w:tc>
        <w:tc>
          <w:tcPr>
            <w:tcW w:w="971" w:type="pct"/>
            <w:tcBorders>
              <w:top w:val="single" w:sz="2" w:space="0" w:color="808080" w:themeColor="text1" w:themeTint="7F"/>
            </w:tcBorders>
            <w:vAlign w:val="bottom"/>
          </w:tcPr>
          <w:p w14:paraId="0D4F2239" w14:textId="77777777" w:rsidR="004D2118" w:rsidRPr="00513717" w:rsidRDefault="004D2118" w:rsidP="00546B31">
            <w:pPr>
              <w:pStyle w:val="tabletextcenter"/>
              <w:keepNext/>
              <w:keepLines/>
              <w:rPr>
                <w:rStyle w:val="TableTextBold"/>
              </w:rPr>
            </w:pPr>
            <w:r w:rsidRPr="00513717">
              <w:t>29.6%</w:t>
            </w:r>
          </w:p>
        </w:tc>
        <w:tc>
          <w:tcPr>
            <w:tcW w:w="486" w:type="pct"/>
            <w:tcBorders>
              <w:top w:val="single" w:sz="2" w:space="0" w:color="808080" w:themeColor="text1" w:themeTint="7F"/>
            </w:tcBorders>
            <w:vAlign w:val="bottom"/>
          </w:tcPr>
          <w:p w14:paraId="2FE092CA" w14:textId="77777777" w:rsidR="004D2118" w:rsidRPr="00513717" w:rsidRDefault="004D2118" w:rsidP="00546B31">
            <w:pPr>
              <w:pStyle w:val="tabletextcenter"/>
              <w:keepNext/>
              <w:keepLines/>
              <w:rPr>
                <w:rStyle w:val="TableTextBold"/>
              </w:rPr>
            </w:pPr>
            <w:r w:rsidRPr="00513717">
              <w:t>7.4%</w:t>
            </w:r>
          </w:p>
        </w:tc>
        <w:tc>
          <w:tcPr>
            <w:tcW w:w="747" w:type="pct"/>
            <w:tcBorders>
              <w:top w:val="single" w:sz="2" w:space="0" w:color="808080" w:themeColor="text1" w:themeTint="7F"/>
            </w:tcBorders>
            <w:vAlign w:val="bottom"/>
          </w:tcPr>
          <w:p w14:paraId="556C1E0E" w14:textId="77777777" w:rsidR="004D2118" w:rsidRPr="00513717" w:rsidRDefault="004D2118" w:rsidP="00546B31">
            <w:pPr>
              <w:pStyle w:val="tabletextcenter"/>
              <w:keepNext/>
              <w:keepLines/>
            </w:pPr>
            <w:r w:rsidRPr="00513717">
              <w:t>0.0%</w:t>
            </w:r>
          </w:p>
        </w:tc>
      </w:tr>
      <w:tr w:rsidR="004D2118" w:rsidRPr="00DE21B9" w14:paraId="7E38E0C3" w14:textId="77777777" w:rsidTr="004031BF">
        <w:tc>
          <w:tcPr>
            <w:tcW w:w="1505" w:type="pct"/>
          </w:tcPr>
          <w:p w14:paraId="71BB5DEB" w14:textId="77777777" w:rsidR="004D2118" w:rsidRPr="004962BA" w:rsidRDefault="004D2118" w:rsidP="00546B31">
            <w:pPr>
              <w:pStyle w:val="TableText"/>
              <w:keepNext/>
              <w:keepLines/>
              <w:rPr>
                <w:b/>
              </w:rPr>
            </w:pPr>
            <w:r w:rsidRPr="004962BA">
              <w:rPr>
                <w:b/>
              </w:rPr>
              <w:t>Green Hill (n=73)</w:t>
            </w:r>
          </w:p>
        </w:tc>
        <w:tc>
          <w:tcPr>
            <w:tcW w:w="643" w:type="pct"/>
            <w:vAlign w:val="bottom"/>
          </w:tcPr>
          <w:p w14:paraId="3C0EE380" w14:textId="77777777" w:rsidR="004D2118" w:rsidRPr="00513717" w:rsidRDefault="004D2118" w:rsidP="00546B31">
            <w:pPr>
              <w:pStyle w:val="tabletextcenter"/>
              <w:keepNext/>
              <w:keepLines/>
            </w:pPr>
            <w:r w:rsidRPr="00513717">
              <w:t>16.4%</w:t>
            </w:r>
          </w:p>
        </w:tc>
        <w:tc>
          <w:tcPr>
            <w:tcW w:w="648" w:type="pct"/>
            <w:vAlign w:val="bottom"/>
          </w:tcPr>
          <w:p w14:paraId="223A8B54" w14:textId="77777777" w:rsidR="004D2118" w:rsidRPr="00513717" w:rsidRDefault="004D2118" w:rsidP="00546B31">
            <w:pPr>
              <w:pStyle w:val="tabletextcenter"/>
              <w:keepNext/>
              <w:keepLines/>
            </w:pPr>
            <w:r w:rsidRPr="00513717">
              <w:t>16.4%</w:t>
            </w:r>
          </w:p>
        </w:tc>
        <w:tc>
          <w:tcPr>
            <w:tcW w:w="971" w:type="pct"/>
            <w:vAlign w:val="bottom"/>
          </w:tcPr>
          <w:p w14:paraId="3AFFE996" w14:textId="77777777" w:rsidR="004D2118" w:rsidRPr="00513717" w:rsidRDefault="004D2118" w:rsidP="00546B31">
            <w:pPr>
              <w:pStyle w:val="tabletextcenter"/>
              <w:keepNext/>
              <w:keepLines/>
            </w:pPr>
            <w:r w:rsidRPr="00513717">
              <w:t>38.4%</w:t>
            </w:r>
          </w:p>
        </w:tc>
        <w:tc>
          <w:tcPr>
            <w:tcW w:w="486" w:type="pct"/>
            <w:vAlign w:val="bottom"/>
          </w:tcPr>
          <w:p w14:paraId="06B0F1B1" w14:textId="77777777" w:rsidR="004D2118" w:rsidRPr="00513717" w:rsidRDefault="004D2118" w:rsidP="00546B31">
            <w:pPr>
              <w:pStyle w:val="tabletextcenter"/>
              <w:keepNext/>
              <w:keepLines/>
            </w:pPr>
            <w:r w:rsidRPr="00513717">
              <w:t>26.0%</w:t>
            </w:r>
          </w:p>
        </w:tc>
        <w:tc>
          <w:tcPr>
            <w:tcW w:w="747" w:type="pct"/>
            <w:vAlign w:val="bottom"/>
          </w:tcPr>
          <w:p w14:paraId="4D34D0BE" w14:textId="77777777" w:rsidR="004D2118" w:rsidRPr="00513717" w:rsidRDefault="004D2118" w:rsidP="00546B31">
            <w:pPr>
              <w:pStyle w:val="tabletextcenter"/>
              <w:keepNext/>
              <w:keepLines/>
            </w:pPr>
            <w:r w:rsidRPr="00513717">
              <w:t>2.7%</w:t>
            </w:r>
          </w:p>
        </w:tc>
      </w:tr>
      <w:tr w:rsidR="004D2118" w:rsidRPr="00DE21B9" w14:paraId="77CB38E7" w14:textId="77777777" w:rsidTr="004031BF">
        <w:trPr>
          <w:cnfStyle w:val="000000100000" w:firstRow="0" w:lastRow="0" w:firstColumn="0" w:lastColumn="0" w:oddVBand="0" w:evenVBand="0" w:oddHBand="1" w:evenHBand="0" w:firstRowFirstColumn="0" w:firstRowLastColumn="0" w:lastRowFirstColumn="0" w:lastRowLastColumn="0"/>
        </w:trPr>
        <w:tc>
          <w:tcPr>
            <w:tcW w:w="1505" w:type="pct"/>
          </w:tcPr>
          <w:p w14:paraId="67138D93" w14:textId="77777777" w:rsidR="004D2118" w:rsidRPr="004A5C18" w:rsidRDefault="004D2118" w:rsidP="00546B31">
            <w:pPr>
              <w:pStyle w:val="TableText"/>
              <w:keepNext/>
              <w:keepLines/>
              <w:rPr>
                <w:b/>
              </w:rPr>
            </w:pPr>
            <w:r w:rsidRPr="004A5C18">
              <w:rPr>
                <w:b/>
              </w:rPr>
              <w:t>Naselle</w:t>
            </w:r>
            <w:r>
              <w:rPr>
                <w:b/>
              </w:rPr>
              <w:t xml:space="preserve"> (n=27)</w:t>
            </w:r>
          </w:p>
        </w:tc>
        <w:tc>
          <w:tcPr>
            <w:tcW w:w="643" w:type="pct"/>
            <w:vAlign w:val="bottom"/>
          </w:tcPr>
          <w:p w14:paraId="742B409A" w14:textId="77777777" w:rsidR="004D2118" w:rsidRPr="00513717" w:rsidRDefault="004D2118" w:rsidP="00546B31">
            <w:pPr>
              <w:pStyle w:val="tabletextcenter"/>
              <w:keepNext/>
              <w:keepLines/>
              <w:rPr>
                <w:lang w:val="pl-PL"/>
              </w:rPr>
            </w:pPr>
            <w:r w:rsidRPr="00513717">
              <w:t>11.1%</w:t>
            </w:r>
          </w:p>
        </w:tc>
        <w:tc>
          <w:tcPr>
            <w:tcW w:w="648" w:type="pct"/>
            <w:vAlign w:val="bottom"/>
          </w:tcPr>
          <w:p w14:paraId="3A5A4BFB" w14:textId="77777777" w:rsidR="004D2118" w:rsidRPr="00513717" w:rsidRDefault="004D2118" w:rsidP="00546B31">
            <w:pPr>
              <w:pStyle w:val="tabletextcenter"/>
              <w:keepNext/>
              <w:keepLines/>
            </w:pPr>
            <w:r w:rsidRPr="00513717">
              <w:t>14.8%</w:t>
            </w:r>
          </w:p>
        </w:tc>
        <w:tc>
          <w:tcPr>
            <w:tcW w:w="971" w:type="pct"/>
            <w:vAlign w:val="bottom"/>
          </w:tcPr>
          <w:p w14:paraId="3521B5B9" w14:textId="77777777" w:rsidR="004D2118" w:rsidRPr="00513717" w:rsidRDefault="004D2118" w:rsidP="00546B31">
            <w:pPr>
              <w:pStyle w:val="tabletextcenter"/>
              <w:keepNext/>
              <w:keepLines/>
            </w:pPr>
            <w:r w:rsidRPr="00513717">
              <w:t>48.1%</w:t>
            </w:r>
          </w:p>
        </w:tc>
        <w:tc>
          <w:tcPr>
            <w:tcW w:w="486" w:type="pct"/>
            <w:vAlign w:val="bottom"/>
          </w:tcPr>
          <w:p w14:paraId="6945565E" w14:textId="77777777" w:rsidR="004D2118" w:rsidRPr="00513717" w:rsidRDefault="004D2118" w:rsidP="00546B31">
            <w:pPr>
              <w:pStyle w:val="tabletextcenter"/>
              <w:keepNext/>
              <w:keepLines/>
            </w:pPr>
            <w:r w:rsidRPr="00513717">
              <w:t>18.5%</w:t>
            </w:r>
          </w:p>
        </w:tc>
        <w:tc>
          <w:tcPr>
            <w:tcW w:w="747" w:type="pct"/>
            <w:vAlign w:val="bottom"/>
          </w:tcPr>
          <w:p w14:paraId="240F3E06" w14:textId="77777777" w:rsidR="004D2118" w:rsidRPr="00513717" w:rsidRDefault="004D2118" w:rsidP="00546B31">
            <w:pPr>
              <w:pStyle w:val="tabletextcenter"/>
              <w:keepNext/>
              <w:keepLines/>
            </w:pPr>
            <w:r w:rsidRPr="00513717">
              <w:t>7.4%</w:t>
            </w:r>
          </w:p>
        </w:tc>
      </w:tr>
      <w:tr w:rsidR="004D2118" w:rsidRPr="00DE21B9" w14:paraId="370024A9" w14:textId="77777777" w:rsidTr="004031BF">
        <w:tc>
          <w:tcPr>
            <w:tcW w:w="1505" w:type="pct"/>
          </w:tcPr>
          <w:p w14:paraId="4A52F61F" w14:textId="77777777" w:rsidR="004D2118" w:rsidRPr="004A5C18" w:rsidRDefault="004D2118" w:rsidP="00546B31">
            <w:pPr>
              <w:pStyle w:val="TableText"/>
              <w:keepNext/>
              <w:keepLines/>
              <w:rPr>
                <w:b/>
              </w:rPr>
            </w:pPr>
            <w:r w:rsidRPr="004A5C18">
              <w:rPr>
                <w:b/>
              </w:rPr>
              <w:t>Community Facilities</w:t>
            </w:r>
            <w:r>
              <w:rPr>
                <w:b/>
              </w:rPr>
              <w:t xml:space="preserve"> (n=35)</w:t>
            </w:r>
          </w:p>
        </w:tc>
        <w:tc>
          <w:tcPr>
            <w:tcW w:w="643" w:type="pct"/>
            <w:vAlign w:val="bottom"/>
          </w:tcPr>
          <w:p w14:paraId="6BB8D502" w14:textId="77777777" w:rsidR="004D2118" w:rsidRPr="00513717" w:rsidRDefault="004D2118" w:rsidP="00546B31">
            <w:pPr>
              <w:pStyle w:val="tabletextcenter"/>
              <w:keepNext/>
              <w:keepLines/>
            </w:pPr>
            <w:r w:rsidRPr="00513717">
              <w:t>11.4%</w:t>
            </w:r>
          </w:p>
        </w:tc>
        <w:tc>
          <w:tcPr>
            <w:tcW w:w="648" w:type="pct"/>
            <w:vAlign w:val="bottom"/>
          </w:tcPr>
          <w:p w14:paraId="2CD08E16" w14:textId="77777777" w:rsidR="004D2118" w:rsidRPr="00513717" w:rsidRDefault="004D2118" w:rsidP="00546B31">
            <w:pPr>
              <w:pStyle w:val="tabletextcenter"/>
              <w:keepNext/>
              <w:keepLines/>
            </w:pPr>
            <w:r w:rsidRPr="00513717">
              <w:t>20.0%</w:t>
            </w:r>
          </w:p>
        </w:tc>
        <w:tc>
          <w:tcPr>
            <w:tcW w:w="971" w:type="pct"/>
            <w:vAlign w:val="bottom"/>
          </w:tcPr>
          <w:p w14:paraId="57E7AC3F" w14:textId="77777777" w:rsidR="004D2118" w:rsidRPr="00513717" w:rsidRDefault="004D2118" w:rsidP="00546B31">
            <w:pPr>
              <w:pStyle w:val="tabletextcenter"/>
              <w:keepNext/>
              <w:keepLines/>
            </w:pPr>
            <w:r w:rsidRPr="00513717">
              <w:t>25.7%</w:t>
            </w:r>
          </w:p>
        </w:tc>
        <w:tc>
          <w:tcPr>
            <w:tcW w:w="486" w:type="pct"/>
            <w:vAlign w:val="bottom"/>
          </w:tcPr>
          <w:p w14:paraId="6DC7C6F3" w14:textId="77777777" w:rsidR="004D2118" w:rsidRPr="00513717" w:rsidRDefault="004D2118" w:rsidP="00546B31">
            <w:pPr>
              <w:pStyle w:val="tabletextcenter"/>
              <w:keepNext/>
              <w:keepLines/>
            </w:pPr>
            <w:r w:rsidRPr="00513717">
              <w:t>31.4%</w:t>
            </w:r>
          </w:p>
        </w:tc>
        <w:tc>
          <w:tcPr>
            <w:tcW w:w="747" w:type="pct"/>
            <w:vAlign w:val="bottom"/>
          </w:tcPr>
          <w:p w14:paraId="24283EDB" w14:textId="77777777" w:rsidR="004D2118" w:rsidRPr="00513717" w:rsidRDefault="004D2118" w:rsidP="00546B31">
            <w:pPr>
              <w:pStyle w:val="tabletextcenter"/>
              <w:keepNext/>
              <w:keepLines/>
            </w:pPr>
            <w:r w:rsidRPr="00513717">
              <w:t>11.4%</w:t>
            </w:r>
          </w:p>
        </w:tc>
      </w:tr>
    </w:tbl>
    <w:p w14:paraId="1B8B3DB7" w14:textId="77777777" w:rsidR="004031BF" w:rsidRPr="00256CC5" w:rsidRDefault="004031BF" w:rsidP="00546B31">
      <w:pPr>
        <w:keepNext/>
        <w:keepLines/>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47CB528C" w14:textId="77777777" w:rsidR="004D2118" w:rsidRPr="000978DD" w:rsidRDefault="004D2118" w:rsidP="00CE5063">
      <w:pPr>
        <w:pStyle w:val="Heading4"/>
        <w:spacing w:before="180"/>
        <w:rPr>
          <w:color w:val="000000" w:themeColor="text1"/>
        </w:rPr>
      </w:pPr>
      <w:r w:rsidRPr="000978DD">
        <w:rPr>
          <w:color w:val="000000" w:themeColor="text1"/>
        </w:rPr>
        <w:t>Rewards and Recognition</w:t>
      </w:r>
    </w:p>
    <w:p w14:paraId="5E2AA01F" w14:textId="77777777" w:rsidR="00D4764C" w:rsidRDefault="00D4764C" w:rsidP="00D4764C">
      <w:pPr>
        <w:pStyle w:val="PullQuote"/>
        <w:framePr w:wrap="around" w:hAnchor="page" w:x="7263" w:y="161"/>
      </w:pPr>
      <w:r w:rsidRPr="00D4764C">
        <w:rPr>
          <w:i/>
        </w:rPr>
        <w:t>“I want to be treated like a human being, you feel like a number on their sheets</w:t>
      </w:r>
      <w:r>
        <w:t>.”</w:t>
      </w:r>
    </w:p>
    <w:p w14:paraId="244DA83E" w14:textId="77777777" w:rsidR="00D4764C" w:rsidRDefault="00D4764C" w:rsidP="00D4764C">
      <w:pPr>
        <w:pStyle w:val="PullQuote"/>
        <w:framePr w:wrap="around" w:hAnchor="page" w:x="7263" w:y="161"/>
        <w:jc w:val="right"/>
      </w:pPr>
      <w:r>
        <w:t>—Staff</w:t>
      </w:r>
    </w:p>
    <w:p w14:paraId="523C2A57" w14:textId="77777777" w:rsidR="002027A5" w:rsidRDefault="004031BF" w:rsidP="004D2118">
      <w:r>
        <w:t xml:space="preserve">Most staff </w:t>
      </w:r>
      <w:r w:rsidR="004D2118" w:rsidRPr="004031BF">
        <w:t xml:space="preserve">need to feel valued and appreciated by leadership and their supervisor. </w:t>
      </w:r>
      <w:r w:rsidR="000E291E" w:rsidRPr="004031BF">
        <w:t xml:space="preserve">Rewards and recognition programs are just one of many strategies for retaining staff. </w:t>
      </w:r>
      <w:r>
        <w:t xml:space="preserve">The staff survey </w:t>
      </w:r>
      <w:r w:rsidR="004D2118" w:rsidRPr="004031BF">
        <w:t xml:space="preserve">asked whether </w:t>
      </w:r>
      <w:r>
        <w:t xml:space="preserve">staff </w:t>
      </w:r>
      <w:r w:rsidR="004D2118" w:rsidRPr="004031BF">
        <w:t xml:space="preserve">feel adequately rewarded and recognized for excellent performance. As shown in </w:t>
      </w:r>
      <w:r w:rsidR="00D4764C" w:rsidRPr="004031BF">
        <w:t xml:space="preserve">Exhibit </w:t>
      </w:r>
      <w:r w:rsidR="00C75275">
        <w:t>5</w:t>
      </w:r>
      <w:r w:rsidR="00D4764C" w:rsidRPr="004031BF">
        <w:t>-</w:t>
      </w:r>
      <w:r w:rsidR="00A05906">
        <w:t>39</w:t>
      </w:r>
      <w:r w:rsidR="004D2118" w:rsidRPr="004031BF">
        <w:t>, less tha</w:t>
      </w:r>
      <w:r>
        <w:t>n</w:t>
      </w:r>
      <w:r w:rsidR="004D2118" w:rsidRPr="004031BF">
        <w:t xml:space="preserve"> a </w:t>
      </w:r>
      <w:r w:rsidR="00862746">
        <w:t>quarter o</w:t>
      </w:r>
      <w:r w:rsidR="004D2118" w:rsidRPr="004031BF">
        <w:t>f the staff at Echo Glen (18.5%), Green Hill (18.1%), and Naselle (22.2%) felt adequately rewarded and recognized. More staff at the community facilities (31.4%) indicated they felt they were adequately recognized and rewarded.</w:t>
      </w:r>
    </w:p>
    <w:p w14:paraId="693120F2" w14:textId="77777777" w:rsidR="004D2118" w:rsidRDefault="00D4764C" w:rsidP="00453B14">
      <w:pPr>
        <w:pStyle w:val="Caption"/>
      </w:pPr>
      <w:r>
        <w:t xml:space="preserve">Exhibit </w:t>
      </w:r>
      <w:r w:rsidR="004E3CA2">
        <w:rPr>
          <w:noProof/>
        </w:rPr>
        <w:fldChar w:fldCharType="begin"/>
      </w:r>
      <w:r w:rsidR="004E3CA2">
        <w:rPr>
          <w:noProof/>
        </w:rPr>
        <w:instrText xml:space="preserve"> STYLEREF 1 \s </w:instrText>
      </w:r>
      <w:r w:rsidR="004E3CA2">
        <w:rPr>
          <w:noProof/>
        </w:rPr>
        <w:fldChar w:fldCharType="separate"/>
      </w:r>
      <w:r w:rsidR="00FD2536">
        <w:rPr>
          <w:noProof/>
        </w:rPr>
        <w:t>5</w:t>
      </w:r>
      <w:r w:rsidR="004E3CA2">
        <w:rPr>
          <w:noProof/>
        </w:rPr>
        <w:fldChar w:fldCharType="end"/>
      </w:r>
      <w:r>
        <w:noBreakHyphen/>
      </w:r>
      <w:r w:rsidR="00A05906">
        <w:rPr>
          <w:noProof/>
        </w:rPr>
        <w:t>39</w:t>
      </w:r>
      <w:r w:rsidR="00E251C1">
        <w:t>.</w:t>
      </w:r>
      <w:r w:rsidR="00453B14">
        <w:t xml:space="preserve"> </w:t>
      </w:r>
      <w:r w:rsidR="004D2118">
        <w:t>Reward and Recognition</w:t>
      </w:r>
      <w:r w:rsidR="007E7BBC">
        <w:t xml:space="preserve">, By </w:t>
      </w:r>
      <w:r w:rsidR="00837B72">
        <w:t>Facility</w:t>
      </w:r>
    </w:p>
    <w:tbl>
      <w:tblPr>
        <w:tblStyle w:val="HyzerTable"/>
        <w:tblW w:w="5000" w:type="pct"/>
        <w:tblLook w:val="0420" w:firstRow="1" w:lastRow="0" w:firstColumn="0" w:lastColumn="0" w:noHBand="0" w:noVBand="1"/>
      </w:tblPr>
      <w:tblGrid>
        <w:gridCol w:w="2624"/>
        <w:gridCol w:w="1303"/>
        <w:gridCol w:w="1292"/>
        <w:gridCol w:w="1936"/>
        <w:gridCol w:w="968"/>
        <w:gridCol w:w="1237"/>
      </w:tblGrid>
      <w:tr w:rsidR="004D2118" w:rsidRPr="00CD1826" w14:paraId="38773AA9" w14:textId="77777777" w:rsidTr="009B6DDA">
        <w:trPr>
          <w:cnfStyle w:val="100000000000" w:firstRow="1" w:lastRow="0" w:firstColumn="0" w:lastColumn="0" w:oddVBand="0" w:evenVBand="0" w:oddHBand="0" w:evenHBand="0" w:firstRowFirstColumn="0" w:firstRowLastColumn="0" w:lastRowFirstColumn="0" w:lastRowLastColumn="0"/>
          <w:trHeight w:val="105"/>
          <w:tblHeader/>
        </w:trPr>
        <w:tc>
          <w:tcPr>
            <w:tcW w:w="1402" w:type="pct"/>
            <w:vMerge w:val="restart"/>
          </w:tcPr>
          <w:p w14:paraId="1CC9DFD9" w14:textId="77777777" w:rsidR="004D2118" w:rsidRPr="002027A5" w:rsidRDefault="004D2118" w:rsidP="00743AFC">
            <w:pPr>
              <w:pStyle w:val="tableheaderwhite"/>
              <w:keepNext/>
              <w:rPr>
                <w:sz w:val="22"/>
                <w:szCs w:val="22"/>
              </w:rPr>
            </w:pPr>
            <w:r w:rsidRPr="002027A5">
              <w:rPr>
                <w:sz w:val="22"/>
                <w:szCs w:val="22"/>
              </w:rPr>
              <w:t>Facility</w:t>
            </w:r>
          </w:p>
        </w:tc>
        <w:tc>
          <w:tcPr>
            <w:tcW w:w="3598" w:type="pct"/>
            <w:gridSpan w:val="5"/>
            <w:vAlign w:val="center"/>
          </w:tcPr>
          <w:p w14:paraId="079D4BF2" w14:textId="77777777" w:rsidR="004D2118" w:rsidRPr="004031BF" w:rsidRDefault="004D2118" w:rsidP="004031BF">
            <w:pPr>
              <w:pStyle w:val="tableheaderwhite"/>
              <w:keepNext/>
              <w:spacing w:before="20" w:after="20"/>
              <w:rPr>
                <w:sz w:val="22"/>
                <w:szCs w:val="22"/>
              </w:rPr>
            </w:pPr>
            <w:r w:rsidRPr="002027A5">
              <w:rPr>
                <w:sz w:val="22"/>
                <w:szCs w:val="22"/>
              </w:rPr>
              <w:t>“I Am Adequately Rewarded and Recognized When I Perform My Job Well”</w:t>
            </w:r>
          </w:p>
        </w:tc>
      </w:tr>
      <w:tr w:rsidR="004D2118" w:rsidRPr="00CD1826" w14:paraId="69DBCA9A" w14:textId="77777777" w:rsidTr="009B6DDA">
        <w:trPr>
          <w:cnfStyle w:val="100000000000" w:firstRow="1" w:lastRow="0" w:firstColumn="0" w:lastColumn="0" w:oddVBand="0" w:evenVBand="0" w:oddHBand="0" w:evenHBand="0" w:firstRowFirstColumn="0" w:firstRowLastColumn="0" w:lastRowFirstColumn="0" w:lastRowLastColumn="0"/>
          <w:trHeight w:val="706"/>
          <w:tblHeader/>
        </w:trPr>
        <w:tc>
          <w:tcPr>
            <w:tcW w:w="1402" w:type="pct"/>
            <w:vMerge/>
          </w:tcPr>
          <w:p w14:paraId="511244A1" w14:textId="77777777" w:rsidR="004D2118" w:rsidRDefault="004D2118" w:rsidP="00743AFC">
            <w:pPr>
              <w:pStyle w:val="TableText"/>
              <w:keepNext/>
            </w:pPr>
          </w:p>
        </w:tc>
        <w:tc>
          <w:tcPr>
            <w:tcW w:w="696" w:type="pct"/>
            <w:shd w:val="clear" w:color="auto" w:fill="C6D9F1" w:themeFill="text2" w:themeFillTint="33"/>
          </w:tcPr>
          <w:p w14:paraId="44DFA928" w14:textId="77777777" w:rsidR="004D2118" w:rsidRPr="004031BF" w:rsidRDefault="004D2118" w:rsidP="004031BF">
            <w:pPr>
              <w:pStyle w:val="boldcentered"/>
              <w:keepNext/>
              <w:rPr>
                <w:rStyle w:val="TableTextBold"/>
                <w:rFonts w:ascii="Arial Narrow" w:hAnsi="Arial Narrow"/>
                <w:b/>
              </w:rPr>
            </w:pPr>
            <w:r w:rsidRPr="004A5C18">
              <w:rPr>
                <w:rStyle w:val="TableTextBold"/>
                <w:rFonts w:ascii="Arial Narrow" w:hAnsi="Arial Narrow"/>
                <w:b/>
              </w:rPr>
              <w:t>Strongly Disagree</w:t>
            </w:r>
          </w:p>
        </w:tc>
        <w:tc>
          <w:tcPr>
            <w:tcW w:w="690" w:type="pct"/>
            <w:shd w:val="clear" w:color="auto" w:fill="C6D9F1" w:themeFill="text2" w:themeFillTint="33"/>
          </w:tcPr>
          <w:p w14:paraId="5369471C" w14:textId="77777777" w:rsidR="004D2118" w:rsidRPr="009A5DC7" w:rsidRDefault="004D2118" w:rsidP="00743AFC">
            <w:pPr>
              <w:pStyle w:val="boldcentered"/>
              <w:keepNext/>
              <w:rPr>
                <w:rStyle w:val="TableTextBold"/>
                <w:rFonts w:ascii="Arial Narrow" w:hAnsi="Arial Narrow"/>
                <w:b/>
              </w:rPr>
            </w:pPr>
            <w:r w:rsidRPr="004A5C18">
              <w:rPr>
                <w:rStyle w:val="TableTextBold"/>
                <w:rFonts w:ascii="Arial Narrow" w:hAnsi="Arial Narrow"/>
                <w:b/>
              </w:rPr>
              <w:t>Disagree</w:t>
            </w:r>
          </w:p>
          <w:p w14:paraId="08D9E660" w14:textId="77777777" w:rsidR="004D2118" w:rsidRPr="004A5C18" w:rsidRDefault="004D2118" w:rsidP="00743AFC">
            <w:pPr>
              <w:pStyle w:val="TableText"/>
              <w:keepNext/>
              <w:jc w:val="center"/>
              <w:rPr>
                <w:rStyle w:val="TableTextBold"/>
                <w:b w:val="0"/>
              </w:rPr>
            </w:pPr>
            <w:r>
              <w:rPr>
                <w:rStyle w:val="TableTextBold"/>
                <w:b w:val="0"/>
              </w:rPr>
              <w:t xml:space="preserve"> </w:t>
            </w:r>
          </w:p>
        </w:tc>
        <w:tc>
          <w:tcPr>
            <w:tcW w:w="1034" w:type="pct"/>
            <w:shd w:val="clear" w:color="auto" w:fill="C6D9F1" w:themeFill="text2" w:themeFillTint="33"/>
          </w:tcPr>
          <w:p w14:paraId="2A67A540" w14:textId="77777777" w:rsidR="004D2118" w:rsidRPr="009A5DC7" w:rsidRDefault="004D2118" w:rsidP="00743AFC">
            <w:pPr>
              <w:pStyle w:val="boldcentered"/>
              <w:keepNext/>
              <w:rPr>
                <w:rStyle w:val="TableTextBold"/>
                <w:rFonts w:ascii="Arial Narrow" w:hAnsi="Arial Narrow"/>
                <w:b/>
              </w:rPr>
            </w:pPr>
            <w:r w:rsidRPr="004A5C18">
              <w:rPr>
                <w:rStyle w:val="TableTextBold"/>
                <w:rFonts w:ascii="Arial Narrow" w:hAnsi="Arial Narrow"/>
                <w:b/>
              </w:rPr>
              <w:t xml:space="preserve">Neither Agree </w:t>
            </w:r>
            <w:r>
              <w:rPr>
                <w:rStyle w:val="TableTextBold"/>
                <w:rFonts w:ascii="Arial Narrow" w:hAnsi="Arial Narrow"/>
                <w:b/>
              </w:rPr>
              <w:t>nor</w:t>
            </w:r>
            <w:r w:rsidRPr="004A5C18">
              <w:rPr>
                <w:rStyle w:val="TableTextBold"/>
                <w:rFonts w:ascii="Arial Narrow" w:hAnsi="Arial Narrow"/>
                <w:b/>
              </w:rPr>
              <w:t xml:space="preserve"> Disagree</w:t>
            </w:r>
          </w:p>
        </w:tc>
        <w:tc>
          <w:tcPr>
            <w:tcW w:w="517" w:type="pct"/>
            <w:shd w:val="clear" w:color="auto" w:fill="C6D9F1" w:themeFill="text2" w:themeFillTint="33"/>
          </w:tcPr>
          <w:p w14:paraId="653B60D0" w14:textId="77777777" w:rsidR="004D2118" w:rsidRDefault="004D2118" w:rsidP="00743AFC">
            <w:pPr>
              <w:pStyle w:val="boldcentered"/>
              <w:keepNext/>
              <w:rPr>
                <w:rStyle w:val="TableTextBold"/>
                <w:rFonts w:ascii="Arial Narrow" w:hAnsi="Arial Narrow"/>
                <w:b/>
              </w:rPr>
            </w:pPr>
            <w:r w:rsidRPr="004A5C18">
              <w:rPr>
                <w:rStyle w:val="TableTextBold"/>
                <w:rFonts w:ascii="Arial Narrow" w:hAnsi="Arial Narrow"/>
                <w:b/>
              </w:rPr>
              <w:t>Agree</w:t>
            </w:r>
          </w:p>
          <w:p w14:paraId="31FE003A" w14:textId="77777777" w:rsidR="004D2118" w:rsidRPr="004A5C18" w:rsidRDefault="004D2118" w:rsidP="00743AFC">
            <w:pPr>
              <w:pStyle w:val="TableText"/>
              <w:keepNext/>
              <w:rPr>
                <w:rStyle w:val="TableTextBold"/>
                <w:b w:val="0"/>
              </w:rPr>
            </w:pPr>
          </w:p>
        </w:tc>
        <w:tc>
          <w:tcPr>
            <w:tcW w:w="661" w:type="pct"/>
            <w:shd w:val="clear" w:color="auto" w:fill="C6D9F1" w:themeFill="text2" w:themeFillTint="33"/>
          </w:tcPr>
          <w:p w14:paraId="785B83CA" w14:textId="77777777" w:rsidR="004D2118" w:rsidRPr="004031BF" w:rsidRDefault="004D2118" w:rsidP="004031BF">
            <w:pPr>
              <w:pStyle w:val="boldcentered"/>
              <w:keepNext/>
              <w:rPr>
                <w:rFonts w:ascii="Arial Narrow" w:hAnsi="Arial Narrow"/>
              </w:rPr>
            </w:pPr>
            <w:r w:rsidRPr="004A5C18">
              <w:rPr>
                <w:rFonts w:ascii="Arial Narrow" w:hAnsi="Arial Narrow"/>
              </w:rPr>
              <w:t>Strongly Agree</w:t>
            </w:r>
          </w:p>
        </w:tc>
      </w:tr>
      <w:tr w:rsidR="004D2118" w:rsidRPr="00CD1826" w14:paraId="4F6E3278" w14:textId="77777777" w:rsidTr="004031BF">
        <w:trPr>
          <w:cnfStyle w:val="000000100000" w:firstRow="0" w:lastRow="0" w:firstColumn="0" w:lastColumn="0" w:oddVBand="0" w:evenVBand="0" w:oddHBand="1" w:evenHBand="0" w:firstRowFirstColumn="0" w:firstRowLastColumn="0" w:lastRowFirstColumn="0" w:lastRowLastColumn="0"/>
        </w:trPr>
        <w:tc>
          <w:tcPr>
            <w:tcW w:w="1402" w:type="pct"/>
          </w:tcPr>
          <w:p w14:paraId="2FF85747" w14:textId="77777777" w:rsidR="004D2118" w:rsidRPr="00CD1826" w:rsidRDefault="004D2118" w:rsidP="00743AFC">
            <w:pPr>
              <w:pStyle w:val="TableTextRight"/>
              <w:keepNext/>
              <w:jc w:val="left"/>
            </w:pPr>
            <w:r w:rsidRPr="004A5C18">
              <w:rPr>
                <w:b/>
              </w:rPr>
              <w:t>Echo Glen</w:t>
            </w:r>
            <w:r>
              <w:rPr>
                <w:b/>
              </w:rPr>
              <w:t xml:space="preserve"> (n=27)</w:t>
            </w:r>
          </w:p>
        </w:tc>
        <w:tc>
          <w:tcPr>
            <w:tcW w:w="696" w:type="pct"/>
          </w:tcPr>
          <w:p w14:paraId="653916C2" w14:textId="77777777" w:rsidR="004D2118" w:rsidRPr="00DE6245" w:rsidRDefault="004D2118" w:rsidP="00743AFC">
            <w:pPr>
              <w:pStyle w:val="TableTextRight"/>
              <w:keepNext/>
              <w:jc w:val="center"/>
            </w:pPr>
            <w:r w:rsidRPr="00DE6245">
              <w:rPr>
                <w:bCs/>
                <w:color w:val="000000"/>
              </w:rPr>
              <w:t>37.0%</w:t>
            </w:r>
          </w:p>
        </w:tc>
        <w:tc>
          <w:tcPr>
            <w:tcW w:w="690" w:type="pct"/>
          </w:tcPr>
          <w:p w14:paraId="5A2AF3C1" w14:textId="77777777" w:rsidR="004D2118" w:rsidRPr="00DE6245" w:rsidRDefault="004D2118" w:rsidP="00743AFC">
            <w:pPr>
              <w:pStyle w:val="TableTextRight"/>
              <w:keepNext/>
              <w:jc w:val="center"/>
            </w:pPr>
            <w:r w:rsidRPr="00DE6245">
              <w:rPr>
                <w:bCs/>
                <w:color w:val="000000"/>
              </w:rPr>
              <w:t>18.5%</w:t>
            </w:r>
          </w:p>
        </w:tc>
        <w:tc>
          <w:tcPr>
            <w:tcW w:w="1034" w:type="pct"/>
          </w:tcPr>
          <w:p w14:paraId="3CD626CE" w14:textId="77777777" w:rsidR="004D2118" w:rsidRPr="00DE6245" w:rsidRDefault="004D2118" w:rsidP="00743AFC">
            <w:pPr>
              <w:pStyle w:val="TableTextRight"/>
              <w:keepNext/>
              <w:jc w:val="center"/>
            </w:pPr>
            <w:r w:rsidRPr="00DE6245">
              <w:rPr>
                <w:bCs/>
                <w:color w:val="000000"/>
              </w:rPr>
              <w:t>25.9%</w:t>
            </w:r>
          </w:p>
        </w:tc>
        <w:tc>
          <w:tcPr>
            <w:tcW w:w="517" w:type="pct"/>
          </w:tcPr>
          <w:p w14:paraId="7E9B71B1" w14:textId="77777777" w:rsidR="004D2118" w:rsidRPr="00DE6245" w:rsidRDefault="004D2118" w:rsidP="00743AFC">
            <w:pPr>
              <w:pStyle w:val="TableTextRight"/>
              <w:keepNext/>
              <w:jc w:val="center"/>
            </w:pPr>
            <w:r w:rsidRPr="00DE6245">
              <w:rPr>
                <w:bCs/>
                <w:color w:val="000000"/>
              </w:rPr>
              <w:t>14.8%</w:t>
            </w:r>
          </w:p>
        </w:tc>
        <w:tc>
          <w:tcPr>
            <w:tcW w:w="661" w:type="pct"/>
          </w:tcPr>
          <w:p w14:paraId="2C6590BB" w14:textId="77777777" w:rsidR="004D2118" w:rsidRPr="00DE6245" w:rsidRDefault="004D2118" w:rsidP="00743AFC">
            <w:pPr>
              <w:pStyle w:val="TableTextRight"/>
              <w:keepNext/>
              <w:jc w:val="center"/>
              <w:rPr>
                <w:bCs/>
                <w:color w:val="000000"/>
              </w:rPr>
            </w:pPr>
            <w:r w:rsidRPr="00DE6245">
              <w:rPr>
                <w:bCs/>
                <w:color w:val="000000"/>
              </w:rPr>
              <w:t>3.7%</w:t>
            </w:r>
          </w:p>
        </w:tc>
      </w:tr>
      <w:tr w:rsidR="004D2118" w:rsidRPr="00CD1826" w14:paraId="05EC83E2" w14:textId="77777777" w:rsidTr="004031BF">
        <w:tc>
          <w:tcPr>
            <w:tcW w:w="1402" w:type="pct"/>
          </w:tcPr>
          <w:p w14:paraId="51930BF2" w14:textId="77777777" w:rsidR="004D2118" w:rsidRPr="00507F7B" w:rsidRDefault="004D2118" w:rsidP="00743AFC">
            <w:pPr>
              <w:pStyle w:val="TableTextBoldRight"/>
              <w:keepNext/>
              <w:jc w:val="left"/>
            </w:pPr>
            <w:r w:rsidRPr="00507F7B">
              <w:t>Green Hill</w:t>
            </w:r>
            <w:r w:rsidR="004031BF">
              <w:t xml:space="preserve"> </w:t>
            </w:r>
            <w:r w:rsidR="004031BF" w:rsidRPr="004031BF">
              <w:t>(n=73)</w:t>
            </w:r>
          </w:p>
        </w:tc>
        <w:tc>
          <w:tcPr>
            <w:tcW w:w="696" w:type="pct"/>
          </w:tcPr>
          <w:p w14:paraId="113E2167" w14:textId="77777777" w:rsidR="004D2118" w:rsidRPr="00DE6245" w:rsidRDefault="004D2118" w:rsidP="00743AFC">
            <w:pPr>
              <w:pStyle w:val="TableTextBoldRight"/>
              <w:keepNext/>
              <w:jc w:val="center"/>
              <w:rPr>
                <w:b w:val="0"/>
              </w:rPr>
            </w:pPr>
            <w:r w:rsidRPr="00DE6245">
              <w:rPr>
                <w:b w:val="0"/>
              </w:rPr>
              <w:t>31.9%</w:t>
            </w:r>
          </w:p>
        </w:tc>
        <w:tc>
          <w:tcPr>
            <w:tcW w:w="690" w:type="pct"/>
          </w:tcPr>
          <w:p w14:paraId="179421C5" w14:textId="77777777" w:rsidR="004D2118" w:rsidRPr="00DE6245" w:rsidRDefault="004D2118" w:rsidP="00743AFC">
            <w:pPr>
              <w:pStyle w:val="TableTextBoldRight"/>
              <w:keepNext/>
              <w:jc w:val="center"/>
              <w:rPr>
                <w:b w:val="0"/>
              </w:rPr>
            </w:pPr>
            <w:r w:rsidRPr="00DE6245">
              <w:rPr>
                <w:b w:val="0"/>
              </w:rPr>
              <w:t>19.4%</w:t>
            </w:r>
          </w:p>
        </w:tc>
        <w:tc>
          <w:tcPr>
            <w:tcW w:w="1034" w:type="pct"/>
          </w:tcPr>
          <w:p w14:paraId="28E042A2" w14:textId="77777777" w:rsidR="004D2118" w:rsidRPr="00DE6245" w:rsidRDefault="004D2118" w:rsidP="00743AFC">
            <w:pPr>
              <w:pStyle w:val="TableTextBoldRight"/>
              <w:keepNext/>
              <w:jc w:val="center"/>
              <w:rPr>
                <w:b w:val="0"/>
              </w:rPr>
            </w:pPr>
            <w:r w:rsidRPr="00DE6245">
              <w:rPr>
                <w:b w:val="0"/>
              </w:rPr>
              <w:t>30.6%</w:t>
            </w:r>
          </w:p>
        </w:tc>
        <w:tc>
          <w:tcPr>
            <w:tcW w:w="517" w:type="pct"/>
          </w:tcPr>
          <w:p w14:paraId="3E68FFF1" w14:textId="77777777" w:rsidR="004D2118" w:rsidRPr="00DE6245" w:rsidRDefault="004D2118" w:rsidP="00743AFC">
            <w:pPr>
              <w:pStyle w:val="TableTextBoldRight"/>
              <w:keepNext/>
              <w:jc w:val="center"/>
              <w:rPr>
                <w:b w:val="0"/>
              </w:rPr>
            </w:pPr>
            <w:r w:rsidRPr="00DE6245">
              <w:rPr>
                <w:b w:val="0"/>
              </w:rPr>
              <w:t>13.9%</w:t>
            </w:r>
          </w:p>
        </w:tc>
        <w:tc>
          <w:tcPr>
            <w:tcW w:w="661" w:type="pct"/>
          </w:tcPr>
          <w:p w14:paraId="5D2F9824" w14:textId="77777777" w:rsidR="004D2118" w:rsidRPr="00DE6245" w:rsidRDefault="004D2118" w:rsidP="00743AFC">
            <w:pPr>
              <w:pStyle w:val="TableTextBoldRight"/>
              <w:keepNext/>
              <w:jc w:val="center"/>
              <w:rPr>
                <w:b w:val="0"/>
              </w:rPr>
            </w:pPr>
            <w:r w:rsidRPr="00DE6245">
              <w:rPr>
                <w:b w:val="0"/>
              </w:rPr>
              <w:t>4.2%</w:t>
            </w:r>
          </w:p>
        </w:tc>
      </w:tr>
      <w:tr w:rsidR="004D2118" w:rsidRPr="00CD1826" w14:paraId="21232F54" w14:textId="77777777" w:rsidTr="004031BF">
        <w:trPr>
          <w:cnfStyle w:val="000000100000" w:firstRow="0" w:lastRow="0" w:firstColumn="0" w:lastColumn="0" w:oddVBand="0" w:evenVBand="0" w:oddHBand="1" w:evenHBand="0" w:firstRowFirstColumn="0" w:firstRowLastColumn="0" w:lastRowFirstColumn="0" w:lastRowLastColumn="0"/>
        </w:trPr>
        <w:tc>
          <w:tcPr>
            <w:tcW w:w="1402" w:type="pct"/>
          </w:tcPr>
          <w:p w14:paraId="5D8C30AB" w14:textId="77777777" w:rsidR="004D2118" w:rsidRPr="00CD1826" w:rsidRDefault="004D2118" w:rsidP="004D2118">
            <w:pPr>
              <w:pStyle w:val="TableText"/>
            </w:pPr>
            <w:r w:rsidRPr="004A5C18">
              <w:rPr>
                <w:b/>
              </w:rPr>
              <w:t>Naselle</w:t>
            </w:r>
            <w:r w:rsidR="004031BF">
              <w:rPr>
                <w:b/>
              </w:rPr>
              <w:t xml:space="preserve"> </w:t>
            </w:r>
            <w:r w:rsidR="004031BF" w:rsidRPr="004962BA">
              <w:rPr>
                <w:b/>
              </w:rPr>
              <w:t>(n=</w:t>
            </w:r>
            <w:r w:rsidR="004031BF">
              <w:rPr>
                <w:b/>
              </w:rPr>
              <w:t>27</w:t>
            </w:r>
            <w:r w:rsidR="004031BF" w:rsidRPr="004962BA">
              <w:rPr>
                <w:b/>
              </w:rPr>
              <w:t>)</w:t>
            </w:r>
          </w:p>
        </w:tc>
        <w:tc>
          <w:tcPr>
            <w:tcW w:w="696" w:type="pct"/>
          </w:tcPr>
          <w:p w14:paraId="6633F978" w14:textId="77777777" w:rsidR="004D2118" w:rsidRPr="00DE6245" w:rsidRDefault="004D2118" w:rsidP="004D2118">
            <w:pPr>
              <w:pStyle w:val="TableText"/>
              <w:jc w:val="center"/>
            </w:pPr>
            <w:r w:rsidRPr="00DE6245">
              <w:t>14.8%</w:t>
            </w:r>
          </w:p>
        </w:tc>
        <w:tc>
          <w:tcPr>
            <w:tcW w:w="690" w:type="pct"/>
          </w:tcPr>
          <w:p w14:paraId="72F65944" w14:textId="77777777" w:rsidR="004D2118" w:rsidRPr="00DE6245" w:rsidRDefault="004D2118" w:rsidP="004D2118">
            <w:pPr>
              <w:pStyle w:val="TableText"/>
              <w:jc w:val="center"/>
            </w:pPr>
            <w:r w:rsidRPr="00DE6245">
              <w:t>25.9%</w:t>
            </w:r>
          </w:p>
        </w:tc>
        <w:tc>
          <w:tcPr>
            <w:tcW w:w="1034" w:type="pct"/>
          </w:tcPr>
          <w:p w14:paraId="6FCB7C63" w14:textId="77777777" w:rsidR="004D2118" w:rsidRPr="00DE6245" w:rsidRDefault="004D2118" w:rsidP="004D2118">
            <w:pPr>
              <w:pStyle w:val="TableText"/>
              <w:jc w:val="center"/>
            </w:pPr>
            <w:r w:rsidRPr="00DE6245">
              <w:t>37.0%</w:t>
            </w:r>
          </w:p>
        </w:tc>
        <w:tc>
          <w:tcPr>
            <w:tcW w:w="517" w:type="pct"/>
          </w:tcPr>
          <w:p w14:paraId="6C6FD760" w14:textId="77777777" w:rsidR="004D2118" w:rsidRPr="00DE6245" w:rsidRDefault="004D2118" w:rsidP="004D2118">
            <w:pPr>
              <w:pStyle w:val="TableText"/>
              <w:jc w:val="center"/>
            </w:pPr>
            <w:r w:rsidRPr="00DE6245">
              <w:t>14.8%</w:t>
            </w:r>
          </w:p>
        </w:tc>
        <w:tc>
          <w:tcPr>
            <w:tcW w:w="661" w:type="pct"/>
          </w:tcPr>
          <w:p w14:paraId="19A66FFE" w14:textId="77777777" w:rsidR="004D2118" w:rsidRPr="00DE6245" w:rsidRDefault="004D2118" w:rsidP="004D2118">
            <w:pPr>
              <w:pStyle w:val="TableText"/>
              <w:jc w:val="center"/>
            </w:pPr>
            <w:r w:rsidRPr="00DE6245">
              <w:t>7.4%</w:t>
            </w:r>
          </w:p>
        </w:tc>
      </w:tr>
      <w:tr w:rsidR="004D2118" w:rsidRPr="00CD1826" w14:paraId="31EBF0F0" w14:textId="77777777" w:rsidTr="004031BF">
        <w:tc>
          <w:tcPr>
            <w:tcW w:w="1402" w:type="pct"/>
          </w:tcPr>
          <w:p w14:paraId="5DDB6B00" w14:textId="77777777" w:rsidR="004D2118" w:rsidRPr="00CD1826" w:rsidRDefault="004D2118" w:rsidP="00C75275">
            <w:pPr>
              <w:pStyle w:val="TableText"/>
              <w:keepNext/>
              <w:keepLines/>
            </w:pPr>
            <w:r w:rsidRPr="004A5C18">
              <w:rPr>
                <w:b/>
              </w:rPr>
              <w:lastRenderedPageBreak/>
              <w:t>Community Facilities</w:t>
            </w:r>
            <w:r w:rsidR="004031BF">
              <w:rPr>
                <w:b/>
              </w:rPr>
              <w:t xml:space="preserve"> (n=35)</w:t>
            </w:r>
          </w:p>
        </w:tc>
        <w:tc>
          <w:tcPr>
            <w:tcW w:w="696" w:type="pct"/>
          </w:tcPr>
          <w:p w14:paraId="45A4D5C3" w14:textId="77777777" w:rsidR="004D2118" w:rsidRPr="00DE6245" w:rsidRDefault="004D2118" w:rsidP="00C75275">
            <w:pPr>
              <w:pStyle w:val="TableText"/>
              <w:keepNext/>
              <w:keepLines/>
              <w:jc w:val="center"/>
            </w:pPr>
            <w:r w:rsidRPr="00DE6245">
              <w:t>28.6%</w:t>
            </w:r>
          </w:p>
        </w:tc>
        <w:tc>
          <w:tcPr>
            <w:tcW w:w="690" w:type="pct"/>
          </w:tcPr>
          <w:p w14:paraId="5FA96FDB" w14:textId="77777777" w:rsidR="004D2118" w:rsidRPr="00DE6245" w:rsidRDefault="004D2118" w:rsidP="00C75275">
            <w:pPr>
              <w:pStyle w:val="TableText"/>
              <w:keepNext/>
              <w:keepLines/>
              <w:jc w:val="center"/>
            </w:pPr>
            <w:r w:rsidRPr="00DE6245">
              <w:t>11.4%</w:t>
            </w:r>
          </w:p>
        </w:tc>
        <w:tc>
          <w:tcPr>
            <w:tcW w:w="1034" w:type="pct"/>
          </w:tcPr>
          <w:p w14:paraId="0235127C" w14:textId="77777777" w:rsidR="004D2118" w:rsidRPr="00DE6245" w:rsidRDefault="004D2118" w:rsidP="00C75275">
            <w:pPr>
              <w:pStyle w:val="TableText"/>
              <w:keepNext/>
              <w:keepLines/>
              <w:jc w:val="center"/>
            </w:pPr>
            <w:r w:rsidRPr="00DE6245">
              <w:rPr>
                <w:bCs/>
                <w:color w:val="000000"/>
              </w:rPr>
              <w:t>28.6%</w:t>
            </w:r>
          </w:p>
        </w:tc>
        <w:tc>
          <w:tcPr>
            <w:tcW w:w="517" w:type="pct"/>
          </w:tcPr>
          <w:p w14:paraId="4912BE11" w14:textId="77777777" w:rsidR="004D2118" w:rsidRPr="00DE6245" w:rsidRDefault="004D2118" w:rsidP="00C75275">
            <w:pPr>
              <w:pStyle w:val="TableText"/>
              <w:keepNext/>
              <w:keepLines/>
              <w:jc w:val="center"/>
            </w:pPr>
            <w:r w:rsidRPr="00DE6245">
              <w:rPr>
                <w:bCs/>
                <w:color w:val="000000"/>
              </w:rPr>
              <w:t>25.7%</w:t>
            </w:r>
          </w:p>
        </w:tc>
        <w:tc>
          <w:tcPr>
            <w:tcW w:w="661" w:type="pct"/>
          </w:tcPr>
          <w:p w14:paraId="6F1273A8" w14:textId="77777777" w:rsidR="004D2118" w:rsidRPr="00DE6245" w:rsidRDefault="004D2118" w:rsidP="00C75275">
            <w:pPr>
              <w:pStyle w:val="TableText"/>
              <w:keepNext/>
              <w:keepLines/>
              <w:jc w:val="center"/>
            </w:pPr>
            <w:r w:rsidRPr="00DE6245">
              <w:rPr>
                <w:bCs/>
                <w:color w:val="000000"/>
              </w:rPr>
              <w:t>5.7%</w:t>
            </w:r>
          </w:p>
        </w:tc>
      </w:tr>
    </w:tbl>
    <w:p w14:paraId="4386F93C" w14:textId="77777777" w:rsidR="004031BF" w:rsidRPr="00256CC5" w:rsidRDefault="004031BF" w:rsidP="00C75275">
      <w:pPr>
        <w:keepNext/>
        <w:keepLines/>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2C1448AB" w14:textId="77777777" w:rsidR="0002614B" w:rsidRDefault="004D2118" w:rsidP="004D2118">
      <w:r>
        <w:t>In interviews with leadership and supervisors, they were asked to identify ways in which</w:t>
      </w:r>
      <w:r w:rsidR="00EB1F98">
        <w:t xml:space="preserve"> staff are recognized</w:t>
      </w:r>
      <w:r>
        <w:t xml:space="preserve"> and</w:t>
      </w:r>
      <w:r w:rsidR="00E035EF">
        <w:t xml:space="preserve"> whether there are reward programs.</w:t>
      </w:r>
      <w:r>
        <w:t xml:space="preserve"> </w:t>
      </w:r>
      <w:r w:rsidR="004031BF">
        <w:t xml:space="preserve">Common </w:t>
      </w:r>
      <w:r w:rsidR="000E35AA">
        <w:t>rewards and recognition programs identified included</w:t>
      </w:r>
      <w:r w:rsidR="004031BF">
        <w:t xml:space="preserve"> </w:t>
      </w:r>
      <w:r>
        <w:t>employee of the month awards</w:t>
      </w:r>
      <w:r w:rsidR="004031BF">
        <w:t xml:space="preserve">, </w:t>
      </w:r>
      <w:r>
        <w:t xml:space="preserve">annual employee appreciation </w:t>
      </w:r>
      <w:r w:rsidR="004031BF">
        <w:t xml:space="preserve">events, and </w:t>
      </w:r>
      <w:r w:rsidR="000E35AA">
        <w:t>support for sending staff to conferences</w:t>
      </w:r>
      <w:r>
        <w:t>.</w:t>
      </w:r>
      <w:r w:rsidR="0002614B">
        <w:t xml:space="preserve"> In interviews with direct services staff, many </w:t>
      </w:r>
      <w:r w:rsidR="004031BF">
        <w:t xml:space="preserve">said </w:t>
      </w:r>
      <w:r w:rsidR="0002614B">
        <w:t xml:space="preserve">they only hear about the negative from central office. Many also indicated they </w:t>
      </w:r>
      <w:r w:rsidR="0098058A">
        <w:t>do not</w:t>
      </w:r>
      <w:r w:rsidR="0002614B">
        <w:t xml:space="preserve"> even know the leadership and</w:t>
      </w:r>
      <w:r w:rsidR="0003085A">
        <w:t xml:space="preserve"> thought they</w:t>
      </w:r>
      <w:r w:rsidR="0002614B">
        <w:t xml:space="preserve"> should spend more time at the facilities.</w:t>
      </w:r>
    </w:p>
    <w:p w14:paraId="213481BE" w14:textId="77777777" w:rsidR="002027A5" w:rsidRPr="000978DD" w:rsidRDefault="002027A5" w:rsidP="002027A5">
      <w:pPr>
        <w:pStyle w:val="Heading4"/>
        <w:rPr>
          <w:color w:val="000000" w:themeColor="text1"/>
        </w:rPr>
      </w:pPr>
      <w:r w:rsidRPr="000978DD">
        <w:rPr>
          <w:color w:val="000000" w:themeColor="text1"/>
        </w:rPr>
        <w:t>Orientation and Initial Mentoring</w:t>
      </w:r>
    </w:p>
    <w:p w14:paraId="766223A5" w14:textId="77777777" w:rsidR="00743AFC" w:rsidRDefault="003A0121" w:rsidP="00743AFC">
      <w:pPr>
        <w:rPr>
          <w:rFonts w:ascii="Times" w:hAnsi="Times"/>
          <w:sz w:val="20"/>
          <w:szCs w:val="20"/>
        </w:rPr>
      </w:pPr>
      <w:r>
        <w:t xml:space="preserve">Pairing a new employee with a mentor is </w:t>
      </w:r>
      <w:r w:rsidR="004031BF">
        <w:t>a proven</w:t>
      </w:r>
      <w:r>
        <w:t xml:space="preserve"> retention strategy</w:t>
      </w:r>
      <w:r w:rsidR="004031BF">
        <w:t>,</w:t>
      </w:r>
      <w:r>
        <w:t xml:space="preserve"> as it can provide a solid beginning of support for a new employee, assist them in getting acclimated, and make them feel welcome in the new organization. </w:t>
      </w:r>
      <w:r w:rsidR="00743AFC">
        <w:t xml:space="preserve">The National Implementation Research Network (NIRN) has identified mentoring as one of four components critical to building the competency of staff to carry out new practices. The term “mentoring” is often used to describe the process by which staff are provided on-the-spot expert coaching, and promotion of new practices and policies so </w:t>
      </w:r>
      <w:r w:rsidR="00EB1F98">
        <w:t xml:space="preserve">  </w:t>
      </w:r>
      <w:r w:rsidR="00743AFC">
        <w:t>staff can see the relevance of what they have learned to the situation at hand. It includes supervision, teaching while engaged in practice activities, assessment and feedback, and provision of emotional support.</w:t>
      </w:r>
    </w:p>
    <w:p w14:paraId="2DFE780A" w14:textId="77777777" w:rsidR="00743AFC" w:rsidRPr="00743AFC" w:rsidRDefault="004031BF" w:rsidP="00743AFC">
      <w:r w:rsidRPr="004031BF">
        <w:t xml:space="preserve">The survey asked staff members </w:t>
      </w:r>
      <w:r w:rsidR="00EA44D9" w:rsidRPr="004031BF">
        <w:t>whether they received new-hire onboarding, orientation, and initial mentoring needed to be successful in their job using a five-point Likert scale (1.</w:t>
      </w:r>
      <w:r w:rsidRPr="004031BF">
        <w:t xml:space="preserve"> Strongly</w:t>
      </w:r>
      <w:r w:rsidR="00EA44D9" w:rsidRPr="004031BF">
        <w:t xml:space="preserve"> Disagree, 2. Disagree, 3. Neutral, 4. Agree, and 5. Strongly Agree). </w:t>
      </w:r>
      <w:r w:rsidR="00743AFC" w:rsidRPr="004031BF">
        <w:t xml:space="preserve">As shown in </w:t>
      </w:r>
      <w:r w:rsidR="00453B14" w:rsidRPr="004031BF">
        <w:t xml:space="preserve">Exhibit </w:t>
      </w:r>
      <w:r w:rsidR="00C75275">
        <w:t>5</w:t>
      </w:r>
      <w:r w:rsidR="00453B14" w:rsidRPr="004031BF">
        <w:t>-</w:t>
      </w:r>
      <w:r w:rsidR="00A05906">
        <w:t>40</w:t>
      </w:r>
      <w:r w:rsidR="00743AFC" w:rsidRPr="004031BF">
        <w:t>,</w:t>
      </w:r>
      <w:r w:rsidR="003A0121" w:rsidRPr="004031BF">
        <w:t xml:space="preserve"> </w:t>
      </w:r>
      <w:r w:rsidR="00E51D5A" w:rsidRPr="004031BF">
        <w:t xml:space="preserve">more than half of the </w:t>
      </w:r>
      <w:r w:rsidR="003A0121" w:rsidRPr="004031BF">
        <w:t xml:space="preserve">staff at community </w:t>
      </w:r>
      <w:r w:rsidR="00EA44D9" w:rsidRPr="004031BF">
        <w:t>facilities</w:t>
      </w:r>
      <w:r w:rsidR="00E51D5A" w:rsidRPr="004031BF">
        <w:t xml:space="preserve"> (54.3%) felt they received initial supports that helped them succeed in their new position. In contrast, more staff felt they did not receive the needed information and support when they star</w:t>
      </w:r>
      <w:r w:rsidR="00127CAC">
        <w:t>t</w:t>
      </w:r>
      <w:r w:rsidR="00E51D5A" w:rsidRPr="004031BF">
        <w:t xml:space="preserve">ed their new </w:t>
      </w:r>
      <w:r w:rsidR="00E51D5A" w:rsidRPr="00CE77EE">
        <w:t>position</w:t>
      </w:r>
      <w:r w:rsidR="00CE77EE" w:rsidRPr="00CE77EE">
        <w:t xml:space="preserve"> at</w:t>
      </w:r>
      <w:r w:rsidR="00E51D5A" w:rsidRPr="00CE77EE">
        <w:t xml:space="preserve"> Green Hill (</w:t>
      </w:r>
      <w:r w:rsidR="003D6B58" w:rsidRPr="00CE77EE">
        <w:t>52</w:t>
      </w:r>
      <w:r w:rsidR="00E51D5A" w:rsidRPr="00CE77EE">
        <w:t xml:space="preserve">.7%) and </w:t>
      </w:r>
      <w:r w:rsidRPr="00CE77EE">
        <w:t>Naselle</w:t>
      </w:r>
      <w:r w:rsidR="00CE77EE" w:rsidRPr="00CE77EE">
        <w:t xml:space="preserve"> (42%). </w:t>
      </w:r>
      <w:r w:rsidR="00A853D2" w:rsidRPr="00CE77EE">
        <w:t xml:space="preserve">At Echo Glen, 35.3 </w:t>
      </w:r>
      <w:r w:rsidR="00CE77EE" w:rsidRPr="00CE77EE">
        <w:t>% of the staff indicated t</w:t>
      </w:r>
      <w:r w:rsidR="00A853D2" w:rsidRPr="00CE77EE">
        <w:t>hey did not receive necessary onboarding, orientation and initial mentoring</w:t>
      </w:r>
      <w:r w:rsidR="00CE77EE" w:rsidRPr="00CE77EE">
        <w:t xml:space="preserve"> while the same percent felt they did (35.3%)</w:t>
      </w:r>
      <w:r w:rsidR="00A853D2" w:rsidRPr="00CE77EE">
        <w:t xml:space="preserve">. </w:t>
      </w:r>
    </w:p>
    <w:p w14:paraId="164FDE4B" w14:textId="77777777" w:rsidR="002027A5" w:rsidRPr="002027A5" w:rsidRDefault="00453B14" w:rsidP="00453B14">
      <w:pPr>
        <w:pStyle w:val="Caption"/>
      </w:pPr>
      <w:r>
        <w:t xml:space="preserve">Exhibit </w:t>
      </w:r>
      <w:r w:rsidR="00EC62E5">
        <w:rPr>
          <w:noProof/>
        </w:rPr>
        <w:fldChar w:fldCharType="begin"/>
      </w:r>
      <w:r w:rsidR="00EC62E5">
        <w:rPr>
          <w:noProof/>
        </w:rPr>
        <w:instrText xml:space="preserve"> STYLEREF 1 \s </w:instrText>
      </w:r>
      <w:r w:rsidR="00EC62E5">
        <w:rPr>
          <w:noProof/>
        </w:rPr>
        <w:fldChar w:fldCharType="separate"/>
      </w:r>
      <w:r w:rsidR="00FD2536">
        <w:rPr>
          <w:noProof/>
        </w:rPr>
        <w:t>5</w:t>
      </w:r>
      <w:r w:rsidR="00EC62E5">
        <w:rPr>
          <w:noProof/>
        </w:rPr>
        <w:fldChar w:fldCharType="end"/>
      </w:r>
      <w:r>
        <w:noBreakHyphen/>
      </w:r>
      <w:r w:rsidR="00A05906">
        <w:rPr>
          <w:noProof/>
        </w:rPr>
        <w:t>40</w:t>
      </w:r>
      <w:r w:rsidR="00E251C1">
        <w:t>.</w:t>
      </w:r>
      <w:r w:rsidR="00A746B2">
        <w:t xml:space="preserve"> </w:t>
      </w:r>
      <w:r w:rsidR="002027A5">
        <w:t>Onboarding, Orientation, and Initial Mentoring, by Facility</w:t>
      </w:r>
    </w:p>
    <w:tbl>
      <w:tblPr>
        <w:tblStyle w:val="HyzerTable"/>
        <w:tblW w:w="5000" w:type="pct"/>
        <w:tblLook w:val="0420" w:firstRow="1" w:lastRow="0" w:firstColumn="0" w:lastColumn="0" w:noHBand="0" w:noVBand="1"/>
      </w:tblPr>
      <w:tblGrid>
        <w:gridCol w:w="3154"/>
        <w:gridCol w:w="1453"/>
        <w:gridCol w:w="1157"/>
        <w:gridCol w:w="1157"/>
        <w:gridCol w:w="945"/>
        <w:gridCol w:w="1494"/>
      </w:tblGrid>
      <w:tr w:rsidR="002027A5" w:rsidRPr="00CD1826" w14:paraId="20CE470F" w14:textId="77777777" w:rsidTr="009B6DDA">
        <w:trPr>
          <w:cnfStyle w:val="100000000000" w:firstRow="1" w:lastRow="0" w:firstColumn="0" w:lastColumn="0" w:oddVBand="0" w:evenVBand="0" w:oddHBand="0" w:evenHBand="0" w:firstRowFirstColumn="0" w:firstRowLastColumn="0" w:lastRowFirstColumn="0" w:lastRowLastColumn="0"/>
          <w:trHeight w:val="924"/>
          <w:tblHeader/>
        </w:trPr>
        <w:tc>
          <w:tcPr>
            <w:tcW w:w="1685" w:type="pct"/>
            <w:vMerge w:val="restart"/>
            <w:vAlign w:val="center"/>
          </w:tcPr>
          <w:p w14:paraId="110FA1BD" w14:textId="77777777" w:rsidR="002027A5" w:rsidRPr="00196BFA" w:rsidRDefault="002027A5" w:rsidP="00E51D5A">
            <w:pPr>
              <w:pStyle w:val="tableheaderwhite"/>
              <w:keepNext/>
              <w:spacing w:before="20" w:after="20"/>
              <w:rPr>
                <w:sz w:val="22"/>
              </w:rPr>
            </w:pPr>
            <w:r w:rsidRPr="1FF1B213">
              <w:rPr>
                <w:sz w:val="22"/>
                <w:szCs w:val="22"/>
              </w:rPr>
              <w:t>Facility</w:t>
            </w:r>
          </w:p>
        </w:tc>
        <w:tc>
          <w:tcPr>
            <w:tcW w:w="3315" w:type="pct"/>
            <w:gridSpan w:val="5"/>
            <w:tcBorders>
              <w:bottom w:val="single" w:sz="2" w:space="0" w:color="808080"/>
            </w:tcBorders>
            <w:vAlign w:val="center"/>
          </w:tcPr>
          <w:p w14:paraId="1FBC95DF" w14:textId="77777777" w:rsidR="002027A5" w:rsidRPr="00196BFA" w:rsidRDefault="002027A5" w:rsidP="00E51D5A">
            <w:pPr>
              <w:pStyle w:val="tableheaderwhite"/>
              <w:keepNext/>
              <w:spacing w:before="20" w:after="20"/>
              <w:rPr>
                <w:sz w:val="22"/>
              </w:rPr>
            </w:pPr>
            <w:r w:rsidRPr="1FF1B213">
              <w:rPr>
                <w:sz w:val="22"/>
                <w:szCs w:val="22"/>
              </w:rPr>
              <w:t>“I Received New-Hire Onboarding, Orientation, and Initial Mentoring Needed to Be Successful in My job”</w:t>
            </w:r>
          </w:p>
        </w:tc>
      </w:tr>
      <w:tr w:rsidR="002027A5" w:rsidRPr="00CD1826" w14:paraId="11222EE5" w14:textId="77777777" w:rsidTr="009B6DDA">
        <w:trPr>
          <w:cnfStyle w:val="100000000000" w:firstRow="1" w:lastRow="0" w:firstColumn="0" w:lastColumn="0" w:oddVBand="0" w:evenVBand="0" w:oddHBand="0" w:evenHBand="0" w:firstRowFirstColumn="0" w:firstRowLastColumn="0" w:lastRowFirstColumn="0" w:lastRowLastColumn="0"/>
          <w:trHeight w:val="645"/>
          <w:tblHeader/>
        </w:trPr>
        <w:tc>
          <w:tcPr>
            <w:tcW w:w="1685" w:type="pct"/>
            <w:vMerge/>
            <w:tcBorders>
              <w:bottom w:val="single" w:sz="2" w:space="0" w:color="808080" w:themeColor="text1" w:themeTint="7F"/>
            </w:tcBorders>
            <w:vAlign w:val="center"/>
          </w:tcPr>
          <w:p w14:paraId="2488C306" w14:textId="77777777" w:rsidR="002027A5" w:rsidRPr="00196BFA" w:rsidRDefault="002027A5" w:rsidP="00E51D5A">
            <w:pPr>
              <w:pStyle w:val="tableheaderwhite"/>
              <w:keepNext/>
              <w:spacing w:before="20" w:after="20"/>
              <w:rPr>
                <w:sz w:val="22"/>
              </w:rPr>
            </w:pPr>
          </w:p>
        </w:tc>
        <w:tc>
          <w:tcPr>
            <w:tcW w:w="776" w:type="pct"/>
            <w:tcBorders>
              <w:top w:val="single" w:sz="2" w:space="0" w:color="808080"/>
              <w:bottom w:val="single" w:sz="2" w:space="0" w:color="808080" w:themeColor="text1" w:themeTint="7F"/>
            </w:tcBorders>
            <w:shd w:val="clear" w:color="auto" w:fill="C6D9F1"/>
            <w:vAlign w:val="center"/>
          </w:tcPr>
          <w:p w14:paraId="2DAE75FA" w14:textId="77777777" w:rsidR="002027A5" w:rsidRPr="009B6DDA" w:rsidRDefault="002027A5" w:rsidP="00E51D5A">
            <w:pPr>
              <w:pStyle w:val="tableheaderwhite"/>
              <w:keepNext/>
              <w:spacing w:before="20" w:after="20"/>
              <w:rPr>
                <w:color w:val="auto"/>
                <w:sz w:val="22"/>
              </w:rPr>
            </w:pPr>
            <w:r w:rsidRPr="009B6DDA">
              <w:rPr>
                <w:color w:val="auto"/>
                <w:sz w:val="22"/>
                <w:szCs w:val="22"/>
              </w:rPr>
              <w:t>Strongly Disagree</w:t>
            </w:r>
          </w:p>
        </w:tc>
        <w:tc>
          <w:tcPr>
            <w:tcW w:w="618" w:type="pct"/>
            <w:tcBorders>
              <w:top w:val="single" w:sz="2" w:space="0" w:color="808080"/>
              <w:bottom w:val="single" w:sz="2" w:space="0" w:color="808080" w:themeColor="text1" w:themeTint="7F"/>
            </w:tcBorders>
            <w:shd w:val="clear" w:color="auto" w:fill="C6D9F1"/>
            <w:vAlign w:val="center"/>
          </w:tcPr>
          <w:p w14:paraId="18F0C586" w14:textId="77777777" w:rsidR="002027A5" w:rsidRPr="009B6DDA" w:rsidRDefault="002027A5" w:rsidP="00E51D5A">
            <w:pPr>
              <w:pStyle w:val="tableheaderwhite"/>
              <w:keepNext/>
              <w:spacing w:before="20" w:after="20"/>
              <w:rPr>
                <w:color w:val="auto"/>
                <w:sz w:val="22"/>
              </w:rPr>
            </w:pPr>
            <w:r w:rsidRPr="009B6DDA">
              <w:rPr>
                <w:color w:val="auto"/>
                <w:sz w:val="22"/>
                <w:szCs w:val="22"/>
              </w:rPr>
              <w:t>Disagree</w:t>
            </w:r>
          </w:p>
        </w:tc>
        <w:tc>
          <w:tcPr>
            <w:tcW w:w="618" w:type="pct"/>
            <w:tcBorders>
              <w:top w:val="single" w:sz="2" w:space="0" w:color="808080"/>
              <w:bottom w:val="single" w:sz="2" w:space="0" w:color="808080" w:themeColor="text1" w:themeTint="7F"/>
            </w:tcBorders>
            <w:shd w:val="clear" w:color="auto" w:fill="C6D9F1"/>
            <w:vAlign w:val="center"/>
          </w:tcPr>
          <w:p w14:paraId="67D66704" w14:textId="77777777" w:rsidR="002027A5" w:rsidRPr="009B6DDA" w:rsidRDefault="002027A5" w:rsidP="00E51D5A">
            <w:pPr>
              <w:pStyle w:val="tableheaderwhite"/>
              <w:keepNext/>
              <w:spacing w:before="20" w:after="20"/>
              <w:rPr>
                <w:color w:val="auto"/>
                <w:sz w:val="22"/>
              </w:rPr>
            </w:pPr>
            <w:r w:rsidRPr="009B6DDA">
              <w:rPr>
                <w:color w:val="auto"/>
                <w:sz w:val="22"/>
                <w:szCs w:val="22"/>
              </w:rPr>
              <w:t>Neutral</w:t>
            </w:r>
          </w:p>
        </w:tc>
        <w:tc>
          <w:tcPr>
            <w:tcW w:w="505" w:type="pct"/>
            <w:tcBorders>
              <w:top w:val="single" w:sz="2" w:space="0" w:color="808080"/>
              <w:bottom w:val="single" w:sz="2" w:space="0" w:color="808080" w:themeColor="text1" w:themeTint="7F"/>
            </w:tcBorders>
            <w:shd w:val="clear" w:color="auto" w:fill="C6D9F1"/>
            <w:vAlign w:val="center"/>
          </w:tcPr>
          <w:p w14:paraId="273AED48" w14:textId="77777777" w:rsidR="002027A5" w:rsidRPr="009B6DDA" w:rsidRDefault="002027A5" w:rsidP="00E51D5A">
            <w:pPr>
              <w:pStyle w:val="tableheaderwhite"/>
              <w:keepNext/>
              <w:spacing w:before="20" w:after="20"/>
              <w:rPr>
                <w:color w:val="auto"/>
                <w:sz w:val="22"/>
              </w:rPr>
            </w:pPr>
            <w:r w:rsidRPr="009B6DDA">
              <w:rPr>
                <w:color w:val="auto"/>
                <w:sz w:val="22"/>
                <w:szCs w:val="22"/>
              </w:rPr>
              <w:t>Agree</w:t>
            </w:r>
          </w:p>
        </w:tc>
        <w:tc>
          <w:tcPr>
            <w:tcW w:w="798" w:type="pct"/>
            <w:tcBorders>
              <w:top w:val="single" w:sz="2" w:space="0" w:color="808080"/>
              <w:bottom w:val="single" w:sz="2" w:space="0" w:color="808080" w:themeColor="text1" w:themeTint="7F"/>
            </w:tcBorders>
            <w:shd w:val="clear" w:color="auto" w:fill="C6D9F1"/>
            <w:vAlign w:val="center"/>
          </w:tcPr>
          <w:p w14:paraId="1AAD9B0E" w14:textId="77777777" w:rsidR="002027A5" w:rsidRPr="009B6DDA" w:rsidRDefault="002027A5" w:rsidP="00E51D5A">
            <w:pPr>
              <w:pStyle w:val="tableheaderwhite"/>
              <w:keepNext/>
              <w:spacing w:before="20" w:after="20"/>
              <w:rPr>
                <w:color w:val="auto"/>
                <w:sz w:val="22"/>
              </w:rPr>
            </w:pPr>
            <w:r w:rsidRPr="009B6DDA">
              <w:rPr>
                <w:color w:val="auto"/>
                <w:sz w:val="22"/>
                <w:szCs w:val="22"/>
              </w:rPr>
              <w:t>Strongly Agree</w:t>
            </w:r>
          </w:p>
        </w:tc>
      </w:tr>
      <w:tr w:rsidR="002027A5" w:rsidRPr="00507F7B" w14:paraId="4CA2C6C9" w14:textId="77777777" w:rsidTr="004031BF">
        <w:trPr>
          <w:cnfStyle w:val="000000100000" w:firstRow="0" w:lastRow="0" w:firstColumn="0" w:lastColumn="0" w:oddVBand="0" w:evenVBand="0" w:oddHBand="1" w:evenHBand="0" w:firstRowFirstColumn="0" w:firstRowLastColumn="0" w:lastRowFirstColumn="0" w:lastRowLastColumn="0"/>
        </w:trPr>
        <w:tc>
          <w:tcPr>
            <w:tcW w:w="1685" w:type="pct"/>
            <w:tcBorders>
              <w:top w:val="single" w:sz="2" w:space="0" w:color="808080" w:themeColor="text1" w:themeTint="7F"/>
            </w:tcBorders>
            <w:shd w:val="clear" w:color="auto" w:fill="A6A6A6" w:themeFill="background1" w:themeFillShade="A6"/>
          </w:tcPr>
          <w:p w14:paraId="676DD39E" w14:textId="77777777" w:rsidR="002027A5" w:rsidRPr="004031BF" w:rsidRDefault="002027A5" w:rsidP="004031BF">
            <w:pPr>
              <w:pStyle w:val="TableBullet"/>
              <w:numPr>
                <w:ilvl w:val="0"/>
                <w:numId w:val="0"/>
              </w:numPr>
              <w:ind w:left="130" w:hanging="130"/>
              <w:rPr>
                <w:b/>
              </w:rPr>
            </w:pPr>
            <w:r w:rsidRPr="004031BF">
              <w:rPr>
                <w:b/>
              </w:rPr>
              <w:t>JR Total (n=176)</w:t>
            </w:r>
          </w:p>
        </w:tc>
        <w:tc>
          <w:tcPr>
            <w:tcW w:w="776" w:type="pct"/>
            <w:tcBorders>
              <w:top w:val="single" w:sz="2" w:space="0" w:color="808080" w:themeColor="text1" w:themeTint="7F"/>
            </w:tcBorders>
            <w:shd w:val="clear" w:color="auto" w:fill="A6A6A6" w:themeFill="background1" w:themeFillShade="A6"/>
          </w:tcPr>
          <w:p w14:paraId="7B5C38B9" w14:textId="77777777" w:rsidR="002027A5" w:rsidRPr="009A44F4" w:rsidRDefault="002027A5" w:rsidP="00E51D5A">
            <w:pPr>
              <w:pStyle w:val="tabletextcenter"/>
              <w:keepNext/>
              <w:rPr>
                <w:rStyle w:val="TableTextBold"/>
                <w:b w:val="0"/>
              </w:rPr>
            </w:pPr>
            <w:r w:rsidRPr="009A44F4">
              <w:rPr>
                <w:b/>
              </w:rPr>
              <w:t>15.3%</w:t>
            </w:r>
          </w:p>
        </w:tc>
        <w:tc>
          <w:tcPr>
            <w:tcW w:w="618" w:type="pct"/>
            <w:tcBorders>
              <w:top w:val="single" w:sz="2" w:space="0" w:color="808080" w:themeColor="text1" w:themeTint="7F"/>
            </w:tcBorders>
            <w:shd w:val="clear" w:color="auto" w:fill="A6A6A6" w:themeFill="background1" w:themeFillShade="A6"/>
          </w:tcPr>
          <w:p w14:paraId="1BF919BB" w14:textId="77777777" w:rsidR="002027A5" w:rsidRPr="009A44F4" w:rsidRDefault="002027A5" w:rsidP="00E51D5A">
            <w:pPr>
              <w:pStyle w:val="tabletextcenter"/>
              <w:keepNext/>
              <w:rPr>
                <w:rStyle w:val="TableTextBold"/>
                <w:b w:val="0"/>
              </w:rPr>
            </w:pPr>
            <w:r w:rsidRPr="009A44F4">
              <w:rPr>
                <w:b/>
              </w:rPr>
              <w:t>26.7%</w:t>
            </w:r>
          </w:p>
        </w:tc>
        <w:tc>
          <w:tcPr>
            <w:tcW w:w="618" w:type="pct"/>
            <w:tcBorders>
              <w:top w:val="single" w:sz="2" w:space="0" w:color="808080" w:themeColor="text1" w:themeTint="7F"/>
            </w:tcBorders>
            <w:shd w:val="clear" w:color="auto" w:fill="A6A6A6" w:themeFill="background1" w:themeFillShade="A6"/>
          </w:tcPr>
          <w:p w14:paraId="3E5CCC9D" w14:textId="77777777" w:rsidR="002027A5" w:rsidRPr="009A44F4" w:rsidRDefault="002027A5" w:rsidP="00E51D5A">
            <w:pPr>
              <w:pStyle w:val="tabletextcenter"/>
              <w:keepNext/>
              <w:rPr>
                <w:rStyle w:val="TableTextBold"/>
                <w:b w:val="0"/>
              </w:rPr>
            </w:pPr>
            <w:r w:rsidRPr="009A44F4">
              <w:rPr>
                <w:b/>
              </w:rPr>
              <w:t>20.5%</w:t>
            </w:r>
          </w:p>
        </w:tc>
        <w:tc>
          <w:tcPr>
            <w:tcW w:w="505" w:type="pct"/>
            <w:tcBorders>
              <w:top w:val="single" w:sz="2" w:space="0" w:color="808080" w:themeColor="text1" w:themeTint="7F"/>
            </w:tcBorders>
            <w:shd w:val="clear" w:color="auto" w:fill="A6A6A6" w:themeFill="background1" w:themeFillShade="A6"/>
          </w:tcPr>
          <w:p w14:paraId="092266ED" w14:textId="77777777" w:rsidR="002027A5" w:rsidRPr="009A44F4" w:rsidRDefault="002027A5" w:rsidP="00E51D5A">
            <w:pPr>
              <w:pStyle w:val="tabletextcenter"/>
              <w:keepNext/>
              <w:rPr>
                <w:rStyle w:val="TableTextBold"/>
                <w:b w:val="0"/>
              </w:rPr>
            </w:pPr>
            <w:r w:rsidRPr="009A44F4">
              <w:rPr>
                <w:b/>
              </w:rPr>
              <w:t>31.8%</w:t>
            </w:r>
          </w:p>
        </w:tc>
        <w:tc>
          <w:tcPr>
            <w:tcW w:w="798" w:type="pct"/>
            <w:tcBorders>
              <w:top w:val="single" w:sz="2" w:space="0" w:color="808080" w:themeColor="text1" w:themeTint="7F"/>
            </w:tcBorders>
            <w:shd w:val="clear" w:color="auto" w:fill="A6A6A6" w:themeFill="background1" w:themeFillShade="A6"/>
          </w:tcPr>
          <w:p w14:paraId="07D334F1" w14:textId="77777777" w:rsidR="002027A5" w:rsidRPr="009A44F4" w:rsidRDefault="002027A5" w:rsidP="00E51D5A">
            <w:pPr>
              <w:pStyle w:val="tabletextcenter"/>
              <w:keepNext/>
              <w:rPr>
                <w:rStyle w:val="TableTextBold"/>
                <w:b w:val="0"/>
              </w:rPr>
            </w:pPr>
            <w:r w:rsidRPr="009A44F4">
              <w:rPr>
                <w:b/>
              </w:rPr>
              <w:t>5.7%</w:t>
            </w:r>
          </w:p>
        </w:tc>
      </w:tr>
      <w:tr w:rsidR="002027A5" w:rsidRPr="00507F7B" w14:paraId="7C7596F4" w14:textId="77777777" w:rsidTr="004031BF">
        <w:tc>
          <w:tcPr>
            <w:tcW w:w="1685" w:type="pct"/>
            <w:tcBorders>
              <w:top w:val="single" w:sz="2" w:space="0" w:color="808080" w:themeColor="text1" w:themeTint="7F"/>
            </w:tcBorders>
          </w:tcPr>
          <w:p w14:paraId="1BB0E091" w14:textId="77777777" w:rsidR="002027A5" w:rsidRPr="00196BFA" w:rsidRDefault="002027A5" w:rsidP="004031BF">
            <w:pPr>
              <w:pStyle w:val="TableBullet"/>
              <w:numPr>
                <w:ilvl w:val="0"/>
                <w:numId w:val="0"/>
              </w:numPr>
              <w:ind w:left="130" w:hanging="130"/>
            </w:pPr>
            <w:r w:rsidRPr="00196BFA">
              <w:t>Echo Glen</w:t>
            </w:r>
            <w:r>
              <w:t xml:space="preserve"> </w:t>
            </w:r>
            <w:r w:rsidRPr="00196BFA">
              <w:t>(n=34)</w:t>
            </w:r>
          </w:p>
        </w:tc>
        <w:tc>
          <w:tcPr>
            <w:tcW w:w="776" w:type="pct"/>
            <w:tcBorders>
              <w:top w:val="single" w:sz="2" w:space="0" w:color="808080" w:themeColor="text1" w:themeTint="7F"/>
            </w:tcBorders>
          </w:tcPr>
          <w:p w14:paraId="6BA3E274" w14:textId="77777777" w:rsidR="002027A5" w:rsidRPr="00507F7B" w:rsidRDefault="002027A5" w:rsidP="00E51D5A">
            <w:pPr>
              <w:pStyle w:val="tabletextcenter"/>
              <w:keepNext/>
            </w:pPr>
            <w:r w:rsidRPr="00F64167">
              <w:t>11.8%</w:t>
            </w:r>
          </w:p>
        </w:tc>
        <w:tc>
          <w:tcPr>
            <w:tcW w:w="618" w:type="pct"/>
            <w:tcBorders>
              <w:top w:val="single" w:sz="2" w:space="0" w:color="808080" w:themeColor="text1" w:themeTint="7F"/>
            </w:tcBorders>
          </w:tcPr>
          <w:p w14:paraId="09337CCC" w14:textId="77777777" w:rsidR="002027A5" w:rsidRPr="00507F7B" w:rsidRDefault="002027A5" w:rsidP="00E51D5A">
            <w:pPr>
              <w:pStyle w:val="tabletextcenter"/>
              <w:keepNext/>
            </w:pPr>
            <w:r w:rsidRPr="009C6F14">
              <w:t>23.5%</w:t>
            </w:r>
          </w:p>
        </w:tc>
        <w:tc>
          <w:tcPr>
            <w:tcW w:w="618" w:type="pct"/>
            <w:tcBorders>
              <w:top w:val="single" w:sz="2" w:space="0" w:color="808080" w:themeColor="text1" w:themeTint="7F"/>
            </w:tcBorders>
          </w:tcPr>
          <w:p w14:paraId="17474CF1" w14:textId="77777777" w:rsidR="002027A5" w:rsidRPr="00507F7B" w:rsidRDefault="002027A5" w:rsidP="00E51D5A">
            <w:pPr>
              <w:pStyle w:val="tabletextcenter"/>
              <w:keepNext/>
            </w:pPr>
            <w:r w:rsidRPr="00EA34C2">
              <w:t>29.4%</w:t>
            </w:r>
          </w:p>
        </w:tc>
        <w:tc>
          <w:tcPr>
            <w:tcW w:w="505" w:type="pct"/>
            <w:tcBorders>
              <w:top w:val="single" w:sz="2" w:space="0" w:color="808080" w:themeColor="text1" w:themeTint="7F"/>
            </w:tcBorders>
          </w:tcPr>
          <w:p w14:paraId="255F812F" w14:textId="77777777" w:rsidR="002027A5" w:rsidRPr="00507F7B" w:rsidRDefault="002027A5" w:rsidP="00E51D5A">
            <w:pPr>
              <w:pStyle w:val="tabletextcenter"/>
              <w:keepNext/>
            </w:pPr>
            <w:r w:rsidRPr="00F66625">
              <w:t>32.4%</w:t>
            </w:r>
          </w:p>
        </w:tc>
        <w:tc>
          <w:tcPr>
            <w:tcW w:w="798" w:type="pct"/>
            <w:tcBorders>
              <w:top w:val="single" w:sz="2" w:space="0" w:color="808080" w:themeColor="text1" w:themeTint="7F"/>
            </w:tcBorders>
          </w:tcPr>
          <w:p w14:paraId="5BEBB46D" w14:textId="77777777" w:rsidR="002027A5" w:rsidRPr="00507F7B" w:rsidRDefault="002027A5" w:rsidP="00E51D5A">
            <w:pPr>
              <w:pStyle w:val="tabletextcenter"/>
              <w:keepNext/>
              <w:rPr>
                <w:b/>
              </w:rPr>
            </w:pPr>
            <w:r w:rsidRPr="00D86531">
              <w:t>2.9%</w:t>
            </w:r>
          </w:p>
        </w:tc>
      </w:tr>
      <w:tr w:rsidR="002027A5" w:rsidRPr="00CD1826" w14:paraId="7EA241C6" w14:textId="77777777" w:rsidTr="004031BF">
        <w:trPr>
          <w:cnfStyle w:val="000000100000" w:firstRow="0" w:lastRow="0" w:firstColumn="0" w:lastColumn="0" w:oddVBand="0" w:evenVBand="0" w:oddHBand="1" w:evenHBand="0" w:firstRowFirstColumn="0" w:firstRowLastColumn="0" w:lastRowFirstColumn="0" w:lastRowLastColumn="0"/>
        </w:trPr>
        <w:tc>
          <w:tcPr>
            <w:tcW w:w="1685" w:type="pct"/>
            <w:tcBorders>
              <w:bottom w:val="single" w:sz="2" w:space="0" w:color="808080" w:themeColor="text1" w:themeTint="7F"/>
            </w:tcBorders>
          </w:tcPr>
          <w:p w14:paraId="462D1B48" w14:textId="77777777" w:rsidR="002027A5" w:rsidRPr="00196BFA" w:rsidRDefault="002027A5" w:rsidP="004031BF">
            <w:pPr>
              <w:pStyle w:val="TableBullet"/>
              <w:numPr>
                <w:ilvl w:val="0"/>
                <w:numId w:val="0"/>
              </w:numPr>
              <w:ind w:left="130" w:hanging="130"/>
            </w:pPr>
            <w:r w:rsidRPr="00196BFA">
              <w:t>Green Hill</w:t>
            </w:r>
            <w:r>
              <w:t xml:space="preserve"> </w:t>
            </w:r>
            <w:r w:rsidRPr="00196BFA">
              <w:t>(n=</w:t>
            </w:r>
            <w:r>
              <w:t>76</w:t>
            </w:r>
            <w:r w:rsidRPr="00196BFA">
              <w:t>)</w:t>
            </w:r>
          </w:p>
        </w:tc>
        <w:tc>
          <w:tcPr>
            <w:tcW w:w="776" w:type="pct"/>
            <w:tcBorders>
              <w:bottom w:val="single" w:sz="2" w:space="0" w:color="808080" w:themeColor="text1" w:themeTint="7F"/>
            </w:tcBorders>
          </w:tcPr>
          <w:p w14:paraId="4B7C70BF" w14:textId="77777777" w:rsidR="002027A5" w:rsidRPr="006D322C" w:rsidRDefault="002027A5" w:rsidP="00381EE9">
            <w:pPr>
              <w:pStyle w:val="tabletextcenter"/>
            </w:pPr>
            <w:r w:rsidRPr="00F64167">
              <w:t>22.4%</w:t>
            </w:r>
          </w:p>
        </w:tc>
        <w:tc>
          <w:tcPr>
            <w:tcW w:w="618" w:type="pct"/>
            <w:tcBorders>
              <w:bottom w:val="single" w:sz="2" w:space="0" w:color="808080" w:themeColor="text1" w:themeTint="7F"/>
            </w:tcBorders>
          </w:tcPr>
          <w:p w14:paraId="7FFE362F" w14:textId="77777777" w:rsidR="002027A5" w:rsidRPr="006D322C" w:rsidRDefault="002027A5" w:rsidP="00381EE9">
            <w:pPr>
              <w:pStyle w:val="tabletextcenter"/>
            </w:pPr>
            <w:r w:rsidRPr="009C6F14">
              <w:t>30.3%</w:t>
            </w:r>
          </w:p>
        </w:tc>
        <w:tc>
          <w:tcPr>
            <w:tcW w:w="618" w:type="pct"/>
            <w:tcBorders>
              <w:bottom w:val="single" w:sz="2" w:space="0" w:color="808080" w:themeColor="text1" w:themeTint="7F"/>
            </w:tcBorders>
          </w:tcPr>
          <w:p w14:paraId="5671B15E" w14:textId="77777777" w:rsidR="002027A5" w:rsidRPr="006D322C" w:rsidRDefault="002027A5" w:rsidP="00381EE9">
            <w:pPr>
              <w:pStyle w:val="tabletextcenter"/>
            </w:pPr>
            <w:r w:rsidRPr="00EA34C2">
              <w:t>14.5%</w:t>
            </w:r>
          </w:p>
        </w:tc>
        <w:tc>
          <w:tcPr>
            <w:tcW w:w="505" w:type="pct"/>
            <w:tcBorders>
              <w:bottom w:val="single" w:sz="2" w:space="0" w:color="808080" w:themeColor="text1" w:themeTint="7F"/>
            </w:tcBorders>
          </w:tcPr>
          <w:p w14:paraId="62AE4C92" w14:textId="77777777" w:rsidR="002027A5" w:rsidRPr="006D322C" w:rsidRDefault="002027A5" w:rsidP="00381EE9">
            <w:pPr>
              <w:pStyle w:val="tabletextcenter"/>
            </w:pPr>
            <w:r w:rsidRPr="00F66625">
              <w:t>27.6%</w:t>
            </w:r>
          </w:p>
        </w:tc>
        <w:tc>
          <w:tcPr>
            <w:tcW w:w="798" w:type="pct"/>
            <w:tcBorders>
              <w:bottom w:val="single" w:sz="2" w:space="0" w:color="808080" w:themeColor="text1" w:themeTint="7F"/>
            </w:tcBorders>
          </w:tcPr>
          <w:p w14:paraId="53BC6CAE" w14:textId="77777777" w:rsidR="002027A5" w:rsidRPr="00CD1826" w:rsidRDefault="002027A5" w:rsidP="00381EE9">
            <w:pPr>
              <w:pStyle w:val="tabletextcenter"/>
            </w:pPr>
            <w:r w:rsidRPr="00D86531">
              <w:t>5.3%</w:t>
            </w:r>
          </w:p>
        </w:tc>
      </w:tr>
      <w:tr w:rsidR="002027A5" w:rsidRPr="00CD1826" w14:paraId="259D7719" w14:textId="77777777" w:rsidTr="004031BF">
        <w:trPr>
          <w:trHeight w:val="265"/>
        </w:trPr>
        <w:tc>
          <w:tcPr>
            <w:tcW w:w="1685" w:type="pct"/>
            <w:tcBorders>
              <w:bottom w:val="single" w:sz="2" w:space="0" w:color="808080" w:themeColor="text1" w:themeTint="7F"/>
            </w:tcBorders>
          </w:tcPr>
          <w:p w14:paraId="31C23EB8" w14:textId="77777777" w:rsidR="002027A5" w:rsidRPr="00196BFA" w:rsidRDefault="002027A5" w:rsidP="00381EE9">
            <w:pPr>
              <w:pStyle w:val="TableText"/>
            </w:pPr>
            <w:r w:rsidRPr="00196BFA">
              <w:t>Naselle</w:t>
            </w:r>
            <w:r>
              <w:t xml:space="preserve"> </w:t>
            </w:r>
            <w:r w:rsidRPr="00196BFA">
              <w:t>(n=3</w:t>
            </w:r>
            <w:r>
              <w:t>1</w:t>
            </w:r>
            <w:r w:rsidRPr="00196BFA">
              <w:t>)</w:t>
            </w:r>
          </w:p>
        </w:tc>
        <w:tc>
          <w:tcPr>
            <w:tcW w:w="776" w:type="pct"/>
            <w:tcBorders>
              <w:bottom w:val="single" w:sz="2" w:space="0" w:color="808080" w:themeColor="text1" w:themeTint="7F"/>
            </w:tcBorders>
          </w:tcPr>
          <w:p w14:paraId="03ECE101" w14:textId="77777777" w:rsidR="002027A5" w:rsidRDefault="002027A5" w:rsidP="00381EE9">
            <w:pPr>
              <w:pStyle w:val="tabletextcenter"/>
            </w:pPr>
            <w:r w:rsidRPr="00F64167">
              <w:t>9.7%</w:t>
            </w:r>
          </w:p>
        </w:tc>
        <w:tc>
          <w:tcPr>
            <w:tcW w:w="618" w:type="pct"/>
            <w:tcBorders>
              <w:bottom w:val="single" w:sz="2" w:space="0" w:color="808080" w:themeColor="text1" w:themeTint="7F"/>
            </w:tcBorders>
          </w:tcPr>
          <w:p w14:paraId="318093C5" w14:textId="77777777" w:rsidR="002027A5" w:rsidRDefault="002027A5" w:rsidP="00381EE9">
            <w:pPr>
              <w:pStyle w:val="tabletextcenter"/>
            </w:pPr>
            <w:r w:rsidRPr="009C6F14">
              <w:t>32.3%</w:t>
            </w:r>
          </w:p>
        </w:tc>
        <w:tc>
          <w:tcPr>
            <w:tcW w:w="618" w:type="pct"/>
            <w:tcBorders>
              <w:bottom w:val="single" w:sz="2" w:space="0" w:color="808080" w:themeColor="text1" w:themeTint="7F"/>
            </w:tcBorders>
          </w:tcPr>
          <w:p w14:paraId="2CB1AD15" w14:textId="77777777" w:rsidR="002027A5" w:rsidRDefault="002027A5" w:rsidP="00381EE9">
            <w:pPr>
              <w:pStyle w:val="tabletextcenter"/>
            </w:pPr>
            <w:r w:rsidRPr="00EA34C2">
              <w:t>25.8%</w:t>
            </w:r>
          </w:p>
        </w:tc>
        <w:tc>
          <w:tcPr>
            <w:tcW w:w="505" w:type="pct"/>
            <w:tcBorders>
              <w:bottom w:val="single" w:sz="2" w:space="0" w:color="808080" w:themeColor="text1" w:themeTint="7F"/>
            </w:tcBorders>
          </w:tcPr>
          <w:p w14:paraId="3749C12B" w14:textId="77777777" w:rsidR="002027A5" w:rsidRPr="00CD1826" w:rsidRDefault="002027A5" w:rsidP="00381EE9">
            <w:pPr>
              <w:pStyle w:val="tabletextcenter"/>
            </w:pPr>
            <w:r w:rsidRPr="00F66625">
              <w:t>25.8%</w:t>
            </w:r>
          </w:p>
        </w:tc>
        <w:tc>
          <w:tcPr>
            <w:tcW w:w="798" w:type="pct"/>
            <w:tcBorders>
              <w:bottom w:val="single" w:sz="2" w:space="0" w:color="808080" w:themeColor="text1" w:themeTint="7F"/>
            </w:tcBorders>
          </w:tcPr>
          <w:p w14:paraId="23844D7D" w14:textId="77777777" w:rsidR="002027A5" w:rsidRPr="00CD1826" w:rsidRDefault="002027A5" w:rsidP="00381EE9">
            <w:pPr>
              <w:pStyle w:val="tabletextcenter"/>
            </w:pPr>
            <w:r w:rsidRPr="00D86531">
              <w:t>6.5%</w:t>
            </w:r>
          </w:p>
        </w:tc>
      </w:tr>
      <w:tr w:rsidR="002027A5" w:rsidRPr="00CD1826" w14:paraId="466999A9" w14:textId="77777777" w:rsidTr="004031BF">
        <w:trPr>
          <w:cnfStyle w:val="000000100000" w:firstRow="0" w:lastRow="0" w:firstColumn="0" w:lastColumn="0" w:oddVBand="0" w:evenVBand="0" w:oddHBand="1" w:evenHBand="0" w:firstRowFirstColumn="0" w:firstRowLastColumn="0" w:lastRowFirstColumn="0" w:lastRowLastColumn="0"/>
        </w:trPr>
        <w:tc>
          <w:tcPr>
            <w:tcW w:w="1685" w:type="pct"/>
            <w:tcBorders>
              <w:top w:val="single" w:sz="2" w:space="0" w:color="808080" w:themeColor="text1" w:themeTint="7F"/>
            </w:tcBorders>
          </w:tcPr>
          <w:p w14:paraId="24EEC6E3" w14:textId="77777777" w:rsidR="002027A5" w:rsidRPr="00196BFA" w:rsidRDefault="002027A5" w:rsidP="00381EE9">
            <w:pPr>
              <w:pStyle w:val="TableText"/>
            </w:pPr>
            <w:r w:rsidRPr="00196BFA">
              <w:t>Community Facilities</w:t>
            </w:r>
            <w:r>
              <w:t xml:space="preserve"> </w:t>
            </w:r>
            <w:r w:rsidRPr="00196BFA">
              <w:t>(n=3</w:t>
            </w:r>
            <w:r>
              <w:t>5</w:t>
            </w:r>
            <w:r w:rsidRPr="00196BFA">
              <w:t>)</w:t>
            </w:r>
          </w:p>
        </w:tc>
        <w:tc>
          <w:tcPr>
            <w:tcW w:w="776" w:type="pct"/>
            <w:tcBorders>
              <w:top w:val="single" w:sz="2" w:space="0" w:color="808080" w:themeColor="text1" w:themeTint="7F"/>
            </w:tcBorders>
          </w:tcPr>
          <w:p w14:paraId="7750ACE8" w14:textId="77777777" w:rsidR="002027A5" w:rsidRPr="002C1885" w:rsidRDefault="002027A5" w:rsidP="00381EE9">
            <w:pPr>
              <w:pStyle w:val="tabletextcenter"/>
              <w:rPr>
                <w:b/>
              </w:rPr>
            </w:pPr>
            <w:r w:rsidRPr="00F64167">
              <w:t>8.6%</w:t>
            </w:r>
          </w:p>
        </w:tc>
        <w:tc>
          <w:tcPr>
            <w:tcW w:w="618" w:type="pct"/>
            <w:tcBorders>
              <w:top w:val="single" w:sz="2" w:space="0" w:color="808080" w:themeColor="text1" w:themeTint="7F"/>
            </w:tcBorders>
          </w:tcPr>
          <w:p w14:paraId="6D063431" w14:textId="77777777" w:rsidR="002027A5" w:rsidRPr="002C1885" w:rsidRDefault="002027A5" w:rsidP="00381EE9">
            <w:pPr>
              <w:pStyle w:val="tabletextcenter"/>
              <w:rPr>
                <w:b/>
              </w:rPr>
            </w:pPr>
            <w:r w:rsidRPr="009C6F14">
              <w:t>17.1%</w:t>
            </w:r>
          </w:p>
        </w:tc>
        <w:tc>
          <w:tcPr>
            <w:tcW w:w="618" w:type="pct"/>
            <w:tcBorders>
              <w:top w:val="single" w:sz="2" w:space="0" w:color="808080" w:themeColor="text1" w:themeTint="7F"/>
            </w:tcBorders>
          </w:tcPr>
          <w:p w14:paraId="220D3C01" w14:textId="77777777" w:rsidR="002027A5" w:rsidRPr="002C1885" w:rsidRDefault="002027A5" w:rsidP="00381EE9">
            <w:pPr>
              <w:pStyle w:val="tabletextcenter"/>
              <w:rPr>
                <w:b/>
              </w:rPr>
            </w:pPr>
            <w:r w:rsidRPr="00EA34C2">
              <w:t>20.0%</w:t>
            </w:r>
          </w:p>
        </w:tc>
        <w:tc>
          <w:tcPr>
            <w:tcW w:w="505" w:type="pct"/>
            <w:tcBorders>
              <w:top w:val="single" w:sz="2" w:space="0" w:color="808080" w:themeColor="text1" w:themeTint="7F"/>
            </w:tcBorders>
          </w:tcPr>
          <w:p w14:paraId="70C3C41B" w14:textId="77777777" w:rsidR="002027A5" w:rsidRPr="002C1885" w:rsidRDefault="002027A5" w:rsidP="00381EE9">
            <w:pPr>
              <w:pStyle w:val="tabletextcenter"/>
              <w:rPr>
                <w:b/>
              </w:rPr>
            </w:pPr>
            <w:r w:rsidRPr="00F66625">
              <w:t>45.7%</w:t>
            </w:r>
          </w:p>
        </w:tc>
        <w:tc>
          <w:tcPr>
            <w:tcW w:w="798" w:type="pct"/>
            <w:tcBorders>
              <w:top w:val="single" w:sz="2" w:space="0" w:color="808080" w:themeColor="text1" w:themeTint="7F"/>
            </w:tcBorders>
          </w:tcPr>
          <w:p w14:paraId="21474688" w14:textId="77777777" w:rsidR="002027A5" w:rsidRPr="002C1885" w:rsidRDefault="002027A5" w:rsidP="00381EE9">
            <w:pPr>
              <w:pStyle w:val="tabletextcenter"/>
            </w:pPr>
            <w:r w:rsidRPr="00D86531">
              <w:t>8.6%</w:t>
            </w:r>
          </w:p>
        </w:tc>
      </w:tr>
    </w:tbl>
    <w:p w14:paraId="5C38C275" w14:textId="77777777" w:rsidR="004031BF" w:rsidRPr="00256CC5" w:rsidRDefault="004031BF" w:rsidP="004031BF">
      <w:pPr>
        <w:rPr>
          <w:i/>
          <w:sz w:val="20"/>
          <w:szCs w:val="20"/>
        </w:rPr>
      </w:pPr>
      <w:r w:rsidRPr="00256CC5">
        <w:rPr>
          <w:rFonts w:ascii="Arial Narrow" w:hAnsi="Arial Narrow"/>
          <w:i/>
          <w:sz w:val="20"/>
          <w:szCs w:val="20"/>
        </w:rPr>
        <w:t>*Percentages may not add up to 100% due to rounding</w:t>
      </w:r>
      <w:r w:rsidRPr="00256CC5">
        <w:rPr>
          <w:i/>
          <w:sz w:val="20"/>
          <w:szCs w:val="20"/>
        </w:rPr>
        <w:t>.</w:t>
      </w:r>
    </w:p>
    <w:p w14:paraId="0888E916" w14:textId="77777777" w:rsidR="00106897" w:rsidRDefault="00106897" w:rsidP="002323A9">
      <w:pPr>
        <w:pStyle w:val="Heading1"/>
      </w:pPr>
      <w:bookmarkStart w:id="98" w:name="_Toc531597533"/>
      <w:bookmarkStart w:id="99" w:name="_Hlk521935539"/>
      <w:r>
        <w:lastRenderedPageBreak/>
        <w:t xml:space="preserve">Implications for JR </w:t>
      </w:r>
      <w:r w:rsidR="00E91FF8">
        <w:t>R</w:t>
      </w:r>
      <w:r w:rsidR="002B4425">
        <w:t xml:space="preserve">esidential </w:t>
      </w:r>
      <w:r>
        <w:t>Staffing Model</w:t>
      </w:r>
      <w:bookmarkEnd w:id="98"/>
      <w:r>
        <w:t xml:space="preserve"> </w:t>
      </w:r>
    </w:p>
    <w:p w14:paraId="076297A9" w14:textId="77777777" w:rsidR="00FF3892" w:rsidRPr="004242A7" w:rsidRDefault="00FF3892" w:rsidP="00FF3892">
      <w:pPr>
        <w:pStyle w:val="RFPtext"/>
        <w:rPr>
          <w:b/>
          <w:color w:val="000000" w:themeColor="text1"/>
          <w:sz w:val="24"/>
        </w:rPr>
      </w:pPr>
      <w:bookmarkStart w:id="100" w:name="_Hlk521584769"/>
      <w:r w:rsidRPr="004242A7">
        <w:rPr>
          <w:b/>
          <w:color w:val="000000" w:themeColor="text1"/>
          <w:sz w:val="24"/>
        </w:rPr>
        <w:t xml:space="preserve">Current staffing is generally focused on meeting supervisory and custodial needs of the youth. Current staffing does not support fidelity to the </w:t>
      </w:r>
      <w:r w:rsidR="008C0316">
        <w:rPr>
          <w:b/>
          <w:color w:val="000000" w:themeColor="text1"/>
          <w:sz w:val="24"/>
        </w:rPr>
        <w:t>Rehabilitation</w:t>
      </w:r>
      <w:r w:rsidR="00024DAA">
        <w:rPr>
          <w:b/>
          <w:color w:val="000000" w:themeColor="text1"/>
          <w:sz w:val="24"/>
        </w:rPr>
        <w:t xml:space="preserve"> Model </w:t>
      </w:r>
      <w:r w:rsidRPr="004242A7">
        <w:rPr>
          <w:b/>
          <w:color w:val="000000" w:themeColor="text1"/>
          <w:sz w:val="24"/>
        </w:rPr>
        <w:t>to the degree of rehabilitative transformation JR’s mission aims to achieve. J</w:t>
      </w:r>
      <w:r w:rsidR="000B66B2" w:rsidRPr="004242A7">
        <w:rPr>
          <w:b/>
          <w:color w:val="000000" w:themeColor="text1"/>
          <w:sz w:val="24"/>
        </w:rPr>
        <w:t>R</w:t>
      </w:r>
      <w:r w:rsidRPr="004242A7">
        <w:rPr>
          <w:b/>
          <w:color w:val="000000" w:themeColor="text1"/>
          <w:sz w:val="24"/>
        </w:rPr>
        <w:t xml:space="preserve"> is also constrained by high turnover, lack of recruitment supports, challenging work environment cultures and climate</w:t>
      </w:r>
      <w:r w:rsidR="00561A9B" w:rsidRPr="004242A7">
        <w:rPr>
          <w:b/>
          <w:color w:val="000000" w:themeColor="text1"/>
          <w:sz w:val="24"/>
        </w:rPr>
        <w:t>,</w:t>
      </w:r>
      <w:r w:rsidRPr="004242A7">
        <w:rPr>
          <w:b/>
          <w:color w:val="000000" w:themeColor="text1"/>
          <w:sz w:val="24"/>
        </w:rPr>
        <w:t xml:space="preserve"> and low staff morale. </w:t>
      </w:r>
    </w:p>
    <w:bookmarkEnd w:id="100"/>
    <w:p w14:paraId="6C60D761" w14:textId="77777777" w:rsidR="00FF3892" w:rsidRPr="008D2181" w:rsidRDefault="00FF3892" w:rsidP="00FF3892">
      <w:r w:rsidRPr="00024AC8">
        <w:t>Significant changes in treatment, acuity levels, generational workforce characteristics, economic landscapes, and community reentry planning</w:t>
      </w:r>
      <w:r w:rsidR="00A1105C">
        <w:t xml:space="preserve"> and activities</w:t>
      </w:r>
      <w:r w:rsidRPr="00024AC8">
        <w:t xml:space="preserve"> across the JR continuum of care have taken place since JR </w:t>
      </w:r>
      <w:r w:rsidR="00A1105C">
        <w:t xml:space="preserve">last revised </w:t>
      </w:r>
      <w:r w:rsidRPr="00024AC8">
        <w:t>its C</w:t>
      </w:r>
      <w:r>
        <w:t>ustodial Staffing Model in 1997</w:t>
      </w:r>
      <w:r w:rsidR="00561A9B">
        <w:t xml:space="preserve">. While there have been incremental updates, the </w:t>
      </w:r>
      <w:r w:rsidR="002B4425">
        <w:t xml:space="preserve">residential </w:t>
      </w:r>
      <w:r w:rsidR="00561A9B">
        <w:t xml:space="preserve">staffing model has not had a </w:t>
      </w:r>
      <w:r>
        <w:t>comprehensive re-design</w:t>
      </w:r>
      <w:r w:rsidR="004C75A6">
        <w:t xml:space="preserve">. </w:t>
      </w:r>
      <w:r w:rsidRPr="008D2181">
        <w:t xml:space="preserve">A “one-size fits all” approach </w:t>
      </w:r>
      <w:r w:rsidR="00D017CA">
        <w:t xml:space="preserve">for the facilities </w:t>
      </w:r>
      <w:r w:rsidRPr="008D2181">
        <w:t>will not suffice and must encompass more factors based on numerous external and organizational changes that have occurred</w:t>
      </w:r>
      <w:r w:rsidR="004C75A6">
        <w:t xml:space="preserve">. </w:t>
      </w:r>
      <w:r w:rsidRPr="008D2181">
        <w:t xml:space="preserve">JR staffing should more comprehensively support fidelity to the key aspects of the </w:t>
      </w:r>
      <w:r w:rsidR="008C0316">
        <w:t xml:space="preserve">Rehabilitation Model </w:t>
      </w:r>
      <w:r w:rsidRPr="008D2181">
        <w:t>while also maintaining safe and effective custodial care for the youth.</w:t>
      </w:r>
      <w:r w:rsidR="00072FC4">
        <w:t xml:space="preserve"> It also must take into consideration the unique programs provided at some of the institutions and community facilities.</w:t>
      </w:r>
      <w:r w:rsidRPr="008D2181">
        <w:t xml:space="preserve"> </w:t>
      </w:r>
    </w:p>
    <w:p w14:paraId="5A338BCA" w14:textId="77777777" w:rsidR="006415DB" w:rsidRDefault="00561A9B" w:rsidP="00FF3892">
      <w:r>
        <w:t xml:space="preserve">To construct a new </w:t>
      </w:r>
      <w:r w:rsidR="002B4425">
        <w:t xml:space="preserve">residential </w:t>
      </w:r>
      <w:r>
        <w:t xml:space="preserve">staffing model, we will use the </w:t>
      </w:r>
      <w:r w:rsidR="00FF3892" w:rsidRPr="008D2181">
        <w:t xml:space="preserve">findings presented </w:t>
      </w:r>
      <w:r>
        <w:t xml:space="preserve">in this document </w:t>
      </w:r>
      <w:r w:rsidR="00FF3892" w:rsidRPr="008D2181">
        <w:t xml:space="preserve">to develop integrated recommendations based on three key dimensions of staffing: </w:t>
      </w:r>
    </w:p>
    <w:p w14:paraId="06869F6D" w14:textId="77777777" w:rsidR="006415DB" w:rsidRDefault="00FF3892" w:rsidP="00A51B6F">
      <w:pPr>
        <w:pStyle w:val="NumberedList"/>
        <w:numPr>
          <w:ilvl w:val="0"/>
          <w:numId w:val="15"/>
        </w:numPr>
      </w:pPr>
      <w:r w:rsidRPr="008D2181">
        <w:t>Staffing levels</w:t>
      </w:r>
      <w:r w:rsidR="004D3865">
        <w:t xml:space="preserve"> and </w:t>
      </w:r>
      <w:r w:rsidR="000B66B2">
        <w:t>ratios</w:t>
      </w:r>
      <w:r w:rsidR="004D3865">
        <w:t xml:space="preserve"> to </w:t>
      </w:r>
      <w:r w:rsidR="000B66B2">
        <w:t>effectively and safely operate</w:t>
      </w:r>
      <w:r w:rsidR="004D3865">
        <w:t xml:space="preserve"> 24 hours </w:t>
      </w:r>
      <w:r w:rsidR="000B66B2">
        <w:t xml:space="preserve">per </w:t>
      </w:r>
      <w:r w:rsidR="004D3865">
        <w:t>day</w:t>
      </w:r>
      <w:r w:rsidR="000B66B2">
        <w:t>, 365 days per year.</w:t>
      </w:r>
      <w:r w:rsidR="00BA0468">
        <w:t xml:space="preserve"> </w:t>
      </w:r>
    </w:p>
    <w:p w14:paraId="759EC04F" w14:textId="77777777" w:rsidR="006415DB" w:rsidRDefault="00FF3892" w:rsidP="00A51B6F">
      <w:pPr>
        <w:pStyle w:val="NumberedList"/>
        <w:numPr>
          <w:ilvl w:val="0"/>
          <w:numId w:val="15"/>
        </w:numPr>
      </w:pPr>
      <w:r w:rsidRPr="00B60012">
        <w:t>Staff responsibilities and</w:t>
      </w:r>
      <w:r w:rsidR="000B66B2">
        <w:t xml:space="preserve"> requirements modeled to have optimal caseloads that take into consideration the</w:t>
      </w:r>
      <w:r w:rsidRPr="00B60012">
        <w:t xml:space="preserve"> workload expectations </w:t>
      </w:r>
      <w:r w:rsidR="000B66B2">
        <w:t xml:space="preserve">of each position in implementing the </w:t>
      </w:r>
      <w:r w:rsidR="008C0316">
        <w:t>Rehabilitation Model</w:t>
      </w:r>
      <w:r w:rsidR="006415DB">
        <w:t xml:space="preserve">; and </w:t>
      </w:r>
    </w:p>
    <w:p w14:paraId="66447AE0" w14:textId="77777777" w:rsidR="00FF3892" w:rsidRDefault="00724C20" w:rsidP="00A51B6F">
      <w:pPr>
        <w:pStyle w:val="NumberedList"/>
        <w:numPr>
          <w:ilvl w:val="0"/>
          <w:numId w:val="15"/>
        </w:numPr>
      </w:pPr>
      <w:r>
        <w:t>Organizational factors linked to turnover/retention.</w:t>
      </w:r>
      <w:r w:rsidR="00FF3892" w:rsidRPr="00B60012">
        <w:t xml:space="preserve"> </w:t>
      </w:r>
    </w:p>
    <w:p w14:paraId="6C2ADE08" w14:textId="77777777" w:rsidR="00FF3892" w:rsidRDefault="009124C6" w:rsidP="00F42D48">
      <w:pPr>
        <w:pStyle w:val="Heading2"/>
      </w:pPr>
      <w:bookmarkStart w:id="101" w:name="_Toc531597534"/>
      <w:bookmarkStart w:id="102" w:name="_Hlk521649254"/>
      <w:r>
        <w:t>Staffing Levels and Ratios</w:t>
      </w:r>
      <w:bookmarkEnd w:id="101"/>
      <w:r>
        <w:t xml:space="preserve"> </w:t>
      </w:r>
    </w:p>
    <w:p w14:paraId="4394C002" w14:textId="77777777" w:rsidR="00FF3892" w:rsidRPr="004D3865" w:rsidRDefault="004D3865" w:rsidP="004D3865">
      <w:r>
        <w:t>Staff levels and schedules modeled for the facilities to effectively and safely operate 24/7 includes consideration of the following factors:</w:t>
      </w:r>
    </w:p>
    <w:p w14:paraId="3C96E42B" w14:textId="77777777" w:rsidR="00FF3892" w:rsidRPr="00FB14AD" w:rsidRDefault="00FF3892" w:rsidP="004D3865">
      <w:pPr>
        <w:pStyle w:val="ListBullet"/>
      </w:pPr>
      <w:r w:rsidRPr="00FB14AD">
        <w:t>Overtime and On-Call Staff Usage</w:t>
      </w:r>
      <w:r w:rsidR="00C75275">
        <w:t>;</w:t>
      </w:r>
      <w:r w:rsidRPr="00FB14AD">
        <w:t xml:space="preserve"> </w:t>
      </w:r>
    </w:p>
    <w:p w14:paraId="03BC1E7D" w14:textId="77777777" w:rsidR="00FF3892" w:rsidRDefault="00724C20" w:rsidP="004D3865">
      <w:pPr>
        <w:pStyle w:val="ListBullet"/>
      </w:pPr>
      <w:r>
        <w:t>Shift Relief Factor</w:t>
      </w:r>
      <w:r w:rsidR="00C75275">
        <w:t>; and</w:t>
      </w:r>
    </w:p>
    <w:p w14:paraId="62EA6538" w14:textId="77777777" w:rsidR="00FF3892" w:rsidRPr="008D2181" w:rsidRDefault="00FF3892" w:rsidP="004D3865">
      <w:pPr>
        <w:pStyle w:val="ListBullet"/>
      </w:pPr>
      <w:r w:rsidRPr="00FB14AD">
        <w:t>Staffing</w:t>
      </w:r>
      <w:r>
        <w:t xml:space="preserve"> Numbers</w:t>
      </w:r>
      <w:r w:rsidR="00633683">
        <w:t xml:space="preserve"> and</w:t>
      </w:r>
      <w:r w:rsidRPr="00FB14AD">
        <w:t xml:space="preserve"> Ratios</w:t>
      </w:r>
      <w:bookmarkEnd w:id="102"/>
      <w:r w:rsidR="00C75275">
        <w:t>.</w:t>
      </w:r>
    </w:p>
    <w:p w14:paraId="5539FDF1" w14:textId="77777777" w:rsidR="00FF3892" w:rsidRPr="00026D39" w:rsidRDefault="00FF3892" w:rsidP="00A51B6F">
      <w:pPr>
        <w:pStyle w:val="Heading3"/>
        <w:numPr>
          <w:ilvl w:val="2"/>
          <w:numId w:val="16"/>
        </w:numPr>
        <w:ind w:left="720"/>
      </w:pPr>
      <w:bookmarkStart w:id="103" w:name="_Toc531597535"/>
      <w:r w:rsidRPr="00026D39">
        <w:t>Overtime</w:t>
      </w:r>
      <w:r>
        <w:t xml:space="preserve"> and On-Call Staff</w:t>
      </w:r>
      <w:bookmarkEnd w:id="103"/>
    </w:p>
    <w:p w14:paraId="2CCFF645" w14:textId="77777777" w:rsidR="00724C20" w:rsidRDefault="00BA0468" w:rsidP="00FF3892">
      <w:r>
        <w:t xml:space="preserve">We found from our administrative data </w:t>
      </w:r>
      <w:r w:rsidR="00561A9B">
        <w:t xml:space="preserve">review </w:t>
      </w:r>
      <w:r w:rsidR="001E662D">
        <w:t xml:space="preserve">that </w:t>
      </w:r>
      <w:r>
        <w:t xml:space="preserve">there is significant use of both </w:t>
      </w:r>
      <w:r w:rsidR="00FF3892" w:rsidRPr="00072C8D">
        <w:t>on-call staff and overtime to cover shifts</w:t>
      </w:r>
      <w:r>
        <w:t>.</w:t>
      </w:r>
      <w:r w:rsidR="00FF3892" w:rsidRPr="00072C8D">
        <w:t xml:space="preserve"> </w:t>
      </w:r>
      <w:r w:rsidR="003D59C8">
        <w:t>T</w:t>
      </w:r>
      <w:r>
        <w:t xml:space="preserve">his has the potential to </w:t>
      </w:r>
      <w:r w:rsidR="00FF3892" w:rsidRPr="00072C8D">
        <w:t xml:space="preserve">compromise the quality of staffing, safety, morale, and </w:t>
      </w:r>
      <w:r w:rsidR="003E1B91">
        <w:t>it</w:t>
      </w:r>
      <w:r w:rsidR="00561A9B">
        <w:t xml:space="preserve"> also has significant </w:t>
      </w:r>
      <w:r w:rsidR="00FF3892" w:rsidRPr="00072C8D">
        <w:t xml:space="preserve">cost </w:t>
      </w:r>
      <w:r w:rsidR="00561A9B">
        <w:t>implications</w:t>
      </w:r>
      <w:r w:rsidR="00FF3892" w:rsidRPr="00072C8D">
        <w:t xml:space="preserve">. </w:t>
      </w:r>
      <w:r>
        <w:t>We also heard several conce</w:t>
      </w:r>
      <w:r w:rsidR="00724C20">
        <w:t>rns – from staff and management</w:t>
      </w:r>
      <w:r>
        <w:t xml:space="preserve"> alike – that the quality of on-call staff varies</w:t>
      </w:r>
      <w:r w:rsidR="00561A9B">
        <w:t>, often due to their fit or attachment to the position rather than a lack of ability to perform the job</w:t>
      </w:r>
      <w:r>
        <w:t xml:space="preserve">. For the future state </w:t>
      </w:r>
      <w:r w:rsidR="002B4425">
        <w:t xml:space="preserve">residential </w:t>
      </w:r>
      <w:r>
        <w:t xml:space="preserve">staffing model, we will consider </w:t>
      </w:r>
      <w:r w:rsidR="00FF3892" w:rsidRPr="00072C8D">
        <w:t xml:space="preserve">whether JR may be better served by using funding currently </w:t>
      </w:r>
      <w:r w:rsidR="00561A9B">
        <w:t xml:space="preserve">reserved for on-call positions </w:t>
      </w:r>
      <w:r w:rsidR="00FF3892" w:rsidRPr="00072C8D">
        <w:t xml:space="preserve">to fund additional permanent positions. This could help alleviate some of the scheduling issues, help reduce the overall turnover, and – because scheduling may be improved – reduce the overall need for overtime. </w:t>
      </w:r>
    </w:p>
    <w:p w14:paraId="4127883D" w14:textId="77777777" w:rsidR="00FF3892" w:rsidRDefault="00FF3892" w:rsidP="00FF3892">
      <w:r w:rsidRPr="00072C8D">
        <w:t>There are potential downsides to moving on-call positions to permanent</w:t>
      </w:r>
      <w:r w:rsidR="00BA0468">
        <w:t xml:space="preserve"> positions</w:t>
      </w:r>
      <w:r w:rsidR="004D3865">
        <w:t>.</w:t>
      </w:r>
      <w:r w:rsidRPr="00072C8D">
        <w:t xml:space="preserve"> While scheduling and staff burnout issues may be addressed, there are many staff members who prefer to work overtime as they are not able to maintain a basic standard of living without the added income. This was especially true in areas in and around King County, where the cost of living is </w:t>
      </w:r>
      <w:r w:rsidRPr="00072C8D">
        <w:lastRenderedPageBreak/>
        <w:t>exceptionally high. As the availability of overtime opportunities decrease, some staff may feel they can no longer survive on their current salaries and seek alternative employment</w:t>
      </w:r>
      <w:r w:rsidR="004D3865">
        <w:t>,</w:t>
      </w:r>
      <w:r w:rsidRPr="00072C8D">
        <w:t xml:space="preserve"> which must be considered for the future state</w:t>
      </w:r>
      <w:r w:rsidR="004C75A6">
        <w:t xml:space="preserve">. </w:t>
      </w:r>
    </w:p>
    <w:p w14:paraId="24A25777" w14:textId="77777777" w:rsidR="00BB3D02" w:rsidRDefault="00815FDA" w:rsidP="00FF3892">
      <w:r>
        <w:t xml:space="preserve">During interviews, staff identified a number of factors driving the use of overtime. The most prevalent reason given for overtime is there is just not sufficient stable full-time permanent staff to meet minimum staffing requirements, due to high turnover and difficulty in filling vacancies. In addition, staff noted there is a very high rate of staff calling in sick at the last minute. In developing an optimal </w:t>
      </w:r>
      <w:r w:rsidR="002B4425">
        <w:t xml:space="preserve">residential </w:t>
      </w:r>
      <w:r>
        <w:t xml:space="preserve">staffing model, we will identify possible changes in scheduling practices that may </w:t>
      </w:r>
      <w:r w:rsidR="00E2609D">
        <w:t xml:space="preserve">reduce the use of sick time. </w:t>
      </w:r>
      <w:r w:rsidR="00BB22C0">
        <w:t xml:space="preserve">Many staff suggested implementing the opportunity for 4/10 work schedules, as this would provide more time with family and more time for self-care. Many staff indicated this would also increase worker morale. </w:t>
      </w:r>
      <w:r w:rsidR="00561A9B">
        <w:t xml:space="preserve">Some Institutional Program Managers and Community Facility Administrators indicated they would likely be able to make 4/10s feasible with their scheduling, though it may require additional </w:t>
      </w:r>
      <w:r w:rsidR="00760DB2">
        <w:t>staff.</w:t>
      </w:r>
      <w:r w:rsidR="00BB3D02">
        <w:t xml:space="preserve"> Identifying and implementing options for different work schedules is difficult, but it may result in certain benefits:</w:t>
      </w:r>
    </w:p>
    <w:p w14:paraId="030238C4" w14:textId="77777777" w:rsidR="00815FDA" w:rsidRDefault="001B049F" w:rsidP="001B049F">
      <w:pPr>
        <w:pStyle w:val="ListBullet"/>
      </w:pPr>
      <w:r>
        <w:t>Improved staff morale as job satisfaction increases;</w:t>
      </w:r>
    </w:p>
    <w:p w14:paraId="07486417" w14:textId="77777777" w:rsidR="001B049F" w:rsidRDefault="001B049F" w:rsidP="001B049F">
      <w:pPr>
        <w:pStyle w:val="ListBullet"/>
      </w:pPr>
      <w:r>
        <w:t>Less turnover, less sick time, and improved quality of work; and</w:t>
      </w:r>
    </w:p>
    <w:p w14:paraId="7F347243" w14:textId="77777777" w:rsidR="001B049F" w:rsidRDefault="001B049F" w:rsidP="00714082">
      <w:pPr>
        <w:pStyle w:val="ListBullet"/>
        <w:contextualSpacing w:val="0"/>
      </w:pPr>
      <w:r>
        <w:t xml:space="preserve">Financial saving due to the </w:t>
      </w:r>
      <w:r w:rsidR="00561A9B">
        <w:t xml:space="preserve">more </w:t>
      </w:r>
      <w:r>
        <w:t>efficient use of staff.</w:t>
      </w:r>
    </w:p>
    <w:p w14:paraId="1A10761C" w14:textId="77777777" w:rsidR="00714082" w:rsidRDefault="00714082" w:rsidP="00193F5F">
      <w:r>
        <w:t xml:space="preserve">Overlapping shifts </w:t>
      </w:r>
      <w:r w:rsidR="00127CAC">
        <w:t xml:space="preserve">also </w:t>
      </w:r>
      <w:r>
        <w:t>may create new opportunities for in</w:t>
      </w:r>
      <w:r w:rsidR="002E0844">
        <w:t>-</w:t>
      </w:r>
      <w:r>
        <w:t>service training for staff</w:t>
      </w:r>
      <w:r w:rsidR="00561A9B">
        <w:t xml:space="preserve"> and </w:t>
      </w:r>
      <w:r>
        <w:t>provide increased opportunities for staff communication. In interviews with staff, a theme emerged that communication among staff is lacking and is needed to successfully support the goals of the youth and ensure consistency in implementing treatment and consequences for inappropriate behavior.</w:t>
      </w:r>
    </w:p>
    <w:p w14:paraId="048FCB98" w14:textId="77777777" w:rsidR="006A75D7" w:rsidRPr="00072C8D" w:rsidRDefault="006A75D7" w:rsidP="00193F5F">
      <w:r>
        <w:t xml:space="preserve">The decision to implement alternative work </w:t>
      </w:r>
      <w:r w:rsidR="008D6A91">
        <w:t xml:space="preserve">schedules </w:t>
      </w:r>
      <w:r>
        <w:t>will hinge on the assessment by each facility of their feasibility and on whether the changes can be implemented</w:t>
      </w:r>
      <w:r w:rsidR="00B24988">
        <w:t xml:space="preserve"> without too much disruption and negative reaction, as well as any budget implications.</w:t>
      </w:r>
    </w:p>
    <w:p w14:paraId="1B823B45" w14:textId="77777777" w:rsidR="00FF3892" w:rsidRPr="00BF0EC3" w:rsidRDefault="00FF3892" w:rsidP="004D3865">
      <w:pPr>
        <w:pStyle w:val="Heading3"/>
      </w:pPr>
      <w:bookmarkStart w:id="104" w:name="_Toc531597536"/>
      <w:r w:rsidRPr="00BF0EC3">
        <w:t>Shift Relief Factor</w:t>
      </w:r>
      <w:bookmarkEnd w:id="104"/>
      <w:r w:rsidRPr="00BF0EC3">
        <w:t xml:space="preserve"> </w:t>
      </w:r>
    </w:p>
    <w:p w14:paraId="6E28909E" w14:textId="77777777" w:rsidR="00D46599" w:rsidRDefault="00FF3892" w:rsidP="00BC3B17">
      <w:r w:rsidRPr="00BE20B3">
        <w:t>A shift-relief factor is a useful workload tool that estimates the additional staffing levels needed to cover staff time off and maintain uninterrupted coverage for normal operations. For example, a shift-relief factor</w:t>
      </w:r>
      <w:r w:rsidR="00AB4C24">
        <w:t xml:space="preserve"> for direct service staff of </w:t>
      </w:r>
      <w:r w:rsidR="00C00974">
        <w:t xml:space="preserve">1.2 </w:t>
      </w:r>
      <w:r w:rsidRPr="00BE20B3">
        <w:t xml:space="preserve">means that, on average, if 1,000 hours of staff time are needed to cover normal operations, an additional 200 hours are required to account for planned and unplanned </w:t>
      </w:r>
      <w:r>
        <w:t>absences</w:t>
      </w:r>
      <w:r w:rsidR="004D3865">
        <w:t>. A shift relief factor must b</w:t>
      </w:r>
      <w:r w:rsidR="00BC3B17">
        <w:t xml:space="preserve">e part of the new </w:t>
      </w:r>
      <w:r w:rsidR="002B4425">
        <w:t xml:space="preserve">residential </w:t>
      </w:r>
      <w:r w:rsidR="00BC3B17">
        <w:t>staffing model that accurately accounts for</w:t>
      </w:r>
      <w:r w:rsidR="00D46599">
        <w:t>:</w:t>
      </w:r>
    </w:p>
    <w:p w14:paraId="2540F356" w14:textId="77777777" w:rsidR="00D46599" w:rsidRDefault="00D46599" w:rsidP="00D46599">
      <w:pPr>
        <w:pStyle w:val="ListBullet"/>
      </w:pPr>
      <w:r>
        <w:t>Pre</w:t>
      </w:r>
      <w:r w:rsidR="00027F3E">
        <w:t>-</w:t>
      </w:r>
      <w:r>
        <w:t>service and in</w:t>
      </w:r>
      <w:r w:rsidR="00027F3E">
        <w:t>-</w:t>
      </w:r>
      <w:r>
        <w:t>service training time</w:t>
      </w:r>
      <w:r w:rsidR="00024DAA">
        <w:t>;</w:t>
      </w:r>
    </w:p>
    <w:p w14:paraId="47C4007C" w14:textId="77777777" w:rsidR="0074265A" w:rsidRDefault="0074265A" w:rsidP="00D46599">
      <w:pPr>
        <w:pStyle w:val="ListBullet"/>
      </w:pPr>
      <w:r>
        <w:t>Required breaks</w:t>
      </w:r>
      <w:r w:rsidR="00024DAA">
        <w:t>;</w:t>
      </w:r>
    </w:p>
    <w:p w14:paraId="45537182" w14:textId="77777777" w:rsidR="00D46599" w:rsidRDefault="00D46599" w:rsidP="00D46599">
      <w:pPr>
        <w:pStyle w:val="ListBullet"/>
      </w:pPr>
      <w:r>
        <w:t>Long term medical disability</w:t>
      </w:r>
      <w:r w:rsidR="00024DAA">
        <w:t>;</w:t>
      </w:r>
    </w:p>
    <w:p w14:paraId="2D36679D" w14:textId="77777777" w:rsidR="00D46599" w:rsidRDefault="00D46599" w:rsidP="00D46599">
      <w:pPr>
        <w:pStyle w:val="ListBullet"/>
      </w:pPr>
      <w:r>
        <w:t>Light-duty assignments for injured staff</w:t>
      </w:r>
      <w:r w:rsidR="00024DAA">
        <w:t>;</w:t>
      </w:r>
    </w:p>
    <w:p w14:paraId="1B31AE48" w14:textId="77777777" w:rsidR="00D46599" w:rsidRDefault="00D46599" w:rsidP="00D46599">
      <w:pPr>
        <w:pStyle w:val="ListBullet"/>
      </w:pPr>
      <w:r>
        <w:t xml:space="preserve">Time </w:t>
      </w:r>
      <w:r w:rsidR="005B388C">
        <w:t xml:space="preserve">it </w:t>
      </w:r>
      <w:r>
        <w:t>takes to fill a vacancy</w:t>
      </w:r>
      <w:r w:rsidR="00024DAA">
        <w:t>;</w:t>
      </w:r>
    </w:p>
    <w:p w14:paraId="5BF7B521" w14:textId="77777777" w:rsidR="00D46599" w:rsidRDefault="00D46599" w:rsidP="00D46599">
      <w:pPr>
        <w:pStyle w:val="ListBullet"/>
      </w:pPr>
      <w:r>
        <w:t>Vacation</w:t>
      </w:r>
      <w:r w:rsidR="00024DAA">
        <w:t>;</w:t>
      </w:r>
    </w:p>
    <w:p w14:paraId="48EC9CF0" w14:textId="77777777" w:rsidR="00D46599" w:rsidRDefault="00D46599" w:rsidP="00D46599">
      <w:pPr>
        <w:pStyle w:val="ListBullet"/>
      </w:pPr>
      <w:r>
        <w:t>Sick leave</w:t>
      </w:r>
      <w:r w:rsidR="00024DAA">
        <w:t>;</w:t>
      </w:r>
    </w:p>
    <w:p w14:paraId="384D76E2" w14:textId="77777777" w:rsidR="00D46599" w:rsidRDefault="00D46599" w:rsidP="00D46599">
      <w:pPr>
        <w:pStyle w:val="ListBullet"/>
      </w:pPr>
      <w:r>
        <w:t>Jury duty</w:t>
      </w:r>
      <w:r w:rsidR="00024DAA">
        <w:t>;</w:t>
      </w:r>
    </w:p>
    <w:p w14:paraId="0ED691D3" w14:textId="77777777" w:rsidR="00D46599" w:rsidRDefault="00D46599" w:rsidP="00D46599">
      <w:pPr>
        <w:pStyle w:val="ListBullet"/>
      </w:pPr>
      <w:r>
        <w:t>Leave without pay</w:t>
      </w:r>
      <w:r w:rsidR="00024DAA">
        <w:t>;</w:t>
      </w:r>
    </w:p>
    <w:p w14:paraId="58A4F756" w14:textId="77777777" w:rsidR="00D46599" w:rsidRDefault="00D46599" w:rsidP="00D46599">
      <w:pPr>
        <w:pStyle w:val="ListBullet"/>
      </w:pPr>
      <w:r>
        <w:t>Time away from the job while on special assignment</w:t>
      </w:r>
      <w:r w:rsidR="00024DAA">
        <w:t>;</w:t>
      </w:r>
    </w:p>
    <w:p w14:paraId="4BB1741C" w14:textId="77777777" w:rsidR="00D46599" w:rsidRDefault="00D46599" w:rsidP="00D46599">
      <w:pPr>
        <w:pStyle w:val="ListBullet"/>
      </w:pPr>
      <w:r>
        <w:t>Unexcused absences</w:t>
      </w:r>
      <w:r w:rsidR="00024DAA">
        <w:t>;</w:t>
      </w:r>
    </w:p>
    <w:p w14:paraId="71C03627" w14:textId="77777777" w:rsidR="00D46599" w:rsidRDefault="00D46599" w:rsidP="00D46599">
      <w:pPr>
        <w:pStyle w:val="ListBullet"/>
      </w:pPr>
      <w:r>
        <w:lastRenderedPageBreak/>
        <w:t>Family and Medical Leave Act time</w:t>
      </w:r>
      <w:r w:rsidR="00024DAA">
        <w:t>; and</w:t>
      </w:r>
    </w:p>
    <w:p w14:paraId="75EA6A27" w14:textId="77777777" w:rsidR="005B388C" w:rsidRDefault="005B388C" w:rsidP="00D46599">
      <w:pPr>
        <w:pStyle w:val="ListBullet"/>
      </w:pPr>
      <w:r>
        <w:t>Alternative assignments due to investigations</w:t>
      </w:r>
      <w:r w:rsidR="00024DAA">
        <w:t>.</w:t>
      </w:r>
    </w:p>
    <w:p w14:paraId="3CF76144" w14:textId="77777777" w:rsidR="00BC6D5D" w:rsidRDefault="0074265A" w:rsidP="00BC3B17">
      <w:r>
        <w:t xml:space="preserve">The </w:t>
      </w:r>
      <w:r w:rsidR="003D4563">
        <w:t>importance</w:t>
      </w:r>
      <w:r>
        <w:t xml:space="preserve"> of understanding the amount of time</w:t>
      </w:r>
      <w:r w:rsidR="0003085A">
        <w:t xml:space="preserve"> staff are on planned or unplanned leave</w:t>
      </w:r>
      <w:r>
        <w:t>, by job classification</w:t>
      </w:r>
      <w:r w:rsidR="003D4563">
        <w:t>,</w:t>
      </w:r>
      <w:r>
        <w:t xml:space="preserve"> from scheduled work is critical. It can add up quickly. The larger the facility, the greater the </w:t>
      </w:r>
      <w:r w:rsidR="003D4563">
        <w:t xml:space="preserve">budget </w:t>
      </w:r>
      <w:r>
        <w:t xml:space="preserve">shortfall </w:t>
      </w:r>
      <w:r w:rsidR="003D4563">
        <w:t xml:space="preserve">there </w:t>
      </w:r>
      <w:r>
        <w:t>can be if there is not a complete and accurate picture.</w:t>
      </w:r>
      <w:r w:rsidR="00BB22C0">
        <w:t xml:space="preserve"> </w:t>
      </w:r>
    </w:p>
    <w:p w14:paraId="795B345B" w14:textId="77777777" w:rsidR="00FF3892" w:rsidRDefault="00FF3892" w:rsidP="00BC3B17">
      <w:pPr>
        <w:pStyle w:val="Heading3"/>
      </w:pPr>
      <w:bookmarkStart w:id="105" w:name="_Toc531597537"/>
      <w:r>
        <w:t xml:space="preserve">Staffing </w:t>
      </w:r>
      <w:r w:rsidR="00633683">
        <w:t>Ratios</w:t>
      </w:r>
      <w:bookmarkEnd w:id="105"/>
    </w:p>
    <w:p w14:paraId="3AF49247" w14:textId="77777777" w:rsidR="00724C20" w:rsidRDefault="00FF3892" w:rsidP="00FF3892">
      <w:r>
        <w:t xml:space="preserve">Ratios of staff and requirements </w:t>
      </w:r>
      <w:r w:rsidR="00BD6825">
        <w:t>regarding the</w:t>
      </w:r>
      <w:r>
        <w:t xml:space="preserve"> types of staff should be tailored to different</w:t>
      </w:r>
      <w:r w:rsidRPr="00FC52F8">
        <w:t xml:space="preserve"> needs of </w:t>
      </w:r>
      <w:r w:rsidR="00BD6825">
        <w:t>c</w:t>
      </w:r>
      <w:r w:rsidRPr="00FC52F8">
        <w:t xml:space="preserve">ommunity </w:t>
      </w:r>
      <w:r w:rsidR="00BD6825">
        <w:t>facilities and i</w:t>
      </w:r>
      <w:r w:rsidRPr="00FC52F8">
        <w:t>nstitutions for more successful operations.</w:t>
      </w:r>
      <w:r>
        <w:t xml:space="preserve"> </w:t>
      </w:r>
      <w:r w:rsidR="00024DAA">
        <w:t>The Prison Rape Elimination</w:t>
      </w:r>
      <w:r w:rsidR="001E662D">
        <w:t xml:space="preserve"> Act</w:t>
      </w:r>
      <w:r w:rsidR="00024DAA">
        <w:t xml:space="preserve"> (</w:t>
      </w:r>
      <w:r>
        <w:t>PREA</w:t>
      </w:r>
      <w:r w:rsidR="00024DAA">
        <w:t>)</w:t>
      </w:r>
      <w:r>
        <w:t xml:space="preserve"> standards of staff ratios are </w:t>
      </w:r>
      <w:r w:rsidR="00BD6825">
        <w:t>driving the</w:t>
      </w:r>
      <w:r>
        <w:t xml:space="preserve"> current</w:t>
      </w:r>
      <w:r w:rsidR="00BD6825">
        <w:t xml:space="preserve"> </w:t>
      </w:r>
      <w:r w:rsidR="002B4425">
        <w:t xml:space="preserve">residential </w:t>
      </w:r>
      <w:r w:rsidR="00BD6825">
        <w:t xml:space="preserve">staffing model. However, we found that while PREA standards of 1 staff to 8 youth are technically being met, </w:t>
      </w:r>
      <w:r w:rsidR="00C00974">
        <w:t xml:space="preserve">the design of some buildings </w:t>
      </w:r>
      <w:r w:rsidR="00BD6825">
        <w:t xml:space="preserve">can impact whether there truly is a 1:8 staff to youth ratio. Further, staff indicated these ratios </w:t>
      </w:r>
      <w:r w:rsidR="00C00974">
        <w:t xml:space="preserve">fail to </w:t>
      </w:r>
      <w:r w:rsidR="00BD6825">
        <w:t xml:space="preserve">fully support </w:t>
      </w:r>
      <w:r w:rsidR="00C00974">
        <w:t>providing a safe and secure environment and also do</w:t>
      </w:r>
      <w:r w:rsidR="001D376F">
        <w:t xml:space="preserve"> not</w:t>
      </w:r>
      <w:r w:rsidR="00C00974">
        <w:t xml:space="preserve"> account for </w:t>
      </w:r>
      <w:r w:rsidR="00BD6825">
        <w:t xml:space="preserve">case management and treatment </w:t>
      </w:r>
      <w:r w:rsidR="00C00974">
        <w:t>demands</w:t>
      </w:r>
      <w:r w:rsidR="00BD6825">
        <w:t>.</w:t>
      </w:r>
      <w:r>
        <w:t xml:space="preserve"> </w:t>
      </w:r>
      <w:r w:rsidR="0061309B">
        <w:t xml:space="preserve">While we </w:t>
      </w:r>
      <w:r w:rsidR="00212C76">
        <w:t>rarely saw instances where the PREA ratios were not met, we also observed difficulties in meeting youth needs with these ratios.</w:t>
      </w:r>
    </w:p>
    <w:p w14:paraId="539C7426" w14:textId="77777777" w:rsidR="002868FD" w:rsidRDefault="00724C20" w:rsidP="00A648FE">
      <w:r>
        <w:t xml:space="preserve">In addition, we also heard that </w:t>
      </w:r>
      <w:r w:rsidR="0076501C">
        <w:t xml:space="preserve">daily </w:t>
      </w:r>
      <w:r>
        <w:t xml:space="preserve">operations and programming are </w:t>
      </w:r>
      <w:r w:rsidR="00AA25E6">
        <w:t>different,</w:t>
      </w:r>
      <w:r w:rsidR="00C00974">
        <w:t xml:space="preserve"> and</w:t>
      </w:r>
      <w:r w:rsidR="00733D0B">
        <w:t xml:space="preserve"> </w:t>
      </w:r>
      <w:r w:rsidR="00C00974">
        <w:t xml:space="preserve">some facilities have </w:t>
      </w:r>
      <w:r w:rsidR="0076501C">
        <w:t xml:space="preserve">unique programming </w:t>
      </w:r>
      <w:r>
        <w:t>(e.g. the forestry work program at Nasell</w:t>
      </w:r>
      <w:r w:rsidR="0076501C">
        <w:t>e</w:t>
      </w:r>
      <w:r>
        <w:t xml:space="preserve"> and the</w:t>
      </w:r>
      <w:r w:rsidR="0076501C">
        <w:t xml:space="preserve"> Jobs Corps Program at Sunrise). We also hear</w:t>
      </w:r>
      <w:r w:rsidR="005902CA">
        <w:t>d</w:t>
      </w:r>
      <w:r w:rsidR="0076501C">
        <w:t xml:space="preserve"> operations and activities on weekends vary significantly from those on weekdays</w:t>
      </w:r>
      <w:r w:rsidR="00C00974">
        <w:t>.</w:t>
      </w:r>
      <w:r w:rsidR="0076501C">
        <w:t xml:space="preserve"> For example, community facilities do not have a cook on weekends, requiring other staff to </w:t>
      </w:r>
      <w:r w:rsidR="00C00974">
        <w:t xml:space="preserve">prepare and serve meals. </w:t>
      </w:r>
    </w:p>
    <w:p w14:paraId="3420C526" w14:textId="77777777" w:rsidR="009E2A56" w:rsidRDefault="00EF26E8" w:rsidP="00A648FE">
      <w:r>
        <w:t xml:space="preserve">The number </w:t>
      </w:r>
      <w:r w:rsidR="00B24988">
        <w:t xml:space="preserve">of </w:t>
      </w:r>
      <w:r>
        <w:t xml:space="preserve">youth that will be served also drives the number of staff required. An analysis of the average daily population for the past several years should serve as a foundation. However, it is important to also understand the potential causes for spikes in increases and decreases in the numbers, so staffing levels can account for these changes. </w:t>
      </w:r>
      <w:r w:rsidR="001F131B">
        <w:t>A</w:t>
      </w:r>
      <w:r>
        <w:t>ny changes in the profiles of the youth being served (age, race, sex, charges, complexity of their needs) must be taken into consideration when determin</w:t>
      </w:r>
      <w:r w:rsidR="00127CAC">
        <w:t>ing</w:t>
      </w:r>
      <w:r>
        <w:t xml:space="preserve"> adequate staffing levels.</w:t>
      </w:r>
      <w:r w:rsidR="00127CAC">
        <w:t xml:space="preserve"> </w:t>
      </w:r>
    </w:p>
    <w:p w14:paraId="6838197F" w14:textId="77777777" w:rsidR="00EF26E8" w:rsidRDefault="009E2A56" w:rsidP="00A648FE">
      <w:r>
        <w:t xml:space="preserve">The </w:t>
      </w:r>
      <w:r w:rsidR="00926309">
        <w:t>passage of Senate Bill 6160</w:t>
      </w:r>
      <w:r>
        <w:t xml:space="preserve">, </w:t>
      </w:r>
      <w:r w:rsidR="00926309">
        <w:t>signed into law by</w:t>
      </w:r>
      <w:r w:rsidR="00926309" w:rsidRPr="00926309">
        <w:t xml:space="preserve"> </w:t>
      </w:r>
      <w:r w:rsidR="00926309">
        <w:t>Governor Inslee</w:t>
      </w:r>
      <w:r>
        <w:t>,</w:t>
      </w:r>
      <w:r w:rsidR="00EB4AEB">
        <w:t xml:space="preserve"> will result in </w:t>
      </w:r>
      <w:r>
        <w:t xml:space="preserve">an </w:t>
      </w:r>
      <w:r w:rsidR="00EB4AEB">
        <w:t>increase in the number of youth served by the institutions and community facilities.</w:t>
      </w:r>
      <w:r w:rsidR="00926309">
        <w:t xml:space="preserve"> </w:t>
      </w:r>
      <w:r w:rsidR="00EB4AEB">
        <w:t>The legislation extends</w:t>
      </w:r>
      <w:r w:rsidR="00926309">
        <w:t xml:space="preserve"> the jurisdiction of the juvenile court over offenses that previously, when committed by youth 16-17 years of age, had been under the exclusive jurisdiction of the adult court.</w:t>
      </w:r>
      <w:r w:rsidR="00926309">
        <w:rPr>
          <w:rStyle w:val="FootnoteReference"/>
        </w:rPr>
        <w:footnoteReference w:id="127"/>
      </w:r>
      <w:r w:rsidR="00926309">
        <w:t xml:space="preserve"> </w:t>
      </w:r>
      <w:r w:rsidR="00926309" w:rsidRPr="00841DDC">
        <w:t>The law also extends the age limit for juvenile</w:t>
      </w:r>
      <w:r w:rsidR="00926309">
        <w:t>s</w:t>
      </w:r>
      <w:r w:rsidR="00926309" w:rsidRPr="00841DDC">
        <w:t xml:space="preserve"> </w:t>
      </w:r>
      <w:r w:rsidR="00926309">
        <w:t xml:space="preserve">who commit serious offenses at </w:t>
      </w:r>
      <w:r w:rsidR="00926309" w:rsidRPr="00841DDC">
        <w:t xml:space="preserve">16 or 17 </w:t>
      </w:r>
      <w:r w:rsidR="00926309">
        <w:t>years of age</w:t>
      </w:r>
      <w:r w:rsidR="00926309" w:rsidRPr="00841DDC">
        <w:t xml:space="preserve"> </w:t>
      </w:r>
      <w:r w:rsidR="00926309">
        <w:t xml:space="preserve">to receive JR services </w:t>
      </w:r>
      <w:r w:rsidR="00926309" w:rsidRPr="00841DDC">
        <w:t>from 21 to 25 years of age</w:t>
      </w:r>
      <w:r w:rsidR="00EB4AEB">
        <w:t>. In addition, JR will be serving an older population of youth that may have additional and different treatment and service needs and supports.</w:t>
      </w:r>
    </w:p>
    <w:p w14:paraId="4B36FD0B" w14:textId="77777777" w:rsidR="00FF3892" w:rsidRDefault="00BD6825" w:rsidP="00F42D48">
      <w:pPr>
        <w:pStyle w:val="Heading2"/>
      </w:pPr>
      <w:bookmarkStart w:id="106" w:name="_Toc531597538"/>
      <w:r w:rsidRPr="00BD6825">
        <w:t xml:space="preserve">Staff </w:t>
      </w:r>
      <w:r w:rsidR="004E3CA2">
        <w:t>R</w:t>
      </w:r>
      <w:r w:rsidRPr="00BD6825">
        <w:t xml:space="preserve">esponsibilites and </w:t>
      </w:r>
      <w:r w:rsidR="004E3CA2">
        <w:t>R</w:t>
      </w:r>
      <w:r w:rsidRPr="00BD6825">
        <w:t>equirements</w:t>
      </w:r>
      <w:bookmarkEnd w:id="106"/>
      <w:r w:rsidR="00633683">
        <w:t xml:space="preserve"> </w:t>
      </w:r>
    </w:p>
    <w:p w14:paraId="17967C05" w14:textId="77777777" w:rsidR="00BD6825" w:rsidRPr="00BD6825" w:rsidRDefault="00BD6825" w:rsidP="00BD6825">
      <w:r>
        <w:t xml:space="preserve">The new </w:t>
      </w:r>
      <w:r w:rsidR="002B4425">
        <w:t xml:space="preserve">residential </w:t>
      </w:r>
      <w:r>
        <w:t xml:space="preserve">staffing model must consider the overall workload of staff to implement all the components of the </w:t>
      </w:r>
      <w:r w:rsidR="008C0316">
        <w:t>Rehabilitation Model</w:t>
      </w:r>
      <w:r>
        <w:t>. This includes</w:t>
      </w:r>
      <w:r w:rsidR="009E7C7E">
        <w:t xml:space="preserve"> consideration of:</w:t>
      </w:r>
    </w:p>
    <w:p w14:paraId="03208A50" w14:textId="77777777" w:rsidR="00FF3892" w:rsidRDefault="00FF3892" w:rsidP="009E7C7E">
      <w:pPr>
        <w:pStyle w:val="ListBullet"/>
      </w:pPr>
      <w:bookmarkStart w:id="107" w:name="_Hlk521649772"/>
      <w:r>
        <w:t>Case management time requirements aligned to</w:t>
      </w:r>
      <w:r w:rsidRPr="00FA3ADF">
        <w:t xml:space="preserve"> </w:t>
      </w:r>
      <w:r w:rsidR="009E7C7E">
        <w:t xml:space="preserve">the </w:t>
      </w:r>
      <w:r w:rsidR="008C0316">
        <w:t xml:space="preserve">Rehabilitation Model </w:t>
      </w:r>
      <w:r w:rsidR="009E7C7E">
        <w:t>and D</w:t>
      </w:r>
      <w:r w:rsidR="003F58E9">
        <w:t xml:space="preserve">ialectical </w:t>
      </w:r>
      <w:r w:rsidR="004928CE">
        <w:t xml:space="preserve">Behavior </w:t>
      </w:r>
      <w:r w:rsidR="003F58E9">
        <w:t>Therapy (D</w:t>
      </w:r>
      <w:r w:rsidR="009E7C7E">
        <w:t>BT</w:t>
      </w:r>
      <w:r w:rsidR="003F58E9">
        <w:t>)</w:t>
      </w:r>
      <w:r w:rsidR="00875130">
        <w:t>;</w:t>
      </w:r>
    </w:p>
    <w:p w14:paraId="1266BEE9" w14:textId="77777777" w:rsidR="00FF3892" w:rsidRDefault="00FF3892" w:rsidP="009E7C7E">
      <w:pPr>
        <w:pStyle w:val="ListBullet"/>
      </w:pPr>
      <w:r>
        <w:t>Defined qualifications and competencies of roles</w:t>
      </w:r>
      <w:r w:rsidR="00875130">
        <w:t xml:space="preserve">; and </w:t>
      </w:r>
    </w:p>
    <w:p w14:paraId="0AB6ABB2" w14:textId="77777777" w:rsidR="00FF3892" w:rsidRDefault="00FF3892" w:rsidP="009E7C7E">
      <w:pPr>
        <w:pStyle w:val="ListBullet"/>
      </w:pPr>
      <w:r>
        <w:t>Training and onboarding of staff to meet job requirements</w:t>
      </w:r>
      <w:r w:rsidR="00875130">
        <w:t>.</w:t>
      </w:r>
    </w:p>
    <w:p w14:paraId="1CE574E1" w14:textId="77777777" w:rsidR="00FF3892" w:rsidRDefault="00FF3892" w:rsidP="00B00EB4">
      <w:pPr>
        <w:pStyle w:val="Heading3"/>
        <w:numPr>
          <w:ilvl w:val="2"/>
          <w:numId w:val="41"/>
        </w:numPr>
        <w:ind w:left="720"/>
      </w:pPr>
      <w:bookmarkStart w:id="108" w:name="_Toc531597539"/>
      <w:r w:rsidRPr="0068341E">
        <w:lastRenderedPageBreak/>
        <w:t xml:space="preserve">Case Management </w:t>
      </w:r>
      <w:r>
        <w:t xml:space="preserve">and </w:t>
      </w:r>
      <w:r w:rsidR="008C0316">
        <w:t xml:space="preserve">Rehabilitation Model </w:t>
      </w:r>
      <w:r w:rsidRPr="0068341E">
        <w:t>Time Requirements</w:t>
      </w:r>
      <w:bookmarkEnd w:id="108"/>
      <w:r w:rsidRPr="0068341E">
        <w:t xml:space="preserve"> </w:t>
      </w:r>
    </w:p>
    <w:p w14:paraId="29C18B78" w14:textId="77777777" w:rsidR="009E7C7E" w:rsidRDefault="009E7C7E" w:rsidP="009E7C7E">
      <w:pPr>
        <w:pStyle w:val="PullQuote"/>
        <w:framePr w:wrap="around" w:hAnchor="page" w:x="7619" w:y="286"/>
      </w:pPr>
      <w:r>
        <w:t xml:space="preserve">Caseload: </w:t>
      </w:r>
      <w:r w:rsidRPr="009E7C7E">
        <w:rPr>
          <w:b w:val="0"/>
        </w:rPr>
        <w:t>The number of youth assigned to an individual counselor.</w:t>
      </w:r>
    </w:p>
    <w:p w14:paraId="0110491F" w14:textId="77777777" w:rsidR="009E7C7E" w:rsidRPr="009E7C7E" w:rsidRDefault="009E7C7E" w:rsidP="009E7C7E">
      <w:pPr>
        <w:pStyle w:val="PullQuote"/>
        <w:framePr w:wrap="around" w:hAnchor="page" w:x="7619" w:y="286"/>
        <w:rPr>
          <w:b w:val="0"/>
        </w:rPr>
      </w:pPr>
      <w:r>
        <w:t xml:space="preserve">Workload: </w:t>
      </w:r>
      <w:r w:rsidRPr="009E7C7E">
        <w:rPr>
          <w:b w:val="0"/>
        </w:rPr>
        <w:t>the amount of work required to successfully provide case management services and provide treatment to assigned cases</w:t>
      </w:r>
    </w:p>
    <w:p w14:paraId="68D1EB86" w14:textId="77777777" w:rsidR="00A308D4" w:rsidRDefault="00A308D4" w:rsidP="00FF3892">
      <w:r>
        <w:t xml:space="preserve">Data from the staff survey confirm the findings from interviews with counselors who indicated they </w:t>
      </w:r>
      <w:r w:rsidR="0016029D">
        <w:t xml:space="preserve">spend </w:t>
      </w:r>
      <w:r>
        <w:t>most of their time providing floor supervision, safety and security, transports, and custodial care. Through the staff survey, we found</w:t>
      </w:r>
      <w:r w:rsidR="00EB4AEB">
        <w:t xml:space="preserve">, on average </w:t>
      </w:r>
      <w:r>
        <w:t xml:space="preserve">across all facilities, counselors are spending more than three-quarters of their time (77.8%) on these responsibilities, which equates to 31 hours of a 40-hour workweek. </w:t>
      </w:r>
    </w:p>
    <w:p w14:paraId="58455589" w14:textId="77777777" w:rsidR="00751FDD" w:rsidRDefault="00633683" w:rsidP="00FF3892">
      <w:r>
        <w:t xml:space="preserve">The workload assumptions in the current model </w:t>
      </w:r>
      <w:r w:rsidR="0016029D">
        <w:t xml:space="preserve">do </w:t>
      </w:r>
      <w:r>
        <w:t xml:space="preserve">not account for full implementation of all </w:t>
      </w:r>
      <w:r w:rsidR="0003085A">
        <w:t xml:space="preserve">of the components of the </w:t>
      </w:r>
      <w:r w:rsidR="008C0316">
        <w:t>Rehabilitation Model</w:t>
      </w:r>
      <w:r w:rsidR="00A648FE">
        <w:t>.</w:t>
      </w:r>
      <w:r>
        <w:t xml:space="preserve"> </w:t>
      </w:r>
      <w:r w:rsidR="00BC6D5D">
        <w:t xml:space="preserve">The </w:t>
      </w:r>
      <w:r>
        <w:t>J</w:t>
      </w:r>
      <w:r w:rsidR="00FF3892" w:rsidRPr="00024AC8">
        <w:t xml:space="preserve">R </w:t>
      </w:r>
      <w:r w:rsidR="002B4425">
        <w:t xml:space="preserve">residential </w:t>
      </w:r>
      <w:r w:rsidR="00FF3892" w:rsidRPr="00024AC8">
        <w:t xml:space="preserve">staffing </w:t>
      </w:r>
      <w:r w:rsidR="00BC6D5D">
        <w:t xml:space="preserve">model </w:t>
      </w:r>
      <w:r w:rsidR="00FF3892" w:rsidRPr="00024AC8">
        <w:t xml:space="preserve">should more comprehensively </w:t>
      </w:r>
      <w:r w:rsidR="00FF3892">
        <w:t xml:space="preserve">consider the workload requirements for </w:t>
      </w:r>
      <w:r w:rsidR="00BC6D5D">
        <w:t>the provision of D</w:t>
      </w:r>
      <w:r w:rsidR="0003085A">
        <w:t xml:space="preserve">ialectical </w:t>
      </w:r>
      <w:r w:rsidR="004928CE">
        <w:t xml:space="preserve">Behavior  </w:t>
      </w:r>
      <w:r w:rsidR="0003085A">
        <w:t>Therapy (D</w:t>
      </w:r>
      <w:r w:rsidR="00BC6D5D">
        <w:t>BT</w:t>
      </w:r>
      <w:r w:rsidR="0003085A">
        <w:t>)</w:t>
      </w:r>
      <w:r w:rsidR="00477BF5">
        <w:t xml:space="preserve"> </w:t>
      </w:r>
      <w:r w:rsidR="00BC6D5D">
        <w:t xml:space="preserve">and case management </w:t>
      </w:r>
      <w:r w:rsidR="00FF3892">
        <w:t xml:space="preserve">to support fidelity to all </w:t>
      </w:r>
      <w:r w:rsidR="00FF3892" w:rsidRPr="00024AC8">
        <w:t xml:space="preserve">aspects of </w:t>
      </w:r>
      <w:r w:rsidR="00FF3892">
        <w:t xml:space="preserve">the </w:t>
      </w:r>
      <w:r w:rsidR="008C0316">
        <w:t>Rehabilitation Model</w:t>
      </w:r>
      <w:r w:rsidR="00FF3892">
        <w:t xml:space="preserve"> (which include c</w:t>
      </w:r>
      <w:r w:rsidR="00FF3892" w:rsidRPr="00024AC8">
        <w:t xml:space="preserve">ore </w:t>
      </w:r>
      <w:r w:rsidR="00FF3892">
        <w:t>p</w:t>
      </w:r>
      <w:r w:rsidR="00FF3892" w:rsidRPr="00024AC8">
        <w:t>rogramming</w:t>
      </w:r>
      <w:r w:rsidR="00FF3892">
        <w:t xml:space="preserve"> of wellness and educational services; DBT and specialized treatment; and reentry planning</w:t>
      </w:r>
      <w:r w:rsidR="003B179F">
        <w:t xml:space="preserve"> and activities</w:t>
      </w:r>
      <w:r w:rsidR="00FF3892">
        <w:t xml:space="preserve">) </w:t>
      </w:r>
      <w:r w:rsidR="00FF3892" w:rsidRPr="00024AC8">
        <w:t>while also maintain</w:t>
      </w:r>
      <w:r w:rsidR="00FF3892">
        <w:t>ing</w:t>
      </w:r>
      <w:r w:rsidR="00FF3892" w:rsidRPr="00024AC8">
        <w:t xml:space="preserve"> safe</w:t>
      </w:r>
      <w:r w:rsidR="00FF3892">
        <w:t xml:space="preserve"> and effective</w:t>
      </w:r>
      <w:r w:rsidR="00FF3892" w:rsidRPr="00024AC8">
        <w:t xml:space="preserve"> custodial care </w:t>
      </w:r>
      <w:r w:rsidR="00FF3892">
        <w:t>for the</w:t>
      </w:r>
      <w:r w:rsidR="00FF3892" w:rsidRPr="00024AC8">
        <w:t xml:space="preserve"> youth.</w:t>
      </w:r>
      <w:r w:rsidR="00FF3892">
        <w:t xml:space="preserve"> </w:t>
      </w:r>
      <w:r w:rsidR="00A648FE">
        <w:t>In a new model, recommendations for caseloads for J</w:t>
      </w:r>
      <w:r w:rsidR="0003085A">
        <w:t>uvenile Rehabilitation Residential Counselors (J</w:t>
      </w:r>
      <w:r w:rsidR="00A308D4">
        <w:t>RRCs</w:t>
      </w:r>
      <w:r w:rsidR="0003085A">
        <w:t>)</w:t>
      </w:r>
      <w:r w:rsidR="00A648FE">
        <w:t xml:space="preserve"> and </w:t>
      </w:r>
      <w:r w:rsidR="00A308D4">
        <w:t>J</w:t>
      </w:r>
      <w:r w:rsidR="0003085A">
        <w:t>uvenile Rehabilitation Counselor Assistants (J</w:t>
      </w:r>
      <w:r w:rsidR="00A308D4">
        <w:t>RCAs</w:t>
      </w:r>
      <w:r w:rsidR="0003085A">
        <w:t>)</w:t>
      </w:r>
      <w:r w:rsidR="00A648FE">
        <w:t xml:space="preserve"> can be developed. However, in developing caseloads, </w:t>
      </w:r>
      <w:r w:rsidR="00FF3892">
        <w:t xml:space="preserve">time requirements for counseling staff to meet </w:t>
      </w:r>
      <w:r w:rsidR="008C0316">
        <w:t xml:space="preserve">DBT </w:t>
      </w:r>
      <w:r w:rsidR="00FF3892">
        <w:t>standards</w:t>
      </w:r>
      <w:r w:rsidR="002E0844">
        <w:t xml:space="preserve"> must be identified as well as time required for </w:t>
      </w:r>
      <w:r w:rsidR="00971B0E">
        <w:t xml:space="preserve">other tasks including: </w:t>
      </w:r>
      <w:r w:rsidR="002E0844">
        <w:t xml:space="preserve">additional </w:t>
      </w:r>
      <w:r w:rsidR="00971B0E">
        <w:t xml:space="preserve">case specific </w:t>
      </w:r>
      <w:r w:rsidR="002E0844">
        <w:t>tasks</w:t>
      </w:r>
      <w:r w:rsidR="00971B0E">
        <w:t>, documentation, staff meetings</w:t>
      </w:r>
      <w:r w:rsidR="00BD5BE3">
        <w:t xml:space="preserve">, </w:t>
      </w:r>
      <w:r w:rsidR="002E0844">
        <w:t>non</w:t>
      </w:r>
      <w:r w:rsidR="0016029D">
        <w:t>-</w:t>
      </w:r>
      <w:r w:rsidR="002E0844">
        <w:t xml:space="preserve">case specific administrative tasks (time sheets, email, filing, </w:t>
      </w:r>
      <w:r w:rsidR="00A853D2">
        <w:t>f</w:t>
      </w:r>
      <w:r w:rsidR="002E0844">
        <w:t xml:space="preserve">ederal and state audits), online </w:t>
      </w:r>
      <w:r w:rsidR="003B179F">
        <w:t xml:space="preserve">and in person </w:t>
      </w:r>
      <w:r w:rsidR="002E0844">
        <w:t xml:space="preserve">training, </w:t>
      </w:r>
      <w:r w:rsidR="0016029D">
        <w:t xml:space="preserve">and </w:t>
      </w:r>
      <w:r w:rsidR="00971B0E">
        <w:t>communication with other staff.</w:t>
      </w:r>
      <w:r w:rsidR="00751FDD">
        <w:t xml:space="preserve"> </w:t>
      </w:r>
    </w:p>
    <w:p w14:paraId="76EF569D" w14:textId="77777777" w:rsidR="00FF3892" w:rsidRDefault="00751FDD" w:rsidP="00FF3892">
      <w:r>
        <w:t xml:space="preserve">Workload requirements </w:t>
      </w:r>
      <w:r w:rsidR="0016029D">
        <w:t xml:space="preserve">also </w:t>
      </w:r>
      <w:r>
        <w:t xml:space="preserve">must be clearly </w:t>
      </w:r>
      <w:r w:rsidR="00681163">
        <w:t xml:space="preserve">be </w:t>
      </w:r>
      <w:r>
        <w:t>defined for J</w:t>
      </w:r>
      <w:r w:rsidR="0003085A">
        <w:t xml:space="preserve">uvenile </w:t>
      </w:r>
      <w:r w:rsidR="002F0963">
        <w:t>Rehabilitation</w:t>
      </w:r>
      <w:r w:rsidR="0003085A">
        <w:t xml:space="preserve"> </w:t>
      </w:r>
      <w:r w:rsidR="002F0963">
        <w:t>Security</w:t>
      </w:r>
      <w:r w:rsidR="0003085A">
        <w:t xml:space="preserve"> Officer 1s (J</w:t>
      </w:r>
      <w:r>
        <w:t>RSO</w:t>
      </w:r>
      <w:r w:rsidR="0003085A">
        <w:t xml:space="preserve"> 1</w:t>
      </w:r>
      <w:r>
        <w:t>s</w:t>
      </w:r>
      <w:r w:rsidR="0003085A">
        <w:t>)</w:t>
      </w:r>
      <w:r>
        <w:t>. In addition to time supervising the milieu and youth movement, security staff have additional task that must be completed (e.g. perimeter checks, intervening</w:t>
      </w:r>
      <w:r w:rsidR="007127EB">
        <w:t xml:space="preserve"> in crisis situations</w:t>
      </w:r>
      <w:r w:rsidR="0016029D">
        <w:t>)</w:t>
      </w:r>
      <w:r w:rsidR="007127EB">
        <w:t>.</w:t>
      </w:r>
      <w:r w:rsidR="002E0844">
        <w:t xml:space="preserve"> </w:t>
      </w:r>
      <w:r>
        <w:t xml:space="preserve">There are often overlapping responsibilities among </w:t>
      </w:r>
      <w:r w:rsidR="003B179F">
        <w:t>JRSO</w:t>
      </w:r>
      <w:r w:rsidR="0003085A">
        <w:t xml:space="preserve"> 1</w:t>
      </w:r>
      <w:r w:rsidR="003B179F">
        <w:t xml:space="preserve">s </w:t>
      </w:r>
      <w:r w:rsidR="007127EB">
        <w:t xml:space="preserve">and JRRCs and JRCAs. </w:t>
      </w:r>
      <w:r w:rsidR="0016029D">
        <w:t xml:space="preserve">They should be </w:t>
      </w:r>
      <w:r w:rsidR="007127EB">
        <w:t>clearly delineated to gain a sense of the workload of each job position.</w:t>
      </w:r>
    </w:p>
    <w:p w14:paraId="56DAA9D0" w14:textId="77777777" w:rsidR="007127EB" w:rsidRDefault="007127EB" w:rsidP="00FF3892">
      <w:r>
        <w:t>We also know</w:t>
      </w:r>
      <w:r w:rsidR="00EB4AEB">
        <w:t xml:space="preserve"> </w:t>
      </w:r>
      <w:r>
        <w:t>when facilities have high rates of turnover there are implications for workload. T</w:t>
      </w:r>
      <w:r w:rsidRPr="005E2DE4">
        <w:t>urnover rates for JRCAs range from a high of 57.9</w:t>
      </w:r>
      <w:r w:rsidR="00CE5063">
        <w:t xml:space="preserve">% </w:t>
      </w:r>
      <w:r w:rsidRPr="005E2DE4">
        <w:t>at Echo Glen to a low of 20.0</w:t>
      </w:r>
      <w:r w:rsidR="00CE5063">
        <w:t xml:space="preserve">% </w:t>
      </w:r>
      <w:r>
        <w:t>in the community facilities</w:t>
      </w:r>
      <w:r w:rsidRPr="005E2DE4">
        <w:t xml:space="preserve">. The turnover rates for </w:t>
      </w:r>
      <w:r w:rsidR="00681163">
        <w:t>JRRCs</w:t>
      </w:r>
      <w:r w:rsidR="00681163" w:rsidRPr="005E2DE4">
        <w:t xml:space="preserve"> </w:t>
      </w:r>
      <w:r w:rsidRPr="005E2DE4">
        <w:t>ranged from a high of 42</w:t>
      </w:r>
      <w:r w:rsidR="00CE5063">
        <w:t xml:space="preserve">% </w:t>
      </w:r>
      <w:r w:rsidRPr="005E2DE4">
        <w:t>for JRRCs at Green Hill to a low of 21.7</w:t>
      </w:r>
      <w:r w:rsidR="00CE5063">
        <w:t xml:space="preserve">% </w:t>
      </w:r>
      <w:r w:rsidR="00681163">
        <w:t>at</w:t>
      </w:r>
      <w:r w:rsidR="00681163" w:rsidRPr="005E2DE4">
        <w:t xml:space="preserve"> </w:t>
      </w:r>
      <w:r w:rsidRPr="005E2DE4">
        <w:t xml:space="preserve">Naselle. </w:t>
      </w:r>
      <w:r>
        <w:t xml:space="preserve">Between May 2017 and April 2018, </w:t>
      </w:r>
      <w:r w:rsidRPr="005E2DE4">
        <w:t>th</w:t>
      </w:r>
      <w:r w:rsidR="00A853D2">
        <w:t>e turnover rate of JRSOs</w:t>
      </w:r>
      <w:r>
        <w:t xml:space="preserve"> was 48</w:t>
      </w:r>
      <w:r w:rsidR="00CE5063">
        <w:t>%</w:t>
      </w:r>
      <w:r>
        <w:t>.</w:t>
      </w:r>
      <w:r w:rsidRPr="005E2DE4">
        <w:t xml:space="preserve"> </w:t>
      </w:r>
      <w:r w:rsidR="000F0498">
        <w:t xml:space="preserve">There are two obvious consequences of losing staff—an increased workload burden on remaining staff, even if temporary, and a reduced workload for new staff as they are learning the responsibilities of their new position. </w:t>
      </w:r>
    </w:p>
    <w:p w14:paraId="1DB1763E" w14:textId="77777777" w:rsidR="00A308D4" w:rsidRDefault="00364F88" w:rsidP="00FF3892">
      <w:r>
        <w:t xml:space="preserve">Lastly, as new approaches and practices are instituted to support ongoing positive youth development, </w:t>
      </w:r>
      <w:r w:rsidR="0016029D">
        <w:t xml:space="preserve">the </w:t>
      </w:r>
      <w:r w:rsidR="0003085A">
        <w:t xml:space="preserve">additional </w:t>
      </w:r>
      <w:r w:rsidR="0016029D">
        <w:t>workload demands</w:t>
      </w:r>
      <w:r w:rsidR="0003085A">
        <w:t xml:space="preserve"> must be taken into account in determining needed staff levels.</w:t>
      </w:r>
      <w:r w:rsidR="0016029D">
        <w:t xml:space="preserve"> </w:t>
      </w:r>
      <w:r>
        <w:t xml:space="preserve">Many JRRCs and </w:t>
      </w:r>
      <w:r w:rsidR="003B179F">
        <w:t xml:space="preserve">JRCAs </w:t>
      </w:r>
      <w:r w:rsidR="0016029D">
        <w:t xml:space="preserve">said </w:t>
      </w:r>
      <w:r>
        <w:t xml:space="preserve">they currently </w:t>
      </w:r>
      <w:r w:rsidR="0016029D">
        <w:t xml:space="preserve">have </w:t>
      </w:r>
      <w:r>
        <w:t xml:space="preserve">workloads that inhibit their ability to </w:t>
      </w:r>
      <w:r w:rsidR="003B179F">
        <w:t xml:space="preserve">meet </w:t>
      </w:r>
      <w:r>
        <w:t xml:space="preserve">many </w:t>
      </w:r>
      <w:r w:rsidR="008C0316">
        <w:t>Rehabilitation Model</w:t>
      </w:r>
      <w:r>
        <w:t xml:space="preserve"> requirements. In general, there was consensus that when the</w:t>
      </w:r>
      <w:r w:rsidR="00B73357">
        <w:t xml:space="preserve"> facilities begin to see the impact of the</w:t>
      </w:r>
      <w:r>
        <w:t xml:space="preserve"> new legislation </w:t>
      </w:r>
      <w:r w:rsidR="00B73357">
        <w:t>extending</w:t>
      </w:r>
      <w:r w:rsidRPr="00841DDC">
        <w:t xml:space="preserve"> the age limit for juvenile</w:t>
      </w:r>
      <w:r>
        <w:t>s</w:t>
      </w:r>
      <w:r w:rsidRPr="00841DDC">
        <w:t xml:space="preserve"> </w:t>
      </w:r>
      <w:r>
        <w:t xml:space="preserve">who commit serious offenses at </w:t>
      </w:r>
      <w:r w:rsidRPr="00841DDC">
        <w:t xml:space="preserve">16 or 17 </w:t>
      </w:r>
      <w:r>
        <w:t>years of age</w:t>
      </w:r>
      <w:r w:rsidRPr="00841DDC">
        <w:t xml:space="preserve"> </w:t>
      </w:r>
      <w:r>
        <w:t xml:space="preserve">to receive JR services </w:t>
      </w:r>
      <w:r w:rsidRPr="00841DDC">
        <w:t>from 21 to 25 years of age</w:t>
      </w:r>
      <w:r w:rsidR="00B73357">
        <w:t>, they will not have the capacity to serve the</w:t>
      </w:r>
      <w:r w:rsidR="00FF0E86">
        <w:t>se</w:t>
      </w:r>
      <w:r w:rsidR="00B73357">
        <w:t xml:space="preserve"> additi</w:t>
      </w:r>
      <w:r w:rsidR="00A308D4">
        <w:t>onal youth.</w:t>
      </w:r>
    </w:p>
    <w:p w14:paraId="3C11EEA8" w14:textId="77777777" w:rsidR="00FF3892" w:rsidRDefault="00FF3892" w:rsidP="009E7C7E">
      <w:pPr>
        <w:pStyle w:val="Heading3"/>
      </w:pPr>
      <w:bookmarkStart w:id="109" w:name="_Toc531597540"/>
      <w:r w:rsidRPr="0090505E">
        <w:t>Staff Qualifications and Competencies</w:t>
      </w:r>
      <w:bookmarkEnd w:id="109"/>
      <w:r w:rsidRPr="0090505E">
        <w:t xml:space="preserve"> </w:t>
      </w:r>
    </w:p>
    <w:p w14:paraId="16FD7D79" w14:textId="77777777" w:rsidR="00FF3892" w:rsidRPr="00AD40C9" w:rsidRDefault="002153C7" w:rsidP="00FF3892">
      <w:r>
        <w:t xml:space="preserve">The new </w:t>
      </w:r>
      <w:r w:rsidR="002B4425">
        <w:t xml:space="preserve">residential </w:t>
      </w:r>
      <w:r>
        <w:t>staffing model</w:t>
      </w:r>
      <w:r w:rsidR="00633683">
        <w:t xml:space="preserve"> must identify the right mix of staff types and classifications and provide more clarity regarding staff roles and responsibilities. Staff in the community facilities identified less of a need for traditional security-type staff and more of a need for staff </w:t>
      </w:r>
      <w:r w:rsidR="00633683">
        <w:lastRenderedPageBreak/>
        <w:t>that can effectively manage the milieu and provide transportation</w:t>
      </w:r>
      <w:r w:rsidR="00375FCA">
        <w:t xml:space="preserve"> and community monitoring</w:t>
      </w:r>
      <w:r w:rsidR="00633683">
        <w:t xml:space="preserve">. Similarly, </w:t>
      </w:r>
      <w:r w:rsidR="00FF0E86">
        <w:t xml:space="preserve">the </w:t>
      </w:r>
      <w:r w:rsidR="00633683">
        <w:t>institutions</w:t>
      </w:r>
      <w:r w:rsidR="00FF0E86">
        <w:t xml:space="preserve"> </w:t>
      </w:r>
      <w:r w:rsidR="00633683">
        <w:t>need more treatment</w:t>
      </w:r>
      <w:r w:rsidR="00FF0E86">
        <w:t>-</w:t>
      </w:r>
      <w:r w:rsidR="00633683">
        <w:t xml:space="preserve">focused staff to manage the milieu, to support recreational activities, and </w:t>
      </w:r>
      <w:r w:rsidR="00FF0E86">
        <w:t xml:space="preserve">to </w:t>
      </w:r>
      <w:r w:rsidR="00633683">
        <w:t xml:space="preserve">support youth movement. </w:t>
      </w:r>
      <w:r w:rsidR="00FF0E86">
        <w:t xml:space="preserve">The new model must consider </w:t>
      </w:r>
      <w:r w:rsidR="009E7C7E">
        <w:t>whether the current positions and their respective roles and responsibilities fully address the staffing needs of the institutions and community facilities.</w:t>
      </w:r>
      <w:r w:rsidR="00FF3892" w:rsidRPr="00AD40C9">
        <w:t xml:space="preserve"> </w:t>
      </w:r>
      <w:r w:rsidR="007127EB">
        <w:t>Additional or different types of staff may be r</w:t>
      </w:r>
      <w:r w:rsidR="00BC0E8E">
        <w:fldChar w:fldCharType="begin"/>
      </w:r>
      <w:r w:rsidR="00BC0E8E">
        <w:instrText xml:space="preserve">  </w:instrText>
      </w:r>
      <w:r w:rsidR="00BC0E8E">
        <w:fldChar w:fldCharType="end"/>
      </w:r>
      <w:r w:rsidR="007127EB">
        <w:t xml:space="preserve">equired. The issue of staffing is not just one of having the right level of </w:t>
      </w:r>
      <w:r w:rsidR="00FF0E86">
        <w:t>staff but</w:t>
      </w:r>
      <w:r w:rsidR="007127EB">
        <w:t xml:space="preserve"> having the right staff with the right mix of knowledge, skills, and abilities to support the </w:t>
      </w:r>
      <w:r w:rsidR="008C0316">
        <w:t>Rehabilitation Model</w:t>
      </w:r>
      <w:r w:rsidR="007127EB">
        <w:t>.</w:t>
      </w:r>
    </w:p>
    <w:p w14:paraId="15C347A7" w14:textId="77777777" w:rsidR="00FF3892" w:rsidRDefault="00FF3892" w:rsidP="009E7C7E">
      <w:pPr>
        <w:pStyle w:val="Heading3"/>
      </w:pPr>
      <w:bookmarkStart w:id="110" w:name="_Toc531597541"/>
      <w:r w:rsidRPr="008D2181">
        <w:t>Training and Onboarding Staff to Meet Job Requirements</w:t>
      </w:r>
      <w:bookmarkEnd w:id="110"/>
      <w:r w:rsidRPr="008D2181">
        <w:t xml:space="preserve"> </w:t>
      </w:r>
    </w:p>
    <w:p w14:paraId="7FA08A16" w14:textId="77777777" w:rsidR="00FF3892" w:rsidRPr="000A4F23" w:rsidRDefault="00FF3892" w:rsidP="00FF3892">
      <w:r w:rsidRPr="000A4F23">
        <w:t xml:space="preserve">The findings presented three significant challenges regarding training of staff for consideration in the </w:t>
      </w:r>
      <w:r w:rsidR="002B4425">
        <w:t xml:space="preserve">residential </w:t>
      </w:r>
      <w:r w:rsidRPr="000A4F23">
        <w:t xml:space="preserve">staffing model; the first being when staff receive training, the second being the ability of staff to realistically have time off shift coverage </w:t>
      </w:r>
      <w:r w:rsidR="004C71E4">
        <w:t>for</w:t>
      </w:r>
      <w:r w:rsidRPr="000A4F23">
        <w:t xml:space="preserve"> training, and the third being the levels, standardization, and content of training required of staff for the</w:t>
      </w:r>
      <w:r w:rsidR="004962BA">
        <w:t xml:space="preserve"> </w:t>
      </w:r>
      <w:r w:rsidR="008C0316">
        <w:t>Rehabilitation Model</w:t>
      </w:r>
      <w:r w:rsidRPr="000A4F23">
        <w:t xml:space="preserve">. As </w:t>
      </w:r>
      <w:r w:rsidR="009E7C7E">
        <w:t xml:space="preserve">part of the </w:t>
      </w:r>
      <w:r w:rsidRPr="000A4F23">
        <w:t xml:space="preserve">“shift </w:t>
      </w:r>
      <w:r w:rsidR="009E7C7E">
        <w:t>relief factor” the</w:t>
      </w:r>
      <w:r>
        <w:t xml:space="preserve"> </w:t>
      </w:r>
      <w:r w:rsidR="002B4425">
        <w:t xml:space="preserve">residential </w:t>
      </w:r>
      <w:r>
        <w:t xml:space="preserve">staffing model will consider </w:t>
      </w:r>
      <w:r w:rsidR="009E7C7E">
        <w:t xml:space="preserve">the time it takes for meeting JR initial and ongoing </w:t>
      </w:r>
      <w:r w:rsidRPr="000A4F23">
        <w:t xml:space="preserve">training requirements. </w:t>
      </w:r>
    </w:p>
    <w:p w14:paraId="4CDE6594" w14:textId="77777777" w:rsidR="00BC3B17" w:rsidRDefault="00F75641" w:rsidP="00F42D48">
      <w:pPr>
        <w:pStyle w:val="Heading2"/>
      </w:pPr>
      <w:bookmarkStart w:id="111" w:name="_Toc531597542"/>
      <w:r>
        <w:t>Organizational Factors Linked to Turnover/Retention</w:t>
      </w:r>
      <w:bookmarkEnd w:id="111"/>
      <w:r>
        <w:t xml:space="preserve"> </w:t>
      </w:r>
    </w:p>
    <w:p w14:paraId="0AEBB4B6" w14:textId="77777777" w:rsidR="00054390" w:rsidRDefault="003D59C8" w:rsidP="00054390">
      <w:r>
        <w:t>A</w:t>
      </w:r>
      <w:r w:rsidR="000634AB">
        <w:t xml:space="preserve">ll </w:t>
      </w:r>
      <w:r w:rsidR="006540C8">
        <w:t>of t</w:t>
      </w:r>
      <w:r w:rsidR="003D4563">
        <w:t>he facilities</w:t>
      </w:r>
      <w:r w:rsidR="000634AB">
        <w:t xml:space="preserve"> </w:t>
      </w:r>
      <w:r w:rsidR="003D4563">
        <w:t xml:space="preserve">are struggling to hire staff to fill authorized positions. </w:t>
      </w:r>
      <w:r w:rsidR="000634AB">
        <w:t xml:space="preserve">Reasons for this included </w:t>
      </w:r>
      <w:r w:rsidR="00640703">
        <w:t xml:space="preserve">not being able to recruit </w:t>
      </w:r>
      <w:r w:rsidR="003D4563">
        <w:t xml:space="preserve">enough </w:t>
      </w:r>
      <w:r w:rsidR="00724C20">
        <w:t xml:space="preserve">qualified applicants, filling positions </w:t>
      </w:r>
      <w:r w:rsidR="00640703">
        <w:t>takes too much time</w:t>
      </w:r>
      <w:r w:rsidR="00724C20">
        <w:t xml:space="preserve">, </w:t>
      </w:r>
      <w:r w:rsidR="00640703">
        <w:t xml:space="preserve">and not being able to retain </w:t>
      </w:r>
      <w:r w:rsidR="00724C20">
        <w:t xml:space="preserve">staff </w:t>
      </w:r>
      <w:r w:rsidR="004425A3">
        <w:t xml:space="preserve">results </w:t>
      </w:r>
      <w:r w:rsidR="00724C20">
        <w:t>in high turnover.</w:t>
      </w:r>
      <w:r w:rsidR="00AB4C24">
        <w:t xml:space="preserve"> </w:t>
      </w:r>
      <w:r w:rsidR="00640703">
        <w:t xml:space="preserve">Salary </w:t>
      </w:r>
      <w:r w:rsidR="004425A3">
        <w:t xml:space="preserve">also </w:t>
      </w:r>
      <w:r w:rsidR="00EB4AEB">
        <w:t xml:space="preserve">was </w:t>
      </w:r>
      <w:r w:rsidR="00640703">
        <w:t xml:space="preserve">identified as a key </w:t>
      </w:r>
      <w:r w:rsidR="00AB4C24">
        <w:t>factor.</w:t>
      </w:r>
      <w:r w:rsidR="0098620D">
        <w:t xml:space="preserve"> In addition</w:t>
      </w:r>
      <w:r w:rsidR="004425A3">
        <w:t>, some facilities have unique needs,</w:t>
      </w:r>
      <w:r w:rsidR="001D376F">
        <w:t xml:space="preserve"> to meet the complex supports and services needed by </w:t>
      </w:r>
      <w:r w:rsidR="004425A3">
        <w:t xml:space="preserve">special populations. </w:t>
      </w:r>
      <w:r w:rsidR="00054390">
        <w:t xml:space="preserve">A plan for workforce development and stabilization, including addressing workforce climate, culture and morale issues will be critical to implementing and sustaining a new </w:t>
      </w:r>
      <w:r w:rsidR="002B4425">
        <w:t xml:space="preserve">residential </w:t>
      </w:r>
      <w:r w:rsidR="00054390">
        <w:t>staffing model to support positive youth outcomes.</w:t>
      </w:r>
      <w:r w:rsidR="00640703">
        <w:t xml:space="preserve"> In some facilities, the issue of staff perceptions of safety must be addressed.</w:t>
      </w:r>
    </w:p>
    <w:p w14:paraId="0F806AB5" w14:textId="77777777" w:rsidR="0098620D" w:rsidRDefault="00054390" w:rsidP="00A51B6F">
      <w:pPr>
        <w:pStyle w:val="Heading3"/>
        <w:numPr>
          <w:ilvl w:val="2"/>
          <w:numId w:val="17"/>
        </w:numPr>
        <w:ind w:left="720"/>
      </w:pPr>
      <w:bookmarkStart w:id="112" w:name="_Toc531597543"/>
      <w:r>
        <w:t>Staff Demographics</w:t>
      </w:r>
      <w:bookmarkEnd w:id="112"/>
    </w:p>
    <w:p w14:paraId="4C8A6B42" w14:textId="77777777" w:rsidR="00A237E7" w:rsidRDefault="00A308D4" w:rsidP="004C6C53">
      <w:r w:rsidRPr="00113309">
        <w:t xml:space="preserve">JR’s current staff demographic composition has a wide range of experience levels, generational differences, and changes occurring that present </w:t>
      </w:r>
      <w:r w:rsidR="00B10BF1">
        <w:t xml:space="preserve">several </w:t>
      </w:r>
      <w:r w:rsidRPr="00113309">
        <w:t>challenges impacting the future of its w</w:t>
      </w:r>
      <w:r w:rsidR="000F305A">
        <w:t xml:space="preserve">orkforce. There are some facilities with </w:t>
      </w:r>
      <w:r w:rsidR="007C679A">
        <w:t>higher concentrations of tenured</w:t>
      </w:r>
      <w:r w:rsidR="000F305A">
        <w:t xml:space="preserve"> staff facing retirement soon. At the same time, facilities are having </w:t>
      </w:r>
      <w:r w:rsidR="007C679A">
        <w:t>difficulty</w:t>
      </w:r>
      <w:r w:rsidR="000F305A">
        <w:t xml:space="preserve"> recruiting and retaining the next generation of staff.</w:t>
      </w:r>
      <w:r w:rsidR="007C679A">
        <w:t xml:space="preserve"> We hear</w:t>
      </w:r>
      <w:r w:rsidR="00B10BF1">
        <w:t>d</w:t>
      </w:r>
      <w:r w:rsidR="007C679A">
        <w:t xml:space="preserve"> from staff </w:t>
      </w:r>
      <w:r w:rsidR="004928CE">
        <w:t xml:space="preserve">that </w:t>
      </w:r>
      <w:r w:rsidR="00B10BF1">
        <w:t xml:space="preserve">the </w:t>
      </w:r>
      <w:r w:rsidR="008906D2">
        <w:t xml:space="preserve">chance </w:t>
      </w:r>
      <w:r w:rsidR="00B10BF1">
        <w:t xml:space="preserve">to do meaningful work and make a difference is </w:t>
      </w:r>
      <w:r w:rsidR="007C679A">
        <w:t>what makes them want to stay. JR will have to develop a recruitment message that truly addresses this desire. The message also must accurately reflect the full range of responsibilities of the position and the work environment (including the positive and negative).</w:t>
      </w:r>
    </w:p>
    <w:p w14:paraId="7541A415" w14:textId="77777777" w:rsidR="009D0B19" w:rsidRDefault="00A237E7" w:rsidP="009D0B19">
      <w:r>
        <w:t>I</w:t>
      </w:r>
      <w:r w:rsidR="004C6C53">
        <w:t xml:space="preserve">t will be important for JR to have dedicated Human Resources </w:t>
      </w:r>
      <w:r w:rsidR="007E5B3C">
        <w:t xml:space="preserve">(HR) </w:t>
      </w:r>
      <w:r w:rsidR="009D0B19">
        <w:t>s</w:t>
      </w:r>
      <w:r w:rsidR="004C6C53">
        <w:t>taff who can support them in developing recruitment and retention strategies that will increase diversity among the staff working in the facilities and their ability to hire and retain the best young talent.</w:t>
      </w:r>
      <w:r>
        <w:t xml:space="preserve"> RA </w:t>
      </w:r>
      <w:r w:rsidR="00865D08">
        <w:t>recognizes</w:t>
      </w:r>
      <w:r>
        <w:t xml:space="preserve"> the importance of diversity</w:t>
      </w:r>
      <w:r w:rsidR="00865D08">
        <w:t xml:space="preserve"> in the workforce</w:t>
      </w:r>
      <w:r>
        <w:t xml:space="preserve">. As part </w:t>
      </w:r>
      <w:r w:rsidR="00681163">
        <w:t xml:space="preserve">of </w:t>
      </w:r>
      <w:r w:rsidR="00A853D2">
        <w:t>RA</w:t>
      </w:r>
      <w:r>
        <w:t>’s Strategic Plan 2017-2019, it has committed to training all hiring managers and supervisors on the Use of the Equity Impact Tool for recruitment, hiring and retention by June 2019.</w:t>
      </w:r>
      <w:r>
        <w:rPr>
          <w:rStyle w:val="FootnoteReference"/>
        </w:rPr>
        <w:footnoteReference w:id="128"/>
      </w:r>
      <w:r>
        <w:t xml:space="preserve"> </w:t>
      </w:r>
      <w:r w:rsidR="007E5B3C">
        <w:t>Given the demographics of the cu</w:t>
      </w:r>
      <w:r w:rsidR="009D0B19">
        <w:t>rrent staff in which 30% of the workforce is 50 years of age or older and there is an inverse bell curve for tenure, JR will require new strategies for recruiting and retaining staff from the pool of millennials.</w:t>
      </w:r>
      <w:r w:rsidR="009D0B19">
        <w:rPr>
          <w:rStyle w:val="FootnoteReference"/>
        </w:rPr>
        <w:footnoteReference w:id="129"/>
      </w:r>
      <w:r w:rsidR="009D0B19">
        <w:t xml:space="preserve"> It will also require </w:t>
      </w:r>
      <w:r w:rsidR="00865D08">
        <w:t xml:space="preserve">JR </w:t>
      </w:r>
      <w:r w:rsidR="008358B4">
        <w:t xml:space="preserve">to </w:t>
      </w:r>
      <w:r w:rsidR="00865D08">
        <w:t xml:space="preserve">consider adjustments that may need to be made to </w:t>
      </w:r>
      <w:r w:rsidR="00865D08">
        <w:lastRenderedPageBreak/>
        <w:t>management styles to attract young and diverse talent while at the same time meeting the needs of the current multigenerational workforce.</w:t>
      </w:r>
    </w:p>
    <w:p w14:paraId="7240A30D" w14:textId="77777777" w:rsidR="00AB4C24" w:rsidRDefault="00AB4C24" w:rsidP="00781829">
      <w:pPr>
        <w:pStyle w:val="Heading3"/>
      </w:pPr>
      <w:bookmarkStart w:id="113" w:name="_Toc531597544"/>
      <w:r>
        <w:t>Salary</w:t>
      </w:r>
      <w:bookmarkEnd w:id="113"/>
    </w:p>
    <w:p w14:paraId="34BC1971" w14:textId="77777777" w:rsidR="00630A7F" w:rsidRDefault="00AB4C24" w:rsidP="00630A7F">
      <w:r>
        <w:t>Positions working in corrections have been “notoriously” associated with low pay. In general, the organizational literature has found a link between staff satisfaction with pay and turnover intent. That is, the lower the satisfaction with pay, the higher the turnover intent. In JR there are a number of issues related to</w:t>
      </w:r>
      <w:r w:rsidR="00E16275">
        <w:t xml:space="preserve"> salary.</w:t>
      </w:r>
      <w:r w:rsidR="00E16275" w:rsidRPr="00E16275">
        <w:t xml:space="preserve"> </w:t>
      </w:r>
      <w:r w:rsidR="00E16275">
        <w:t xml:space="preserve">When adjusting for the cost of living throughout the state, we found staff members in King County are paid significantly less than in other parts of the state. </w:t>
      </w:r>
      <w:r w:rsidR="00630A7F">
        <w:t xml:space="preserve">Addressing the geographic salary disparity is difficult, because JR does not have the authority to make such adjustments, and any such adjustments would likely impact all state employees in King County. However, failing to address this issue may lead to continued high rates of turnover of staff working in King County. In addition, our comparison of the </w:t>
      </w:r>
      <w:r w:rsidR="008358B4">
        <w:t>JRRC, JRCA,</w:t>
      </w:r>
      <w:r w:rsidR="00630A7F">
        <w:t xml:space="preserve"> and JRSO job responsibilities versus other categories of workers in the state shows that while JR staff have comparable responsibilities to other positions</w:t>
      </w:r>
      <w:r w:rsidR="00B10BF1">
        <w:t xml:space="preserve"> (and in some cases greater responsibilities)</w:t>
      </w:r>
      <w:r w:rsidR="00630A7F">
        <w:t xml:space="preserve">, they are paid less. For the </w:t>
      </w:r>
      <w:r w:rsidR="00B10BF1">
        <w:t xml:space="preserve">new </w:t>
      </w:r>
      <w:r w:rsidR="002B4425">
        <w:t xml:space="preserve">residential </w:t>
      </w:r>
      <w:r w:rsidR="00630A7F">
        <w:t xml:space="preserve">staffing model, we will consider the impact of reclassifying these roles on JR’s operations. </w:t>
      </w:r>
    </w:p>
    <w:p w14:paraId="2F28D74C" w14:textId="77777777" w:rsidR="00054390" w:rsidRDefault="00B60FE5" w:rsidP="00054390">
      <w:pPr>
        <w:pStyle w:val="Heading3"/>
      </w:pPr>
      <w:bookmarkStart w:id="114" w:name="_Toc531597545"/>
      <w:r>
        <w:t>Culture, Climate &amp; Morale</w:t>
      </w:r>
      <w:bookmarkEnd w:id="114"/>
      <w:r>
        <w:t xml:space="preserve"> </w:t>
      </w:r>
    </w:p>
    <w:p w14:paraId="4CD850E1" w14:textId="77777777" w:rsidR="00B60FE5" w:rsidRDefault="00B60FE5" w:rsidP="00A308D4">
      <w:r>
        <w:t>There are differences in the culture and climate profiles and staff morale among the JR facilities.</w:t>
      </w:r>
      <w:r w:rsidRPr="00B60FE5">
        <w:t xml:space="preserve"> </w:t>
      </w:r>
      <w:r>
        <w:t xml:space="preserve">Overall, the </w:t>
      </w:r>
      <w:r w:rsidRPr="008A01D4">
        <w:t xml:space="preserve">community </w:t>
      </w:r>
      <w:r w:rsidR="00130329" w:rsidRPr="008A01D4">
        <w:t>facilities</w:t>
      </w:r>
      <w:r>
        <w:t xml:space="preserve"> had more positive culture and climate profiles </w:t>
      </w:r>
      <w:r w:rsidR="00130329">
        <w:t xml:space="preserve">and the highest scores on morale. However, in each facility it will be important </w:t>
      </w:r>
      <w:r w:rsidR="00EC63C7">
        <w:t>t</w:t>
      </w:r>
      <w:r w:rsidR="00130329">
        <w:t>o identify and address the specific organizational-level factors driving current culture and climate, and in turn morale and develop strategies for addressing them. We heard in int</w:t>
      </w:r>
      <w:r w:rsidR="0003085A">
        <w:t>erviews with some staff, that a staff council</w:t>
      </w:r>
      <w:r w:rsidR="00130329">
        <w:t>, similar to the Youth Council at Green Hill</w:t>
      </w:r>
      <w:r w:rsidR="0003085A">
        <w:t>,</w:t>
      </w:r>
      <w:r w:rsidR="00130329">
        <w:t xml:space="preserve"> should be implemented at each </w:t>
      </w:r>
      <w:r w:rsidR="00EC63C7">
        <w:t>facility</w:t>
      </w:r>
      <w:r w:rsidR="00130329">
        <w:t>. This would empower staff to have a voice and be part of developing staff issues.</w:t>
      </w:r>
    </w:p>
    <w:p w14:paraId="21A3B283" w14:textId="77777777" w:rsidR="00A308D4" w:rsidRDefault="00BE789B" w:rsidP="00A308D4">
      <w:r>
        <w:t>Based on our survey, we found s</w:t>
      </w:r>
      <w:r w:rsidR="008A5729">
        <w:t xml:space="preserve">afety concerns are more of an issue in some facilities than others. </w:t>
      </w:r>
      <w:r w:rsidR="00A308D4">
        <w:t>More than half of the staff at Green Hill (6</w:t>
      </w:r>
      <w:r w:rsidR="008A5729">
        <w:t xml:space="preserve">0.3%) feel very unsafe or more </w:t>
      </w:r>
      <w:r w:rsidR="00A308D4">
        <w:t xml:space="preserve">unsafe than safe. Almost half of the staff at Naselle (44.4%) feel very unsafe or more unsafe than safe. </w:t>
      </w:r>
      <w:r w:rsidR="008A5729">
        <w:t xml:space="preserve">A little more than a third of the staff at Echo Glen (34.6%) feel very unsafe or more unsafe than safe. </w:t>
      </w:r>
      <w:r w:rsidR="00A308D4">
        <w:t xml:space="preserve">In contrast, only 5.6% of the staff working in the community facilities feel very unsafe or more unsafe than safe. </w:t>
      </w:r>
      <w:r w:rsidR="00640703">
        <w:t>Addressing safety in the facilities in which staff perceptions of safety are negative can reduce turnover. Lower perceptions of safety are linked to increased stress and increased rate of both actual turnover and staff intention to leave.</w:t>
      </w:r>
      <w:r w:rsidR="00B60FE5">
        <w:t xml:space="preserve"> We also know job stress </w:t>
      </w:r>
      <w:r w:rsidR="008906D2">
        <w:t xml:space="preserve">increases </w:t>
      </w:r>
      <w:r w:rsidR="00B60FE5">
        <w:t>when staff perceive a safety threat. In t</w:t>
      </w:r>
      <w:r w:rsidR="0003085A">
        <w:t>urn, other job responsibilities</w:t>
      </w:r>
      <w:r w:rsidR="00B60FE5">
        <w:t>, such as promoting positive youth development, may become secondary to a focus on control and security.</w:t>
      </w:r>
      <w:r w:rsidR="00B60FE5">
        <w:rPr>
          <w:rStyle w:val="FootnoteReference"/>
        </w:rPr>
        <w:footnoteReference w:id="130"/>
      </w:r>
    </w:p>
    <w:p w14:paraId="20041F36" w14:textId="77777777" w:rsidR="00A258CD" w:rsidRDefault="00A258CD" w:rsidP="00A258CD">
      <w:pPr>
        <w:pStyle w:val="Heading1"/>
      </w:pPr>
      <w:bookmarkStart w:id="115" w:name="_Toc531597546"/>
      <w:bookmarkEnd w:id="99"/>
      <w:bookmarkEnd w:id="107"/>
      <w:r>
        <w:t xml:space="preserve">Future </w:t>
      </w:r>
      <w:r w:rsidR="00BC0E8E">
        <w:t>Analysis</w:t>
      </w:r>
      <w:r>
        <w:t xml:space="preserve"> of JR Staffing</w:t>
      </w:r>
      <w:bookmarkEnd w:id="115"/>
      <w:r>
        <w:t xml:space="preserve"> </w:t>
      </w:r>
    </w:p>
    <w:p w14:paraId="592E295E" w14:textId="77777777" w:rsidR="00A258CD" w:rsidRPr="00A258CD" w:rsidRDefault="00A258CD" w:rsidP="00A258CD">
      <w:r>
        <w:t xml:space="preserve">As noted previously, this Current State Staffing Report presents the findings from our analysis of current JR staffing practices. The report identifies the strengths, challenges, and key issues any new staffing model should address. As the next step in the project, we will use the findings and information from this document to develop new staffing models for JR institutions and community facilities. These models will account for the workload demands on JR staff members </w:t>
      </w:r>
      <w:r w:rsidR="00DD59B8">
        <w:lastRenderedPageBreak/>
        <w:t xml:space="preserve">and provide recommendations to address the issued identified in this report. In addition, the staffing models also will provide an Excel-based tool that estimates the staffing levels needed at each JR institution and community facility. This tool will be configurable, so that JR can maintain and update the staffing model over time, thereby allowing them to respond to new legislation and trends. </w:t>
      </w:r>
    </w:p>
    <w:p w14:paraId="5AF5D151" w14:textId="77777777" w:rsidR="00FF3892" w:rsidRPr="00BF0801" w:rsidRDefault="00FF3892" w:rsidP="00FF3892"/>
    <w:p w14:paraId="236BE5EC" w14:textId="77777777" w:rsidR="00C048FC" w:rsidRDefault="00C048FC" w:rsidP="00106897"/>
    <w:p w14:paraId="7D604BDF" w14:textId="77777777" w:rsidR="003A1CBF" w:rsidRDefault="003A1CBF">
      <w:pPr>
        <w:spacing w:before="0" w:after="0"/>
        <w:rPr>
          <w:rFonts w:ascii="Arial Narrow" w:eastAsia="Times New Roman" w:hAnsi="Arial Narrow"/>
          <w:b/>
          <w:bCs/>
          <w:caps/>
          <w:color w:val="0046AC"/>
          <w:sz w:val="32"/>
          <w:szCs w:val="28"/>
        </w:rPr>
      </w:pPr>
      <w:r>
        <w:br w:type="page"/>
      </w:r>
    </w:p>
    <w:p w14:paraId="724BB29A" w14:textId="77777777" w:rsidR="00C97024" w:rsidRDefault="00BE5090" w:rsidP="002323A9">
      <w:pPr>
        <w:pStyle w:val="Heading1"/>
      </w:pPr>
      <w:bookmarkStart w:id="116" w:name="_Toc531597547"/>
      <w:r w:rsidRPr="00BE5090">
        <w:lastRenderedPageBreak/>
        <w:t>Appendix A – Methodology</w:t>
      </w:r>
      <w:bookmarkEnd w:id="116"/>
      <w:r w:rsidRPr="00BE5090">
        <w:t xml:space="preserve"> </w:t>
      </w:r>
    </w:p>
    <w:p w14:paraId="5D0FC33E" w14:textId="77777777" w:rsidR="0078579D" w:rsidRDefault="0078579D" w:rsidP="0078579D">
      <w:r>
        <w:t>We used a mixed-method approach that blends qualitative and quantitative analysis to understand Juvenile Rehabilitation’s (JR) goals, programs and services, and a comprehensive picture of the current workforce strengths and challenges. This section provides an overview of the five data sources and relevant information on response rates, as appropriate. These data sources include:</w:t>
      </w:r>
    </w:p>
    <w:p w14:paraId="40C200C2" w14:textId="77777777" w:rsidR="0078579D" w:rsidRDefault="0078579D" w:rsidP="0078579D">
      <w:pPr>
        <w:pStyle w:val="ListBullet"/>
      </w:pPr>
      <w:r>
        <w:t xml:space="preserve">Site visits; </w:t>
      </w:r>
    </w:p>
    <w:p w14:paraId="6DA3E725" w14:textId="77777777" w:rsidR="0078579D" w:rsidRDefault="0078579D" w:rsidP="0078579D">
      <w:pPr>
        <w:pStyle w:val="ListBullet"/>
      </w:pPr>
      <w:r>
        <w:t xml:space="preserve">Staff </w:t>
      </w:r>
      <w:r w:rsidR="00E251C1">
        <w:t>s</w:t>
      </w:r>
      <w:r>
        <w:t>urvey;</w:t>
      </w:r>
    </w:p>
    <w:p w14:paraId="43E75A05" w14:textId="77777777" w:rsidR="0078579D" w:rsidRDefault="0078579D" w:rsidP="0078579D">
      <w:pPr>
        <w:pStyle w:val="ListBullet"/>
      </w:pPr>
      <w:r>
        <w:t>Organizational Social Context (OSC) survey;</w:t>
      </w:r>
    </w:p>
    <w:p w14:paraId="1D755B18" w14:textId="77777777" w:rsidR="0078579D" w:rsidRDefault="0078579D" w:rsidP="0078579D">
      <w:pPr>
        <w:pStyle w:val="ListBullet"/>
      </w:pPr>
      <w:r>
        <w:t>Review of administrative data from the State’s HRMS system; and</w:t>
      </w:r>
    </w:p>
    <w:p w14:paraId="3A346310" w14:textId="77777777" w:rsidR="00E45A0B" w:rsidRPr="00E45A0B" w:rsidRDefault="0078579D" w:rsidP="00E45A0B">
      <w:pPr>
        <w:pStyle w:val="ListBullet"/>
      </w:pPr>
      <w:r>
        <w:t>Key document review.</w:t>
      </w:r>
    </w:p>
    <w:p w14:paraId="06C93143" w14:textId="77777777" w:rsidR="00BE5090" w:rsidRDefault="00BE5090" w:rsidP="00F42D48">
      <w:pPr>
        <w:pStyle w:val="Heading2"/>
      </w:pPr>
      <w:bookmarkStart w:id="117" w:name="_Toc531597548"/>
      <w:r>
        <w:t>Staff/Youth Interviews/Focus Group</w:t>
      </w:r>
      <w:bookmarkEnd w:id="117"/>
      <w:r>
        <w:t xml:space="preserve"> </w:t>
      </w:r>
    </w:p>
    <w:p w14:paraId="6F737FA6" w14:textId="77777777" w:rsidR="00BE5090" w:rsidRDefault="00BE5090" w:rsidP="00BE5090">
      <w:r>
        <w:t>Site visits were conducted at the three JR institutions and eight JR community facilities. During these site visits, the Hyzer Group Team conducted interviews with:</w:t>
      </w:r>
    </w:p>
    <w:p w14:paraId="3CF4F8DE" w14:textId="77777777" w:rsidR="00BE5090" w:rsidRDefault="00BE5090" w:rsidP="00BE5090">
      <w:pPr>
        <w:pStyle w:val="ListBullet"/>
      </w:pPr>
      <w:r>
        <w:t>Youth</w:t>
      </w:r>
      <w:r w:rsidR="00C75275">
        <w:t>;</w:t>
      </w:r>
    </w:p>
    <w:p w14:paraId="1CFC3657" w14:textId="77777777" w:rsidR="00BE5090" w:rsidRDefault="00BE5090" w:rsidP="00BE5090">
      <w:pPr>
        <w:pStyle w:val="ListBullet"/>
      </w:pPr>
      <w:r>
        <w:t>Superintendents and Administrators</w:t>
      </w:r>
      <w:r w:rsidR="00C75275">
        <w:t>;</w:t>
      </w:r>
      <w:r>
        <w:t xml:space="preserve"> </w:t>
      </w:r>
    </w:p>
    <w:p w14:paraId="12BD6B58" w14:textId="77777777" w:rsidR="00BE5090" w:rsidRDefault="00BE5090" w:rsidP="00BE5090">
      <w:pPr>
        <w:pStyle w:val="ListBullet"/>
      </w:pPr>
      <w:r>
        <w:t>Juvenile Rehabilitation Residential Counselors (JRRCs)</w:t>
      </w:r>
      <w:r w:rsidR="00C75275">
        <w:t>;</w:t>
      </w:r>
    </w:p>
    <w:p w14:paraId="07CBCA3E" w14:textId="77777777" w:rsidR="00BE5090" w:rsidRDefault="00BE5090" w:rsidP="00BE5090">
      <w:pPr>
        <w:pStyle w:val="ListBullet"/>
      </w:pPr>
      <w:r>
        <w:t>Juvenile Rehabilitation Counselor Assistants (JRCAs)</w:t>
      </w:r>
      <w:r w:rsidR="00C75275">
        <w:t>;</w:t>
      </w:r>
    </w:p>
    <w:p w14:paraId="301A53A3" w14:textId="77777777" w:rsidR="00A322DF" w:rsidRDefault="00A322DF" w:rsidP="00BE5090">
      <w:pPr>
        <w:pStyle w:val="ListBullet"/>
      </w:pPr>
      <w:r>
        <w:t>Juvenile Rehabilitation Security Officers</w:t>
      </w:r>
      <w:r w:rsidR="00A853D2">
        <w:t xml:space="preserve"> </w:t>
      </w:r>
      <w:r w:rsidR="00417AF9">
        <w:t>1</w:t>
      </w:r>
      <w:r w:rsidR="00A853D2">
        <w:t>(JRSO</w:t>
      </w:r>
      <w:r w:rsidR="00417AF9">
        <w:t xml:space="preserve"> 1</w:t>
      </w:r>
      <w:r w:rsidR="00A853D2">
        <w:t>s)</w:t>
      </w:r>
      <w:r>
        <w:t>;</w:t>
      </w:r>
    </w:p>
    <w:p w14:paraId="7D076702" w14:textId="77777777" w:rsidR="00BE5090" w:rsidRDefault="00BE5090" w:rsidP="00BE5090">
      <w:pPr>
        <w:pStyle w:val="ListBullet"/>
      </w:pPr>
      <w:r>
        <w:t>Supervisors</w:t>
      </w:r>
      <w:r w:rsidR="00C75275">
        <w:t>; and</w:t>
      </w:r>
    </w:p>
    <w:p w14:paraId="2007ACEB" w14:textId="77777777" w:rsidR="00BE5090" w:rsidRDefault="00BE5090" w:rsidP="00BE5090">
      <w:pPr>
        <w:pStyle w:val="ListBullet"/>
        <w:contextualSpacing w:val="0"/>
      </w:pPr>
      <w:r>
        <w:t xml:space="preserve">Program </w:t>
      </w:r>
      <w:r w:rsidR="00E71275">
        <w:t xml:space="preserve">Managers </w:t>
      </w:r>
      <w:r>
        <w:t>(PM)</w:t>
      </w:r>
      <w:r w:rsidR="00C75275">
        <w:t>.</w:t>
      </w:r>
    </w:p>
    <w:p w14:paraId="61816A24" w14:textId="77777777" w:rsidR="00BE5090" w:rsidRDefault="00BE5090" w:rsidP="00193F5F">
      <w:r>
        <w:t xml:space="preserve">Small group interviews and focus groups </w:t>
      </w:r>
      <w:r w:rsidR="00E71275">
        <w:t>were also</w:t>
      </w:r>
      <w:r>
        <w:t xml:space="preserve"> conducted at the institutions </w:t>
      </w:r>
      <w:r w:rsidR="00385326">
        <w:t>to</w:t>
      </w:r>
      <w:r>
        <w:t xml:space="preserve"> ensure input from a larger sample of staff and youth. Through the interviews and focus groups information on staffing strengths</w:t>
      </w:r>
      <w:r w:rsidR="00E71275">
        <w:t>,</w:t>
      </w:r>
      <w:r>
        <w:t xml:space="preserve"> challenges, and opportunities to improve the current </w:t>
      </w:r>
      <w:r w:rsidR="002B4425">
        <w:t xml:space="preserve">residential </w:t>
      </w:r>
      <w:r>
        <w:t xml:space="preserve">staffing model were identified. Factors leading to each facility’s attrition, culture, climate, and morale </w:t>
      </w:r>
      <w:r w:rsidR="00E71275">
        <w:t>were also</w:t>
      </w:r>
      <w:r>
        <w:t xml:space="preserve"> explored.</w:t>
      </w:r>
    </w:p>
    <w:p w14:paraId="3CD1DED0" w14:textId="77777777" w:rsidR="00BE5090" w:rsidRDefault="00BE5090" w:rsidP="00193F5F">
      <w:r>
        <w:t xml:space="preserve">Separate interview protocols were developed and used to guide the discussion with different categories of staff. A leadership interview protocol was used for discussions with </w:t>
      </w:r>
      <w:r w:rsidR="00E71275">
        <w:t xml:space="preserve">Superintendents </w:t>
      </w:r>
      <w:r>
        <w:t xml:space="preserve">and </w:t>
      </w:r>
      <w:r w:rsidR="00E71275">
        <w:t>Administrators</w:t>
      </w:r>
      <w:r>
        <w:t xml:space="preserve">. These protocols focused on inquiring about workforce strengths and challenges, workload issues, culture and climate, safety, recruitment, selection and retention. They also sought to identify specific issues creating barriers to the implementation of </w:t>
      </w:r>
      <w:r w:rsidR="00A322DF">
        <w:t xml:space="preserve">JR’s </w:t>
      </w:r>
      <w:r>
        <w:t>ITM</w:t>
      </w:r>
      <w:r w:rsidR="008C0316" w:rsidRPr="008C0316">
        <w:t xml:space="preserve"> </w:t>
      </w:r>
      <w:r w:rsidR="008C0316">
        <w:t>Rehabilitation Model</w:t>
      </w:r>
      <w:r>
        <w:t>.</w:t>
      </w:r>
    </w:p>
    <w:p w14:paraId="5A5DB571" w14:textId="77777777" w:rsidR="00BE5090" w:rsidRDefault="00BE5090" w:rsidP="00193F5F">
      <w:r>
        <w:t>A supervisor interview p</w:t>
      </w:r>
      <w:r w:rsidRPr="006612C6">
        <w:t>rotoco</w:t>
      </w:r>
      <w:r>
        <w:t xml:space="preserve">l was used with supervisors and PMs. </w:t>
      </w:r>
      <w:r w:rsidRPr="00B75D4E">
        <w:t>Interviews with supervisors</w:t>
      </w:r>
      <w:r>
        <w:t xml:space="preserve"> and PMs</w:t>
      </w:r>
      <w:r w:rsidRPr="00B75D4E">
        <w:t xml:space="preserve"> were geared toward identifying any challenges in managing</w:t>
      </w:r>
      <w:r w:rsidRPr="006D04DF">
        <w:t xml:space="preserve"> staff, ensuring appropriate care and programming for youth, and the extent to</w:t>
      </w:r>
      <w:r>
        <w:t xml:space="preserve"> which current staffing levels and staff knowledge and skills are adequate to implement the </w:t>
      </w:r>
      <w:r w:rsidR="008C0316">
        <w:t>Rehabilitation Model</w:t>
      </w:r>
      <w:r>
        <w:t>.</w:t>
      </w:r>
    </w:p>
    <w:p w14:paraId="58068EC2" w14:textId="77777777" w:rsidR="00BE5090" w:rsidRDefault="00BE5090" w:rsidP="00193F5F">
      <w:r>
        <w:t>A counselor interview protocol was used with JRRCs and JRCAs in individual interviews, small group interviews and focus groups. This protocol covered areas such as staffing levels in each facility, employee workload, scheduling processes, interaction with supervisors, overtime, safety, and time staff spent performing duties other than directly working with you in concert with the required standards.</w:t>
      </w:r>
    </w:p>
    <w:p w14:paraId="0E9F9919" w14:textId="77777777" w:rsidR="00417AF9" w:rsidRDefault="00417AF9" w:rsidP="00193F5F">
      <w:r>
        <w:lastRenderedPageBreak/>
        <w:t>A security officer protocol was used with JRSO 1s in individual interviews. This protocol covered areas such as how their time is spent, safety, staffing levels, supervision, career development, and recruitment experience.</w:t>
      </w:r>
    </w:p>
    <w:p w14:paraId="1BC107C9" w14:textId="77777777" w:rsidR="00BE5090" w:rsidRDefault="00BE5090" w:rsidP="00193F5F">
      <w:r>
        <w:t xml:space="preserve">A shorter protocol was developed for individual interviews and focus groups with the youth. The goal of these interviews was to obtain the youth perspective on the current </w:t>
      </w:r>
      <w:r w:rsidR="002B4425">
        <w:t xml:space="preserve">residential </w:t>
      </w:r>
      <w:r>
        <w:t>staffing model and as to whether they are able to receive necessary supports and services to meet their goals and be successful when they reenter the community.</w:t>
      </w:r>
    </w:p>
    <w:p w14:paraId="57546A3B" w14:textId="77777777" w:rsidR="00BE5090" w:rsidRPr="00D61EAB" w:rsidRDefault="00BE5090" w:rsidP="00193F5F">
      <w:r>
        <w:t xml:space="preserve">The Hyzer Group Team also had an opportunity to conduct interviews with a variety of other staff including </w:t>
      </w:r>
      <w:r w:rsidRPr="00D61EAB">
        <w:t>program coordinators, a security administrator, a human resources consultant, a transition specialist, and a cook.</w:t>
      </w:r>
    </w:p>
    <w:p w14:paraId="5C7C4CD2" w14:textId="77777777" w:rsidR="005F0D3D" w:rsidRDefault="005F0D3D" w:rsidP="00193F5F">
      <w:r w:rsidRPr="00D61EAB">
        <w:t xml:space="preserve">Site visits were conducted at the three JR institutions and eight JR community facilities. Exhibit </w:t>
      </w:r>
      <w:r w:rsidR="00DC48AB">
        <w:t>8</w:t>
      </w:r>
      <w:r w:rsidRPr="00D61EAB">
        <w:t>-1 summarizes the interviews conducted with youth, leadership (superintendents and associate superintendents, program</w:t>
      </w:r>
      <w:r>
        <w:t xml:space="preserve"> managers, supervisors, Juvenile Rehabilitation Residential Counselors (JRRCs), Juvenile Rehabilitation Counselor Assistants (JRCAs) and Juvenile Rehabilitation Security Offers 1s (JRSO)s</w:t>
      </w:r>
      <w:r w:rsidR="00A853D2">
        <w:t xml:space="preserve"> including on-call JRSOs</w:t>
      </w:r>
      <w:r>
        <w:t xml:space="preserve">. We met with 175 youth or staff either individually or as part of a focus group at the Echo Glen Children’s Center (Echo Glen), Green Hill School (Green Hill), or Naselle Youth Camp (Naselle). </w:t>
      </w:r>
    </w:p>
    <w:p w14:paraId="279C0A01" w14:textId="77777777" w:rsidR="00BE5090" w:rsidRPr="00F960FF" w:rsidRDefault="005F0D3D" w:rsidP="005F0D3D">
      <w:pPr>
        <w:pStyle w:val="Caption"/>
      </w:pPr>
      <w:bookmarkStart w:id="118" w:name="_Ref401441653"/>
      <w:r>
        <w:t xml:space="preserve">Exhibit </w:t>
      </w:r>
      <w:r w:rsidR="00DC48AB">
        <w:t>8</w:t>
      </w:r>
      <w:r>
        <w:noBreakHyphen/>
      </w:r>
      <w:r w:rsidR="00EC62E5">
        <w:rPr>
          <w:noProof/>
        </w:rPr>
        <w:fldChar w:fldCharType="begin"/>
      </w:r>
      <w:r w:rsidR="00EC62E5">
        <w:rPr>
          <w:noProof/>
        </w:rPr>
        <w:instrText xml:space="preserve"> SEQ Exhibit \* ARABIC \s 1 </w:instrText>
      </w:r>
      <w:r w:rsidR="00EC62E5">
        <w:rPr>
          <w:noProof/>
        </w:rPr>
        <w:fldChar w:fldCharType="separate"/>
      </w:r>
      <w:r w:rsidR="00FD2536">
        <w:rPr>
          <w:noProof/>
        </w:rPr>
        <w:t>1</w:t>
      </w:r>
      <w:r w:rsidR="00EC62E5">
        <w:rPr>
          <w:noProof/>
        </w:rPr>
        <w:fldChar w:fldCharType="end"/>
      </w:r>
      <w:bookmarkEnd w:id="118"/>
      <w:r w:rsidR="00E251C1">
        <w:t>.</w:t>
      </w:r>
      <w:r>
        <w:t xml:space="preserve"> </w:t>
      </w:r>
      <w:r w:rsidR="00BE5090">
        <w:t>Number of Staff and Youth Interviewed or Part of a Focus Group</w:t>
      </w:r>
      <w:r>
        <w:t xml:space="preserve"> – JR Institutions</w:t>
      </w:r>
    </w:p>
    <w:tbl>
      <w:tblPr>
        <w:tblStyle w:val="HyzerTable"/>
        <w:tblW w:w="0" w:type="auto"/>
        <w:tblLook w:val="04A0" w:firstRow="1" w:lastRow="0" w:firstColumn="1" w:lastColumn="0" w:noHBand="0" w:noVBand="1"/>
      </w:tblPr>
      <w:tblGrid>
        <w:gridCol w:w="1914"/>
        <w:gridCol w:w="1672"/>
        <w:gridCol w:w="1410"/>
        <w:gridCol w:w="1761"/>
        <w:gridCol w:w="1103"/>
        <w:gridCol w:w="22"/>
      </w:tblGrid>
      <w:tr w:rsidR="005F0D3D" w14:paraId="18D452EE" w14:textId="77777777" w:rsidTr="00C5732B">
        <w:trPr>
          <w:gridAfter w:val="1"/>
          <w:cnfStyle w:val="100000000000" w:firstRow="1" w:lastRow="0" w:firstColumn="0" w:lastColumn="0" w:oddVBand="0" w:evenVBand="0" w:oddHBand="0" w:evenHBand="0" w:firstRowFirstColumn="0" w:firstRowLastColumn="0" w:lastRowFirstColumn="0" w:lastRowLastColumn="0"/>
          <w:wAfter w:w="22" w:type="dxa"/>
        </w:trPr>
        <w:tc>
          <w:tcPr>
            <w:tcW w:w="1914" w:type="dxa"/>
          </w:tcPr>
          <w:p w14:paraId="2838898D" w14:textId="77777777" w:rsidR="005F0D3D" w:rsidRDefault="005F0D3D" w:rsidP="00C5732B">
            <w:pPr>
              <w:pStyle w:val="tableheaderwhite"/>
              <w:spacing w:before="20" w:after="40"/>
            </w:pPr>
          </w:p>
        </w:tc>
        <w:tc>
          <w:tcPr>
            <w:tcW w:w="1672" w:type="dxa"/>
          </w:tcPr>
          <w:p w14:paraId="1C01C11D" w14:textId="77777777" w:rsidR="005F0D3D" w:rsidRDefault="005F0D3D" w:rsidP="00C5732B">
            <w:pPr>
              <w:pStyle w:val="tableheaderwhite"/>
              <w:spacing w:before="20" w:after="40"/>
            </w:pPr>
            <w:r>
              <w:t xml:space="preserve">Echo Glen </w:t>
            </w:r>
          </w:p>
        </w:tc>
        <w:tc>
          <w:tcPr>
            <w:tcW w:w="1410" w:type="dxa"/>
          </w:tcPr>
          <w:p w14:paraId="0A5A35AD" w14:textId="77777777" w:rsidR="005F0D3D" w:rsidRDefault="005F0D3D" w:rsidP="00C5732B">
            <w:pPr>
              <w:pStyle w:val="tableheaderwhite"/>
              <w:spacing w:before="20" w:after="40"/>
            </w:pPr>
            <w:r>
              <w:t>Green Hill</w:t>
            </w:r>
          </w:p>
        </w:tc>
        <w:tc>
          <w:tcPr>
            <w:tcW w:w="1761" w:type="dxa"/>
          </w:tcPr>
          <w:p w14:paraId="41C9F3E8" w14:textId="77777777" w:rsidR="005F0D3D" w:rsidRDefault="005F0D3D" w:rsidP="00C5732B">
            <w:pPr>
              <w:pStyle w:val="tableheaderwhite"/>
              <w:spacing w:before="20" w:after="40"/>
            </w:pPr>
            <w:r>
              <w:t xml:space="preserve">Naselle </w:t>
            </w:r>
          </w:p>
        </w:tc>
        <w:tc>
          <w:tcPr>
            <w:tcW w:w="1103" w:type="dxa"/>
          </w:tcPr>
          <w:p w14:paraId="7B9EDEC0" w14:textId="77777777" w:rsidR="005F0D3D" w:rsidRDefault="005F0D3D" w:rsidP="00C5732B">
            <w:pPr>
              <w:pStyle w:val="tableheaderwhite"/>
              <w:spacing w:before="20" w:after="40"/>
            </w:pPr>
            <w:r>
              <w:t xml:space="preserve">Total </w:t>
            </w:r>
          </w:p>
        </w:tc>
      </w:tr>
      <w:tr w:rsidR="005F0D3D" w14:paraId="695F6264" w14:textId="77777777" w:rsidTr="00D61EAB">
        <w:trPr>
          <w:gridAfter w:val="1"/>
          <w:cnfStyle w:val="000000100000" w:firstRow="0" w:lastRow="0" w:firstColumn="0" w:lastColumn="0" w:oddVBand="0" w:evenVBand="0" w:oddHBand="1" w:evenHBand="0" w:firstRowFirstColumn="0" w:firstRowLastColumn="0" w:lastRowFirstColumn="0" w:lastRowLastColumn="0"/>
          <w:wAfter w:w="22" w:type="dxa"/>
        </w:trPr>
        <w:tc>
          <w:tcPr>
            <w:tcW w:w="1914" w:type="dxa"/>
          </w:tcPr>
          <w:p w14:paraId="247E2C96"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 xml:space="preserve">Superintendent/ Associate Super. </w:t>
            </w:r>
          </w:p>
        </w:tc>
        <w:tc>
          <w:tcPr>
            <w:tcW w:w="1672" w:type="dxa"/>
            <w:vAlign w:val="center"/>
          </w:tcPr>
          <w:p w14:paraId="17812BD8" w14:textId="77777777" w:rsidR="005F0D3D" w:rsidRPr="008B171F" w:rsidRDefault="005F0D3D" w:rsidP="00D61EAB">
            <w:pPr>
              <w:jc w:val="center"/>
              <w:rPr>
                <w:rFonts w:ascii="Arial Narrow" w:hAnsi="Arial Narrow"/>
                <w:sz w:val="22"/>
                <w:szCs w:val="22"/>
              </w:rPr>
            </w:pPr>
            <w:r w:rsidRPr="008B171F">
              <w:rPr>
                <w:rFonts w:ascii="Arial Narrow" w:hAnsi="Arial Narrow"/>
                <w:sz w:val="22"/>
                <w:szCs w:val="22"/>
              </w:rPr>
              <w:t>2</w:t>
            </w:r>
          </w:p>
        </w:tc>
        <w:tc>
          <w:tcPr>
            <w:tcW w:w="1410" w:type="dxa"/>
            <w:vAlign w:val="center"/>
          </w:tcPr>
          <w:p w14:paraId="517BBD88" w14:textId="77777777" w:rsidR="005F0D3D" w:rsidRPr="008B171F" w:rsidRDefault="005F0D3D" w:rsidP="00D61EAB">
            <w:pPr>
              <w:jc w:val="center"/>
              <w:rPr>
                <w:rFonts w:ascii="Arial Narrow" w:hAnsi="Arial Narrow"/>
                <w:sz w:val="22"/>
                <w:szCs w:val="22"/>
              </w:rPr>
            </w:pPr>
            <w:r>
              <w:rPr>
                <w:rFonts w:ascii="Arial Narrow" w:hAnsi="Arial Narrow"/>
                <w:sz w:val="22"/>
                <w:szCs w:val="22"/>
              </w:rPr>
              <w:t>4</w:t>
            </w:r>
          </w:p>
        </w:tc>
        <w:tc>
          <w:tcPr>
            <w:tcW w:w="1761" w:type="dxa"/>
            <w:vAlign w:val="center"/>
          </w:tcPr>
          <w:p w14:paraId="1322EFDD" w14:textId="77777777" w:rsidR="005F0D3D" w:rsidRPr="008B171F" w:rsidRDefault="005F0D3D" w:rsidP="00D61EAB">
            <w:pPr>
              <w:jc w:val="center"/>
              <w:rPr>
                <w:rFonts w:ascii="Arial Narrow" w:hAnsi="Arial Narrow"/>
                <w:sz w:val="22"/>
                <w:szCs w:val="22"/>
              </w:rPr>
            </w:pPr>
            <w:r>
              <w:rPr>
                <w:rFonts w:ascii="Arial Narrow" w:hAnsi="Arial Narrow"/>
                <w:sz w:val="22"/>
                <w:szCs w:val="22"/>
              </w:rPr>
              <w:t>3</w:t>
            </w:r>
          </w:p>
        </w:tc>
        <w:tc>
          <w:tcPr>
            <w:tcW w:w="1103" w:type="dxa"/>
            <w:vAlign w:val="center"/>
          </w:tcPr>
          <w:p w14:paraId="3E58A283" w14:textId="77777777" w:rsidR="005F0D3D" w:rsidRPr="008B171F" w:rsidRDefault="005F0D3D" w:rsidP="00D61EAB">
            <w:pPr>
              <w:jc w:val="center"/>
              <w:rPr>
                <w:rFonts w:ascii="Arial Narrow" w:hAnsi="Arial Narrow"/>
                <w:sz w:val="22"/>
                <w:szCs w:val="22"/>
              </w:rPr>
            </w:pPr>
            <w:r>
              <w:rPr>
                <w:rFonts w:ascii="Arial Narrow" w:hAnsi="Arial Narrow"/>
                <w:sz w:val="22"/>
                <w:szCs w:val="22"/>
              </w:rPr>
              <w:t>9</w:t>
            </w:r>
          </w:p>
        </w:tc>
      </w:tr>
      <w:tr w:rsidR="005F0D3D" w14:paraId="22B79AB6" w14:textId="77777777" w:rsidTr="00D61EAB">
        <w:trPr>
          <w:gridAfter w:val="1"/>
          <w:wAfter w:w="22" w:type="dxa"/>
        </w:trPr>
        <w:tc>
          <w:tcPr>
            <w:tcW w:w="1914" w:type="dxa"/>
          </w:tcPr>
          <w:p w14:paraId="0B4E7843"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JRRCs/JRCAs</w:t>
            </w:r>
          </w:p>
        </w:tc>
        <w:tc>
          <w:tcPr>
            <w:tcW w:w="1672" w:type="dxa"/>
            <w:vAlign w:val="center"/>
          </w:tcPr>
          <w:p w14:paraId="5C686553" w14:textId="77777777" w:rsidR="005F0D3D" w:rsidRPr="008B171F" w:rsidRDefault="005F0D3D" w:rsidP="00D61EAB">
            <w:pPr>
              <w:jc w:val="center"/>
              <w:rPr>
                <w:rFonts w:ascii="Arial Narrow" w:hAnsi="Arial Narrow"/>
                <w:sz w:val="22"/>
                <w:szCs w:val="22"/>
              </w:rPr>
            </w:pPr>
            <w:r w:rsidRPr="008B171F">
              <w:rPr>
                <w:rFonts w:ascii="Arial Narrow" w:hAnsi="Arial Narrow"/>
                <w:sz w:val="22"/>
                <w:szCs w:val="22"/>
              </w:rPr>
              <w:t>15</w:t>
            </w:r>
          </w:p>
        </w:tc>
        <w:tc>
          <w:tcPr>
            <w:tcW w:w="1410" w:type="dxa"/>
            <w:vAlign w:val="center"/>
          </w:tcPr>
          <w:p w14:paraId="2C0409D4" w14:textId="77777777" w:rsidR="005F0D3D" w:rsidRPr="008B171F" w:rsidRDefault="005F0D3D" w:rsidP="00D61EAB">
            <w:pPr>
              <w:jc w:val="center"/>
              <w:rPr>
                <w:rFonts w:ascii="Arial Narrow" w:hAnsi="Arial Narrow"/>
                <w:sz w:val="22"/>
                <w:szCs w:val="22"/>
              </w:rPr>
            </w:pPr>
            <w:r>
              <w:rPr>
                <w:rFonts w:ascii="Arial Narrow" w:hAnsi="Arial Narrow"/>
                <w:sz w:val="22"/>
                <w:szCs w:val="22"/>
              </w:rPr>
              <w:t>22</w:t>
            </w:r>
          </w:p>
        </w:tc>
        <w:tc>
          <w:tcPr>
            <w:tcW w:w="1761" w:type="dxa"/>
            <w:vAlign w:val="center"/>
          </w:tcPr>
          <w:p w14:paraId="31F9DA57" w14:textId="77777777" w:rsidR="005F0D3D" w:rsidRPr="008B171F" w:rsidRDefault="005F0D3D" w:rsidP="00D61EAB">
            <w:pPr>
              <w:jc w:val="center"/>
              <w:rPr>
                <w:rFonts w:ascii="Arial Narrow" w:hAnsi="Arial Narrow"/>
                <w:sz w:val="22"/>
                <w:szCs w:val="22"/>
              </w:rPr>
            </w:pPr>
            <w:r>
              <w:rPr>
                <w:rFonts w:ascii="Arial Narrow" w:hAnsi="Arial Narrow"/>
                <w:sz w:val="22"/>
                <w:szCs w:val="22"/>
              </w:rPr>
              <w:t>32</w:t>
            </w:r>
          </w:p>
        </w:tc>
        <w:tc>
          <w:tcPr>
            <w:tcW w:w="1103" w:type="dxa"/>
            <w:vAlign w:val="center"/>
          </w:tcPr>
          <w:p w14:paraId="593A0AA7" w14:textId="77777777" w:rsidR="005F0D3D" w:rsidRPr="008B171F" w:rsidRDefault="005F0D3D" w:rsidP="00D61EAB">
            <w:pPr>
              <w:jc w:val="center"/>
              <w:rPr>
                <w:rFonts w:ascii="Arial Narrow" w:hAnsi="Arial Narrow"/>
                <w:sz w:val="22"/>
                <w:szCs w:val="22"/>
              </w:rPr>
            </w:pPr>
            <w:r>
              <w:rPr>
                <w:rFonts w:ascii="Arial Narrow" w:hAnsi="Arial Narrow"/>
                <w:sz w:val="22"/>
                <w:szCs w:val="22"/>
              </w:rPr>
              <w:t>69</w:t>
            </w:r>
          </w:p>
        </w:tc>
      </w:tr>
      <w:tr w:rsidR="005F0D3D" w14:paraId="1C0E0E1B" w14:textId="77777777" w:rsidTr="00D61EAB">
        <w:trPr>
          <w:gridAfter w:val="1"/>
          <w:cnfStyle w:val="000000100000" w:firstRow="0" w:lastRow="0" w:firstColumn="0" w:lastColumn="0" w:oddVBand="0" w:evenVBand="0" w:oddHBand="1" w:evenHBand="0" w:firstRowFirstColumn="0" w:firstRowLastColumn="0" w:lastRowFirstColumn="0" w:lastRowLastColumn="0"/>
          <w:wAfter w:w="22" w:type="dxa"/>
          <w:trHeight w:val="733"/>
        </w:trPr>
        <w:tc>
          <w:tcPr>
            <w:tcW w:w="1914" w:type="dxa"/>
          </w:tcPr>
          <w:p w14:paraId="78B6FD1F"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 xml:space="preserve">JRSOs </w:t>
            </w:r>
          </w:p>
          <w:p w14:paraId="1F1999A1"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(Incl. On-call)</w:t>
            </w:r>
          </w:p>
        </w:tc>
        <w:tc>
          <w:tcPr>
            <w:tcW w:w="1672" w:type="dxa"/>
            <w:vAlign w:val="center"/>
          </w:tcPr>
          <w:p w14:paraId="342789A2" w14:textId="77777777" w:rsidR="005F0D3D" w:rsidRPr="008B171F" w:rsidRDefault="005F0D3D" w:rsidP="00D61EAB">
            <w:pPr>
              <w:jc w:val="center"/>
              <w:rPr>
                <w:rFonts w:ascii="Arial Narrow" w:hAnsi="Arial Narrow"/>
                <w:sz w:val="22"/>
                <w:szCs w:val="22"/>
              </w:rPr>
            </w:pPr>
            <w:r w:rsidRPr="008B171F">
              <w:rPr>
                <w:rFonts w:ascii="Arial Narrow" w:hAnsi="Arial Narrow"/>
                <w:sz w:val="22"/>
                <w:szCs w:val="22"/>
              </w:rPr>
              <w:t>6</w:t>
            </w:r>
          </w:p>
        </w:tc>
        <w:tc>
          <w:tcPr>
            <w:tcW w:w="1410" w:type="dxa"/>
            <w:vAlign w:val="center"/>
          </w:tcPr>
          <w:p w14:paraId="6BD7E504" w14:textId="77777777" w:rsidR="005F0D3D" w:rsidRPr="008B171F" w:rsidRDefault="005F0D3D" w:rsidP="00D61EAB">
            <w:pPr>
              <w:jc w:val="center"/>
              <w:rPr>
                <w:rFonts w:ascii="Arial Narrow" w:hAnsi="Arial Narrow"/>
                <w:sz w:val="22"/>
                <w:szCs w:val="22"/>
              </w:rPr>
            </w:pPr>
            <w:r>
              <w:rPr>
                <w:rFonts w:ascii="Arial Narrow" w:hAnsi="Arial Narrow"/>
                <w:sz w:val="22"/>
                <w:szCs w:val="22"/>
              </w:rPr>
              <w:t>1</w:t>
            </w:r>
          </w:p>
        </w:tc>
        <w:tc>
          <w:tcPr>
            <w:tcW w:w="1761" w:type="dxa"/>
            <w:vAlign w:val="center"/>
          </w:tcPr>
          <w:p w14:paraId="5479AA23" w14:textId="77777777" w:rsidR="005F0D3D" w:rsidRPr="008B171F" w:rsidRDefault="005F0D3D" w:rsidP="00D61EAB">
            <w:pPr>
              <w:jc w:val="center"/>
              <w:rPr>
                <w:rFonts w:ascii="Arial Narrow" w:hAnsi="Arial Narrow"/>
                <w:sz w:val="22"/>
                <w:szCs w:val="22"/>
              </w:rPr>
            </w:pPr>
            <w:r>
              <w:rPr>
                <w:rFonts w:ascii="Arial Narrow" w:hAnsi="Arial Narrow"/>
                <w:sz w:val="22"/>
                <w:szCs w:val="22"/>
              </w:rPr>
              <w:t>6</w:t>
            </w:r>
          </w:p>
        </w:tc>
        <w:tc>
          <w:tcPr>
            <w:tcW w:w="1103" w:type="dxa"/>
            <w:vAlign w:val="center"/>
          </w:tcPr>
          <w:p w14:paraId="5A80D8E7" w14:textId="77777777" w:rsidR="005F0D3D" w:rsidRPr="008B171F" w:rsidRDefault="005F0D3D" w:rsidP="00D61EAB">
            <w:pPr>
              <w:jc w:val="center"/>
              <w:rPr>
                <w:rFonts w:ascii="Arial Narrow" w:hAnsi="Arial Narrow"/>
                <w:sz w:val="22"/>
                <w:szCs w:val="22"/>
              </w:rPr>
            </w:pPr>
            <w:r>
              <w:rPr>
                <w:rFonts w:ascii="Arial Narrow" w:hAnsi="Arial Narrow"/>
                <w:sz w:val="22"/>
                <w:szCs w:val="22"/>
              </w:rPr>
              <w:t>13</w:t>
            </w:r>
          </w:p>
        </w:tc>
      </w:tr>
      <w:tr w:rsidR="005F0D3D" w14:paraId="1B9B10C0" w14:textId="77777777" w:rsidTr="00D61EAB">
        <w:trPr>
          <w:gridAfter w:val="1"/>
          <w:wAfter w:w="22" w:type="dxa"/>
        </w:trPr>
        <w:tc>
          <w:tcPr>
            <w:tcW w:w="1914" w:type="dxa"/>
          </w:tcPr>
          <w:p w14:paraId="623FE2C5"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 xml:space="preserve">Youth </w:t>
            </w:r>
          </w:p>
        </w:tc>
        <w:tc>
          <w:tcPr>
            <w:tcW w:w="1672" w:type="dxa"/>
            <w:vAlign w:val="center"/>
          </w:tcPr>
          <w:p w14:paraId="47EB8BEA" w14:textId="77777777" w:rsidR="005F0D3D" w:rsidRPr="008B171F" w:rsidRDefault="005F0D3D" w:rsidP="00D61EAB">
            <w:pPr>
              <w:jc w:val="center"/>
              <w:rPr>
                <w:rFonts w:ascii="Arial Narrow" w:hAnsi="Arial Narrow"/>
                <w:sz w:val="22"/>
                <w:szCs w:val="22"/>
              </w:rPr>
            </w:pPr>
            <w:r w:rsidRPr="008B171F">
              <w:rPr>
                <w:rFonts w:ascii="Arial Narrow" w:hAnsi="Arial Narrow"/>
                <w:sz w:val="22"/>
                <w:szCs w:val="22"/>
              </w:rPr>
              <w:t>10</w:t>
            </w:r>
          </w:p>
        </w:tc>
        <w:tc>
          <w:tcPr>
            <w:tcW w:w="1410" w:type="dxa"/>
            <w:vAlign w:val="center"/>
          </w:tcPr>
          <w:p w14:paraId="32635C83" w14:textId="77777777" w:rsidR="005F0D3D" w:rsidRPr="008B171F" w:rsidRDefault="005F0D3D" w:rsidP="00D61EAB">
            <w:pPr>
              <w:jc w:val="center"/>
              <w:rPr>
                <w:rFonts w:ascii="Arial Narrow" w:hAnsi="Arial Narrow"/>
                <w:sz w:val="22"/>
                <w:szCs w:val="22"/>
              </w:rPr>
            </w:pPr>
            <w:r>
              <w:rPr>
                <w:rFonts w:ascii="Arial Narrow" w:hAnsi="Arial Narrow"/>
                <w:sz w:val="22"/>
                <w:szCs w:val="22"/>
              </w:rPr>
              <w:t>14</w:t>
            </w:r>
          </w:p>
        </w:tc>
        <w:tc>
          <w:tcPr>
            <w:tcW w:w="1761" w:type="dxa"/>
            <w:vAlign w:val="center"/>
          </w:tcPr>
          <w:p w14:paraId="28E0D287" w14:textId="77777777" w:rsidR="005F0D3D" w:rsidRPr="008B171F" w:rsidRDefault="005F0D3D" w:rsidP="00D61EAB">
            <w:pPr>
              <w:jc w:val="center"/>
              <w:rPr>
                <w:rFonts w:ascii="Arial Narrow" w:hAnsi="Arial Narrow"/>
                <w:sz w:val="22"/>
                <w:szCs w:val="22"/>
              </w:rPr>
            </w:pPr>
            <w:r>
              <w:rPr>
                <w:rFonts w:ascii="Arial Narrow" w:hAnsi="Arial Narrow"/>
                <w:sz w:val="22"/>
                <w:szCs w:val="22"/>
              </w:rPr>
              <w:t>21</w:t>
            </w:r>
          </w:p>
        </w:tc>
        <w:tc>
          <w:tcPr>
            <w:tcW w:w="1103" w:type="dxa"/>
            <w:vAlign w:val="center"/>
          </w:tcPr>
          <w:p w14:paraId="53F93CB7" w14:textId="77777777" w:rsidR="005F0D3D" w:rsidRPr="008B171F" w:rsidRDefault="005F0D3D" w:rsidP="00D61EAB">
            <w:pPr>
              <w:jc w:val="center"/>
              <w:rPr>
                <w:rFonts w:ascii="Arial Narrow" w:hAnsi="Arial Narrow"/>
                <w:sz w:val="22"/>
                <w:szCs w:val="22"/>
              </w:rPr>
            </w:pPr>
            <w:r>
              <w:rPr>
                <w:rFonts w:ascii="Arial Narrow" w:hAnsi="Arial Narrow"/>
                <w:sz w:val="22"/>
                <w:szCs w:val="22"/>
              </w:rPr>
              <w:t>45</w:t>
            </w:r>
          </w:p>
        </w:tc>
      </w:tr>
      <w:tr w:rsidR="005F0D3D" w14:paraId="20C0AF03" w14:textId="77777777" w:rsidTr="00D61EAB">
        <w:trPr>
          <w:gridAfter w:val="1"/>
          <w:cnfStyle w:val="000000100000" w:firstRow="0" w:lastRow="0" w:firstColumn="0" w:lastColumn="0" w:oddVBand="0" w:evenVBand="0" w:oddHBand="1" w:evenHBand="0" w:firstRowFirstColumn="0" w:firstRowLastColumn="0" w:lastRowFirstColumn="0" w:lastRowLastColumn="0"/>
          <w:wAfter w:w="22" w:type="dxa"/>
        </w:trPr>
        <w:tc>
          <w:tcPr>
            <w:tcW w:w="1914" w:type="dxa"/>
          </w:tcPr>
          <w:p w14:paraId="26DE482E"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Supervisors</w:t>
            </w:r>
          </w:p>
        </w:tc>
        <w:tc>
          <w:tcPr>
            <w:tcW w:w="1672" w:type="dxa"/>
            <w:vAlign w:val="center"/>
          </w:tcPr>
          <w:p w14:paraId="3883C98E" w14:textId="77777777" w:rsidR="005F0D3D" w:rsidRPr="008B171F" w:rsidRDefault="005F0D3D" w:rsidP="00D61EAB">
            <w:pPr>
              <w:jc w:val="center"/>
              <w:rPr>
                <w:rFonts w:ascii="Arial Narrow" w:hAnsi="Arial Narrow"/>
                <w:sz w:val="22"/>
                <w:szCs w:val="22"/>
              </w:rPr>
            </w:pPr>
            <w:r w:rsidRPr="008B171F">
              <w:rPr>
                <w:rFonts w:ascii="Arial Narrow" w:hAnsi="Arial Narrow"/>
                <w:sz w:val="22"/>
                <w:szCs w:val="22"/>
              </w:rPr>
              <w:t>9</w:t>
            </w:r>
          </w:p>
        </w:tc>
        <w:tc>
          <w:tcPr>
            <w:tcW w:w="1410" w:type="dxa"/>
            <w:vAlign w:val="center"/>
          </w:tcPr>
          <w:p w14:paraId="32D812F2" w14:textId="77777777" w:rsidR="005F0D3D" w:rsidRPr="008B171F" w:rsidRDefault="005F0D3D" w:rsidP="00D61EAB">
            <w:pPr>
              <w:jc w:val="center"/>
              <w:rPr>
                <w:rFonts w:ascii="Arial Narrow" w:hAnsi="Arial Narrow"/>
                <w:sz w:val="22"/>
                <w:szCs w:val="22"/>
              </w:rPr>
            </w:pPr>
            <w:r>
              <w:rPr>
                <w:rFonts w:ascii="Arial Narrow" w:hAnsi="Arial Narrow"/>
                <w:sz w:val="22"/>
                <w:szCs w:val="22"/>
              </w:rPr>
              <w:t>3</w:t>
            </w:r>
          </w:p>
        </w:tc>
        <w:tc>
          <w:tcPr>
            <w:tcW w:w="1761" w:type="dxa"/>
            <w:vAlign w:val="center"/>
          </w:tcPr>
          <w:p w14:paraId="265B96E5" w14:textId="77777777" w:rsidR="005F0D3D" w:rsidRPr="008B171F" w:rsidRDefault="005F0D3D" w:rsidP="00D61EAB">
            <w:pPr>
              <w:jc w:val="center"/>
              <w:rPr>
                <w:rFonts w:ascii="Arial Narrow" w:hAnsi="Arial Narrow"/>
                <w:sz w:val="22"/>
                <w:szCs w:val="22"/>
              </w:rPr>
            </w:pPr>
            <w:r>
              <w:rPr>
                <w:rFonts w:ascii="Arial Narrow" w:hAnsi="Arial Narrow"/>
                <w:sz w:val="22"/>
                <w:szCs w:val="22"/>
              </w:rPr>
              <w:t>3</w:t>
            </w:r>
          </w:p>
        </w:tc>
        <w:tc>
          <w:tcPr>
            <w:tcW w:w="1103" w:type="dxa"/>
            <w:vAlign w:val="center"/>
          </w:tcPr>
          <w:p w14:paraId="22B8A5E3" w14:textId="77777777" w:rsidR="005F0D3D" w:rsidRPr="008B171F" w:rsidRDefault="005F0D3D" w:rsidP="00D61EAB">
            <w:pPr>
              <w:jc w:val="center"/>
              <w:rPr>
                <w:rFonts w:ascii="Arial Narrow" w:hAnsi="Arial Narrow"/>
                <w:sz w:val="22"/>
                <w:szCs w:val="22"/>
              </w:rPr>
            </w:pPr>
            <w:r>
              <w:rPr>
                <w:rFonts w:ascii="Arial Narrow" w:hAnsi="Arial Narrow"/>
                <w:sz w:val="22"/>
                <w:szCs w:val="22"/>
              </w:rPr>
              <w:t>15</w:t>
            </w:r>
          </w:p>
        </w:tc>
      </w:tr>
      <w:tr w:rsidR="005F0D3D" w:rsidRPr="008B171F" w14:paraId="18F38E2F" w14:textId="77777777" w:rsidTr="00D61EAB">
        <w:trPr>
          <w:gridAfter w:val="1"/>
          <w:wAfter w:w="22" w:type="dxa"/>
        </w:trPr>
        <w:tc>
          <w:tcPr>
            <w:tcW w:w="1914" w:type="dxa"/>
          </w:tcPr>
          <w:p w14:paraId="1B06CCC0" w14:textId="77777777" w:rsidR="005F0D3D" w:rsidRPr="008B171F" w:rsidRDefault="005F0D3D" w:rsidP="00C5732B">
            <w:pPr>
              <w:rPr>
                <w:rFonts w:ascii="Arial Narrow" w:hAnsi="Arial Narrow"/>
                <w:b/>
                <w:sz w:val="22"/>
                <w:szCs w:val="22"/>
              </w:rPr>
            </w:pPr>
            <w:r w:rsidRPr="008B171F">
              <w:rPr>
                <w:rFonts w:ascii="Arial Narrow" w:hAnsi="Arial Narrow"/>
                <w:b/>
                <w:sz w:val="22"/>
                <w:szCs w:val="22"/>
              </w:rPr>
              <w:t>Program Managers</w:t>
            </w:r>
          </w:p>
        </w:tc>
        <w:tc>
          <w:tcPr>
            <w:tcW w:w="1672" w:type="dxa"/>
            <w:vAlign w:val="center"/>
          </w:tcPr>
          <w:p w14:paraId="6EE9A03D" w14:textId="77777777" w:rsidR="005F0D3D" w:rsidRPr="008B171F" w:rsidRDefault="005F0D3D" w:rsidP="00D61EAB">
            <w:pPr>
              <w:jc w:val="center"/>
              <w:rPr>
                <w:rFonts w:ascii="Arial Narrow" w:hAnsi="Arial Narrow"/>
                <w:sz w:val="22"/>
                <w:szCs w:val="22"/>
              </w:rPr>
            </w:pPr>
            <w:r w:rsidRPr="008B171F">
              <w:rPr>
                <w:rFonts w:ascii="Arial Narrow" w:hAnsi="Arial Narrow"/>
                <w:sz w:val="22"/>
                <w:szCs w:val="22"/>
              </w:rPr>
              <w:t>9</w:t>
            </w:r>
          </w:p>
        </w:tc>
        <w:tc>
          <w:tcPr>
            <w:tcW w:w="1410" w:type="dxa"/>
            <w:vAlign w:val="center"/>
          </w:tcPr>
          <w:p w14:paraId="13B530BC" w14:textId="77777777" w:rsidR="005F0D3D" w:rsidRPr="008B171F" w:rsidRDefault="005F0D3D" w:rsidP="00D61EAB">
            <w:pPr>
              <w:jc w:val="center"/>
              <w:rPr>
                <w:rFonts w:ascii="Arial Narrow" w:hAnsi="Arial Narrow"/>
                <w:sz w:val="22"/>
                <w:szCs w:val="22"/>
              </w:rPr>
            </w:pPr>
            <w:r>
              <w:rPr>
                <w:rFonts w:ascii="Arial Narrow" w:hAnsi="Arial Narrow"/>
                <w:sz w:val="22"/>
                <w:szCs w:val="22"/>
              </w:rPr>
              <w:t>2</w:t>
            </w:r>
          </w:p>
        </w:tc>
        <w:tc>
          <w:tcPr>
            <w:tcW w:w="1761" w:type="dxa"/>
            <w:vAlign w:val="center"/>
          </w:tcPr>
          <w:p w14:paraId="291B576B" w14:textId="77777777" w:rsidR="005F0D3D" w:rsidRPr="008B171F" w:rsidRDefault="005F0D3D" w:rsidP="00D61EAB">
            <w:pPr>
              <w:jc w:val="center"/>
              <w:rPr>
                <w:rFonts w:ascii="Arial Narrow" w:hAnsi="Arial Narrow"/>
                <w:sz w:val="22"/>
                <w:szCs w:val="22"/>
              </w:rPr>
            </w:pPr>
            <w:r>
              <w:rPr>
                <w:rFonts w:ascii="Arial Narrow" w:hAnsi="Arial Narrow"/>
                <w:sz w:val="22"/>
                <w:szCs w:val="22"/>
              </w:rPr>
              <w:t>2</w:t>
            </w:r>
          </w:p>
        </w:tc>
        <w:tc>
          <w:tcPr>
            <w:tcW w:w="1103" w:type="dxa"/>
            <w:vAlign w:val="center"/>
          </w:tcPr>
          <w:p w14:paraId="18F5636A" w14:textId="77777777" w:rsidR="005F0D3D" w:rsidRPr="008B171F" w:rsidRDefault="005F0D3D" w:rsidP="00D61EAB">
            <w:pPr>
              <w:jc w:val="center"/>
              <w:rPr>
                <w:rFonts w:ascii="Arial Narrow" w:hAnsi="Arial Narrow"/>
                <w:sz w:val="22"/>
                <w:szCs w:val="22"/>
              </w:rPr>
            </w:pPr>
            <w:r>
              <w:rPr>
                <w:rFonts w:ascii="Arial Narrow" w:hAnsi="Arial Narrow"/>
                <w:sz w:val="22"/>
                <w:szCs w:val="22"/>
              </w:rPr>
              <w:t>13</w:t>
            </w:r>
          </w:p>
        </w:tc>
      </w:tr>
      <w:tr w:rsidR="005F0D3D" w14:paraId="1430E24C" w14:textId="77777777" w:rsidTr="00C5732B">
        <w:trPr>
          <w:cnfStyle w:val="000000100000" w:firstRow="0" w:lastRow="0" w:firstColumn="0" w:lastColumn="0" w:oddVBand="0" w:evenVBand="0" w:oddHBand="1" w:evenHBand="0" w:firstRowFirstColumn="0" w:firstRowLastColumn="0" w:lastRowFirstColumn="0" w:lastRowLastColumn="0"/>
        </w:trPr>
        <w:tc>
          <w:tcPr>
            <w:tcW w:w="1914" w:type="dxa"/>
          </w:tcPr>
          <w:p w14:paraId="52A26F26" w14:textId="77777777" w:rsidR="005F0D3D" w:rsidRPr="008B171F" w:rsidRDefault="005F0D3D" w:rsidP="00C5732B">
            <w:pPr>
              <w:spacing w:before="60" w:after="60"/>
              <w:rPr>
                <w:rFonts w:ascii="Arial Narrow" w:hAnsi="Arial Narrow"/>
                <w:b/>
                <w:sz w:val="22"/>
                <w:szCs w:val="22"/>
              </w:rPr>
            </w:pPr>
            <w:r>
              <w:rPr>
                <w:rFonts w:ascii="Arial Narrow" w:hAnsi="Arial Narrow"/>
                <w:b/>
                <w:sz w:val="22"/>
                <w:szCs w:val="22"/>
              </w:rPr>
              <w:t>Other</w:t>
            </w:r>
          </w:p>
        </w:tc>
        <w:tc>
          <w:tcPr>
            <w:tcW w:w="1672" w:type="dxa"/>
            <w:vAlign w:val="center"/>
          </w:tcPr>
          <w:p w14:paraId="3C8EE8FC" w14:textId="77777777" w:rsidR="005F0D3D" w:rsidRDefault="005F0D3D" w:rsidP="00C5732B">
            <w:pPr>
              <w:pStyle w:val="TableBullet"/>
              <w:spacing w:before="60" w:after="60"/>
            </w:pPr>
            <w:r>
              <w:t xml:space="preserve">2 Coordinators </w:t>
            </w:r>
          </w:p>
          <w:p w14:paraId="518CDFC4" w14:textId="77777777" w:rsidR="005F0D3D" w:rsidRDefault="005F0D3D" w:rsidP="00C5732B">
            <w:pPr>
              <w:pStyle w:val="TableBullet"/>
              <w:spacing w:before="60" w:after="60"/>
            </w:pPr>
            <w:r>
              <w:t>1 Transportation Manager</w:t>
            </w:r>
          </w:p>
          <w:p w14:paraId="24714257" w14:textId="77777777" w:rsidR="005F0D3D" w:rsidRPr="008B171F" w:rsidRDefault="005F0D3D" w:rsidP="00C5732B">
            <w:pPr>
              <w:pStyle w:val="TableBullet"/>
              <w:spacing w:before="60" w:after="60"/>
            </w:pPr>
            <w:r>
              <w:t>1 Recreation Specialist</w:t>
            </w:r>
          </w:p>
        </w:tc>
        <w:tc>
          <w:tcPr>
            <w:tcW w:w="1410" w:type="dxa"/>
          </w:tcPr>
          <w:p w14:paraId="280AB8CE" w14:textId="77777777" w:rsidR="005F0D3D" w:rsidRPr="00263C7D" w:rsidRDefault="005F0D3D" w:rsidP="00C5732B">
            <w:pPr>
              <w:pStyle w:val="TableBullet"/>
              <w:keepNext w:val="0"/>
              <w:spacing w:before="60" w:after="60"/>
              <w:ind w:left="216" w:hanging="216"/>
            </w:pPr>
            <w:r w:rsidRPr="00263C7D">
              <w:t>1 Security Administrator</w:t>
            </w:r>
          </w:p>
        </w:tc>
        <w:tc>
          <w:tcPr>
            <w:tcW w:w="1761" w:type="dxa"/>
          </w:tcPr>
          <w:p w14:paraId="3E608F54" w14:textId="77777777" w:rsidR="005F0D3D" w:rsidRPr="00A515D4" w:rsidRDefault="005F0D3D" w:rsidP="00C5732B">
            <w:pPr>
              <w:pStyle w:val="TableBullet"/>
              <w:spacing w:before="60" w:after="60"/>
            </w:pPr>
            <w:r>
              <w:t xml:space="preserve">1 </w:t>
            </w:r>
            <w:r w:rsidRPr="00A515D4">
              <w:t>HR Consultant</w:t>
            </w:r>
          </w:p>
          <w:p w14:paraId="196750DA" w14:textId="77777777" w:rsidR="005F0D3D" w:rsidRDefault="005F0D3D" w:rsidP="00C5732B">
            <w:pPr>
              <w:pStyle w:val="TableBullet"/>
              <w:spacing w:before="60" w:after="60"/>
            </w:pPr>
            <w:r>
              <w:t xml:space="preserve">1 </w:t>
            </w:r>
            <w:r w:rsidRPr="00A515D4">
              <w:t>Drug &amp; Alcohol Counselor</w:t>
            </w:r>
          </w:p>
          <w:p w14:paraId="2B956BAD" w14:textId="77777777" w:rsidR="005F0D3D" w:rsidRPr="00263C7D" w:rsidRDefault="005F0D3D" w:rsidP="00C5732B">
            <w:pPr>
              <w:pStyle w:val="TableBullet"/>
              <w:spacing w:before="60" w:after="60"/>
            </w:pPr>
            <w:r>
              <w:t>4 Program Coordinators</w:t>
            </w:r>
          </w:p>
        </w:tc>
        <w:tc>
          <w:tcPr>
            <w:tcW w:w="1125" w:type="dxa"/>
            <w:gridSpan w:val="2"/>
            <w:vAlign w:val="center"/>
          </w:tcPr>
          <w:p w14:paraId="1E509355" w14:textId="77777777" w:rsidR="005F0D3D" w:rsidRDefault="005F0D3D" w:rsidP="00C5732B">
            <w:pPr>
              <w:spacing w:before="60" w:after="60"/>
              <w:jc w:val="center"/>
              <w:rPr>
                <w:rFonts w:ascii="Arial Narrow" w:hAnsi="Arial Narrow"/>
                <w:sz w:val="22"/>
                <w:szCs w:val="22"/>
              </w:rPr>
            </w:pPr>
            <w:r>
              <w:rPr>
                <w:rFonts w:ascii="Arial Narrow" w:hAnsi="Arial Narrow"/>
                <w:sz w:val="22"/>
                <w:szCs w:val="22"/>
              </w:rPr>
              <w:t>11</w:t>
            </w:r>
          </w:p>
        </w:tc>
      </w:tr>
    </w:tbl>
    <w:p w14:paraId="32663CDA" w14:textId="77777777" w:rsidR="00BE5090" w:rsidRDefault="005F0D3D" w:rsidP="00BE5090">
      <w:r w:rsidRPr="00D61EAB">
        <w:t xml:space="preserve">Exhibit </w:t>
      </w:r>
      <w:r w:rsidR="00DC48AB">
        <w:t>8</w:t>
      </w:r>
      <w:r w:rsidRPr="00D61EAB">
        <w:t>-2</w:t>
      </w:r>
      <w:r w:rsidR="00BE5090" w:rsidRPr="00D61EAB">
        <w:t xml:space="preserve"> summarizes the interviews conducted at the eight community facilities by st</w:t>
      </w:r>
      <w:r w:rsidRPr="00D61EAB">
        <w:t xml:space="preserve">aff position, which included a </w:t>
      </w:r>
      <w:r w:rsidR="00BE5090" w:rsidRPr="00D61EAB">
        <w:t>total of 77 staff and youth.</w:t>
      </w:r>
    </w:p>
    <w:p w14:paraId="1739365D" w14:textId="77777777" w:rsidR="00BE5090" w:rsidRPr="00131649" w:rsidRDefault="005F0D3D" w:rsidP="005F0D3D">
      <w:pPr>
        <w:pStyle w:val="Caption"/>
      </w:pPr>
      <w:r>
        <w:lastRenderedPageBreak/>
        <w:t xml:space="preserve">Exhibit </w:t>
      </w:r>
      <w:r w:rsidR="00DC48AB">
        <w:rPr>
          <w:noProof/>
        </w:rPr>
        <w:t>8</w:t>
      </w:r>
      <w:r>
        <w:noBreakHyphen/>
      </w:r>
      <w:r w:rsidR="00EC62E5">
        <w:rPr>
          <w:noProof/>
        </w:rPr>
        <w:fldChar w:fldCharType="begin"/>
      </w:r>
      <w:r w:rsidR="00EC62E5">
        <w:rPr>
          <w:noProof/>
        </w:rPr>
        <w:instrText xml:space="preserve"> SEQ Exhibit \* ARABIC \s 1 </w:instrText>
      </w:r>
      <w:r w:rsidR="00EC62E5">
        <w:rPr>
          <w:noProof/>
        </w:rPr>
        <w:fldChar w:fldCharType="separate"/>
      </w:r>
      <w:r w:rsidR="00FD2536">
        <w:rPr>
          <w:noProof/>
        </w:rPr>
        <w:t>2</w:t>
      </w:r>
      <w:r w:rsidR="00EC62E5">
        <w:rPr>
          <w:noProof/>
        </w:rPr>
        <w:fldChar w:fldCharType="end"/>
      </w:r>
      <w:r w:rsidR="00E251C1">
        <w:t>.</w:t>
      </w:r>
      <w:r>
        <w:t xml:space="preserve"> </w:t>
      </w:r>
      <w:r w:rsidR="00BE5090">
        <w:t>Number of Staff and Youth Interviewed</w:t>
      </w:r>
      <w:r>
        <w:t xml:space="preserve"> – JR Community Facilities</w:t>
      </w:r>
    </w:p>
    <w:tbl>
      <w:tblPr>
        <w:tblStyle w:val="HyzerTable"/>
        <w:tblW w:w="5130" w:type="pct"/>
        <w:tblLook w:val="0420" w:firstRow="1" w:lastRow="0" w:firstColumn="0" w:lastColumn="0" w:noHBand="0" w:noVBand="1"/>
      </w:tblPr>
      <w:tblGrid>
        <w:gridCol w:w="1337"/>
        <w:gridCol w:w="878"/>
        <w:gridCol w:w="999"/>
        <w:gridCol w:w="718"/>
        <w:gridCol w:w="1109"/>
        <w:gridCol w:w="878"/>
        <w:gridCol w:w="1239"/>
        <w:gridCol w:w="768"/>
        <w:gridCol w:w="1229"/>
        <w:gridCol w:w="647"/>
      </w:tblGrid>
      <w:tr w:rsidR="003F449C" w:rsidRPr="004079A5" w14:paraId="61A71597" w14:textId="77777777" w:rsidTr="003F449C">
        <w:trPr>
          <w:cnfStyle w:val="100000000000" w:firstRow="1" w:lastRow="0" w:firstColumn="0" w:lastColumn="0" w:oddVBand="0" w:evenVBand="0" w:oddHBand="0" w:evenHBand="0" w:firstRowFirstColumn="0" w:firstRowLastColumn="0" w:lastRowFirstColumn="0" w:lastRowLastColumn="0"/>
          <w:trHeight w:val="744"/>
          <w:tblHeader/>
        </w:trPr>
        <w:tc>
          <w:tcPr>
            <w:tcW w:w="680" w:type="pct"/>
          </w:tcPr>
          <w:p w14:paraId="08E745FC" w14:textId="77777777" w:rsidR="003F449C" w:rsidRPr="004079A5" w:rsidRDefault="003F449C" w:rsidP="00BE5090">
            <w:pPr>
              <w:pStyle w:val="tableheaderwhite"/>
              <w:keepNext/>
              <w:rPr>
                <w:sz w:val="22"/>
                <w:szCs w:val="22"/>
              </w:rPr>
            </w:pPr>
          </w:p>
        </w:tc>
        <w:tc>
          <w:tcPr>
            <w:tcW w:w="447" w:type="pct"/>
          </w:tcPr>
          <w:p w14:paraId="2B7490DE" w14:textId="77777777" w:rsidR="003F449C" w:rsidRPr="004079A5" w:rsidRDefault="003F449C" w:rsidP="00BE5090">
            <w:pPr>
              <w:pStyle w:val="tableheaderwhite"/>
              <w:keepNext/>
              <w:rPr>
                <w:sz w:val="22"/>
                <w:szCs w:val="22"/>
              </w:rPr>
            </w:pPr>
            <w:r>
              <w:rPr>
                <w:sz w:val="22"/>
                <w:szCs w:val="22"/>
              </w:rPr>
              <w:t>Canyon View</w:t>
            </w:r>
          </w:p>
        </w:tc>
        <w:tc>
          <w:tcPr>
            <w:tcW w:w="508" w:type="pct"/>
          </w:tcPr>
          <w:p w14:paraId="31E65098" w14:textId="77777777" w:rsidR="003F449C" w:rsidRPr="004079A5" w:rsidRDefault="003F449C" w:rsidP="00BE5090">
            <w:pPr>
              <w:pStyle w:val="tableheaderwhite"/>
              <w:keepNext/>
              <w:rPr>
                <w:sz w:val="22"/>
                <w:szCs w:val="22"/>
              </w:rPr>
            </w:pPr>
            <w:r>
              <w:rPr>
                <w:sz w:val="22"/>
                <w:szCs w:val="22"/>
              </w:rPr>
              <w:t>Oakridge</w:t>
            </w:r>
          </w:p>
        </w:tc>
        <w:tc>
          <w:tcPr>
            <w:tcW w:w="365" w:type="pct"/>
          </w:tcPr>
          <w:p w14:paraId="6BAE96AE" w14:textId="77777777" w:rsidR="003F449C" w:rsidRPr="004079A5" w:rsidRDefault="003F449C" w:rsidP="00BE5090">
            <w:pPr>
              <w:pStyle w:val="tableheaderwhite"/>
              <w:keepNext/>
              <w:rPr>
                <w:sz w:val="22"/>
                <w:szCs w:val="22"/>
              </w:rPr>
            </w:pPr>
            <w:r>
              <w:rPr>
                <w:sz w:val="22"/>
                <w:szCs w:val="22"/>
              </w:rPr>
              <w:t>Parke Creek</w:t>
            </w:r>
          </w:p>
        </w:tc>
        <w:tc>
          <w:tcPr>
            <w:tcW w:w="564" w:type="pct"/>
          </w:tcPr>
          <w:p w14:paraId="23D78BA5" w14:textId="77777777" w:rsidR="003F449C" w:rsidRPr="004079A5" w:rsidRDefault="003F449C" w:rsidP="00BE5090">
            <w:pPr>
              <w:pStyle w:val="tableheaderwhite"/>
              <w:keepNext/>
              <w:rPr>
                <w:sz w:val="22"/>
                <w:szCs w:val="22"/>
              </w:rPr>
            </w:pPr>
            <w:r>
              <w:rPr>
                <w:sz w:val="22"/>
                <w:szCs w:val="22"/>
              </w:rPr>
              <w:t>Ridgeview</w:t>
            </w:r>
          </w:p>
        </w:tc>
        <w:tc>
          <w:tcPr>
            <w:tcW w:w="447" w:type="pct"/>
          </w:tcPr>
          <w:p w14:paraId="1F150B4A" w14:textId="77777777" w:rsidR="003F449C" w:rsidRPr="004079A5" w:rsidRDefault="003F449C" w:rsidP="00BE5090">
            <w:pPr>
              <w:pStyle w:val="tableheaderwhite"/>
              <w:keepNext/>
              <w:rPr>
                <w:sz w:val="22"/>
                <w:szCs w:val="22"/>
              </w:rPr>
            </w:pPr>
            <w:r>
              <w:rPr>
                <w:sz w:val="22"/>
                <w:szCs w:val="22"/>
              </w:rPr>
              <w:t>Sunrise</w:t>
            </w:r>
          </w:p>
        </w:tc>
        <w:tc>
          <w:tcPr>
            <w:tcW w:w="631" w:type="pct"/>
          </w:tcPr>
          <w:p w14:paraId="055EE144" w14:textId="77777777" w:rsidR="003F449C" w:rsidRPr="004079A5" w:rsidRDefault="003F449C" w:rsidP="00BE5090">
            <w:pPr>
              <w:pStyle w:val="tableheaderwhite"/>
              <w:keepNext/>
              <w:rPr>
                <w:sz w:val="22"/>
                <w:szCs w:val="22"/>
              </w:rPr>
            </w:pPr>
            <w:r>
              <w:rPr>
                <w:sz w:val="22"/>
                <w:szCs w:val="22"/>
              </w:rPr>
              <w:t>Touchstone</w:t>
            </w:r>
          </w:p>
        </w:tc>
        <w:tc>
          <w:tcPr>
            <w:tcW w:w="391" w:type="pct"/>
          </w:tcPr>
          <w:p w14:paraId="23F496D7" w14:textId="77777777" w:rsidR="003F449C" w:rsidRPr="004079A5" w:rsidRDefault="003F449C" w:rsidP="00BE5090">
            <w:pPr>
              <w:pStyle w:val="tableheaderwhite"/>
              <w:keepNext/>
              <w:rPr>
                <w:sz w:val="22"/>
                <w:szCs w:val="22"/>
              </w:rPr>
            </w:pPr>
            <w:r>
              <w:rPr>
                <w:sz w:val="22"/>
                <w:szCs w:val="22"/>
              </w:rPr>
              <w:t>Twin Rivers</w:t>
            </w:r>
          </w:p>
        </w:tc>
        <w:tc>
          <w:tcPr>
            <w:tcW w:w="625" w:type="pct"/>
          </w:tcPr>
          <w:p w14:paraId="794B853A" w14:textId="77777777" w:rsidR="003F449C" w:rsidRPr="004079A5" w:rsidRDefault="003F449C" w:rsidP="00BE5090">
            <w:pPr>
              <w:pStyle w:val="tableheaderwhite"/>
              <w:keepNext/>
              <w:rPr>
                <w:sz w:val="22"/>
                <w:szCs w:val="22"/>
              </w:rPr>
            </w:pPr>
            <w:r>
              <w:rPr>
                <w:sz w:val="22"/>
                <w:szCs w:val="22"/>
              </w:rPr>
              <w:t>Woodinville</w:t>
            </w:r>
          </w:p>
        </w:tc>
        <w:tc>
          <w:tcPr>
            <w:tcW w:w="341" w:type="pct"/>
          </w:tcPr>
          <w:p w14:paraId="6142FB14" w14:textId="77777777" w:rsidR="003F449C" w:rsidRDefault="003F449C" w:rsidP="00BE5090">
            <w:pPr>
              <w:pStyle w:val="tableheaderwhite"/>
              <w:keepNext/>
              <w:rPr>
                <w:sz w:val="22"/>
                <w:szCs w:val="22"/>
              </w:rPr>
            </w:pPr>
            <w:r>
              <w:rPr>
                <w:sz w:val="22"/>
                <w:szCs w:val="22"/>
              </w:rPr>
              <w:t>Total</w:t>
            </w:r>
          </w:p>
        </w:tc>
      </w:tr>
      <w:tr w:rsidR="003F449C" w:rsidRPr="00CD1826" w14:paraId="07657A0D" w14:textId="77777777" w:rsidTr="003F449C">
        <w:trPr>
          <w:cnfStyle w:val="000000100000" w:firstRow="0" w:lastRow="0" w:firstColumn="0" w:lastColumn="0" w:oddVBand="0" w:evenVBand="0" w:oddHBand="1" w:evenHBand="0" w:firstRowFirstColumn="0" w:firstRowLastColumn="0" w:lastRowFirstColumn="0" w:lastRowLastColumn="0"/>
          <w:trHeight w:val="382"/>
        </w:trPr>
        <w:tc>
          <w:tcPr>
            <w:tcW w:w="680" w:type="pct"/>
            <w:vAlign w:val="center"/>
          </w:tcPr>
          <w:p w14:paraId="61F42E33" w14:textId="77777777" w:rsidR="003F449C" w:rsidRPr="003A1CBF" w:rsidRDefault="003F449C" w:rsidP="00BE5090">
            <w:pPr>
              <w:pStyle w:val="TableText"/>
              <w:keepNext/>
              <w:rPr>
                <w:b/>
              </w:rPr>
            </w:pPr>
            <w:r>
              <w:rPr>
                <w:b/>
              </w:rPr>
              <w:t>Administrator</w:t>
            </w:r>
          </w:p>
        </w:tc>
        <w:tc>
          <w:tcPr>
            <w:tcW w:w="447" w:type="pct"/>
            <w:vAlign w:val="center"/>
          </w:tcPr>
          <w:p w14:paraId="6F9D4D64" w14:textId="77777777" w:rsidR="003F449C" w:rsidRPr="00417AF9" w:rsidRDefault="003F449C" w:rsidP="00BE5090">
            <w:pPr>
              <w:pStyle w:val="TableText"/>
              <w:keepNext/>
              <w:jc w:val="center"/>
              <w:rPr>
                <w:rStyle w:val="TableTextBold"/>
                <w:b w:val="0"/>
              </w:rPr>
            </w:pPr>
            <w:r w:rsidRPr="00417AF9">
              <w:rPr>
                <w:rStyle w:val="TableTextBold"/>
                <w:b w:val="0"/>
              </w:rPr>
              <w:t>1</w:t>
            </w:r>
          </w:p>
        </w:tc>
        <w:tc>
          <w:tcPr>
            <w:tcW w:w="508" w:type="pct"/>
            <w:vAlign w:val="center"/>
          </w:tcPr>
          <w:p w14:paraId="00AEE0A1" w14:textId="77777777" w:rsidR="003F449C" w:rsidRPr="00417AF9" w:rsidRDefault="003F449C" w:rsidP="00BE5090">
            <w:pPr>
              <w:pStyle w:val="TableTextRight"/>
              <w:keepNext/>
              <w:jc w:val="center"/>
            </w:pPr>
            <w:r w:rsidRPr="00417AF9">
              <w:t>1</w:t>
            </w:r>
          </w:p>
        </w:tc>
        <w:tc>
          <w:tcPr>
            <w:tcW w:w="365" w:type="pct"/>
            <w:vAlign w:val="center"/>
          </w:tcPr>
          <w:p w14:paraId="4FEC3829" w14:textId="77777777" w:rsidR="003F449C" w:rsidRPr="00417AF9" w:rsidRDefault="003F449C" w:rsidP="00BE5090">
            <w:pPr>
              <w:pStyle w:val="TableTextRight"/>
              <w:keepNext/>
              <w:jc w:val="center"/>
            </w:pPr>
            <w:r>
              <w:t>1</w:t>
            </w:r>
          </w:p>
        </w:tc>
        <w:tc>
          <w:tcPr>
            <w:tcW w:w="564" w:type="pct"/>
            <w:vAlign w:val="center"/>
          </w:tcPr>
          <w:p w14:paraId="3433552A" w14:textId="77777777" w:rsidR="003F449C" w:rsidRPr="00417AF9" w:rsidRDefault="003F449C" w:rsidP="00BE5090">
            <w:pPr>
              <w:pStyle w:val="TableTextRight"/>
              <w:keepNext/>
              <w:jc w:val="center"/>
            </w:pPr>
            <w:r>
              <w:t>1</w:t>
            </w:r>
          </w:p>
        </w:tc>
        <w:tc>
          <w:tcPr>
            <w:tcW w:w="447" w:type="pct"/>
            <w:vAlign w:val="center"/>
          </w:tcPr>
          <w:p w14:paraId="3056EA26" w14:textId="77777777" w:rsidR="003F449C" w:rsidRPr="00417AF9" w:rsidRDefault="003F449C" w:rsidP="00BE5090">
            <w:pPr>
              <w:pStyle w:val="TableTextRight"/>
              <w:keepNext/>
              <w:jc w:val="center"/>
            </w:pPr>
            <w:r>
              <w:t>1</w:t>
            </w:r>
          </w:p>
        </w:tc>
        <w:tc>
          <w:tcPr>
            <w:tcW w:w="631" w:type="pct"/>
            <w:vAlign w:val="center"/>
          </w:tcPr>
          <w:p w14:paraId="11618EFF" w14:textId="77777777" w:rsidR="003F449C" w:rsidRPr="003F449C" w:rsidRDefault="003F449C" w:rsidP="003F449C">
            <w:pPr>
              <w:pStyle w:val="TableBullet"/>
              <w:numPr>
                <w:ilvl w:val="0"/>
                <w:numId w:val="0"/>
              </w:numPr>
              <w:ind w:left="130" w:hanging="130"/>
              <w:jc w:val="center"/>
            </w:pPr>
            <w:r w:rsidRPr="003F449C">
              <w:t>1</w:t>
            </w:r>
          </w:p>
        </w:tc>
        <w:tc>
          <w:tcPr>
            <w:tcW w:w="391" w:type="pct"/>
            <w:vAlign w:val="center"/>
          </w:tcPr>
          <w:p w14:paraId="66B78249" w14:textId="77777777" w:rsidR="003F449C" w:rsidRPr="00417AF9" w:rsidRDefault="003F449C" w:rsidP="003F449C">
            <w:pPr>
              <w:pStyle w:val="TableBullet"/>
              <w:numPr>
                <w:ilvl w:val="0"/>
                <w:numId w:val="0"/>
              </w:numPr>
              <w:ind w:left="130"/>
              <w:jc w:val="center"/>
            </w:pPr>
            <w:r>
              <w:t>1</w:t>
            </w:r>
          </w:p>
        </w:tc>
        <w:tc>
          <w:tcPr>
            <w:tcW w:w="625" w:type="pct"/>
            <w:vAlign w:val="center"/>
          </w:tcPr>
          <w:p w14:paraId="290E0675" w14:textId="77777777" w:rsidR="003F449C" w:rsidRPr="00417AF9" w:rsidRDefault="003F449C" w:rsidP="003F449C">
            <w:pPr>
              <w:pStyle w:val="TableBullet"/>
              <w:numPr>
                <w:ilvl w:val="0"/>
                <w:numId w:val="0"/>
              </w:numPr>
              <w:ind w:left="130"/>
              <w:jc w:val="center"/>
            </w:pPr>
            <w:r>
              <w:t>1</w:t>
            </w:r>
          </w:p>
        </w:tc>
        <w:tc>
          <w:tcPr>
            <w:tcW w:w="341" w:type="pct"/>
            <w:vAlign w:val="center"/>
          </w:tcPr>
          <w:p w14:paraId="1A1A8B7A" w14:textId="77777777" w:rsidR="003F449C" w:rsidRDefault="003F449C" w:rsidP="003F449C">
            <w:pPr>
              <w:pStyle w:val="TableBullet"/>
              <w:numPr>
                <w:ilvl w:val="0"/>
                <w:numId w:val="0"/>
              </w:numPr>
              <w:ind w:left="130"/>
              <w:jc w:val="center"/>
            </w:pPr>
            <w:r>
              <w:t>8</w:t>
            </w:r>
          </w:p>
        </w:tc>
      </w:tr>
      <w:tr w:rsidR="003F449C" w:rsidRPr="00CD1826" w14:paraId="4AC649BD" w14:textId="77777777" w:rsidTr="003F449C">
        <w:tc>
          <w:tcPr>
            <w:tcW w:w="680" w:type="pct"/>
            <w:vAlign w:val="center"/>
          </w:tcPr>
          <w:p w14:paraId="5B07F713" w14:textId="77777777" w:rsidR="003F449C" w:rsidRPr="003A1CBF" w:rsidRDefault="003F449C" w:rsidP="00BE5090">
            <w:pPr>
              <w:pStyle w:val="TableText"/>
              <w:keepNext/>
              <w:rPr>
                <w:b/>
              </w:rPr>
            </w:pPr>
            <w:r>
              <w:rPr>
                <w:b/>
              </w:rPr>
              <w:t>JRRCs/JRCAs</w:t>
            </w:r>
          </w:p>
        </w:tc>
        <w:tc>
          <w:tcPr>
            <w:tcW w:w="447" w:type="pct"/>
            <w:vAlign w:val="center"/>
          </w:tcPr>
          <w:p w14:paraId="5B9E7023" w14:textId="77777777" w:rsidR="003F449C" w:rsidRPr="00417AF9" w:rsidRDefault="003F449C" w:rsidP="00BE5090">
            <w:pPr>
              <w:pStyle w:val="TableText"/>
              <w:keepNext/>
              <w:jc w:val="center"/>
              <w:rPr>
                <w:rStyle w:val="TableTextBold"/>
                <w:b w:val="0"/>
              </w:rPr>
            </w:pPr>
            <w:r w:rsidRPr="00417AF9">
              <w:rPr>
                <w:rStyle w:val="TableTextBold"/>
                <w:b w:val="0"/>
              </w:rPr>
              <w:t>4</w:t>
            </w:r>
          </w:p>
        </w:tc>
        <w:tc>
          <w:tcPr>
            <w:tcW w:w="508" w:type="pct"/>
            <w:vAlign w:val="center"/>
          </w:tcPr>
          <w:p w14:paraId="6840DF8E" w14:textId="77777777" w:rsidR="003F449C" w:rsidRPr="00417AF9" w:rsidRDefault="003F449C" w:rsidP="00BE5090">
            <w:pPr>
              <w:pStyle w:val="TableTextRight"/>
              <w:keepNext/>
              <w:jc w:val="center"/>
            </w:pPr>
            <w:r w:rsidRPr="00417AF9">
              <w:t>2</w:t>
            </w:r>
          </w:p>
        </w:tc>
        <w:tc>
          <w:tcPr>
            <w:tcW w:w="365" w:type="pct"/>
            <w:vAlign w:val="center"/>
          </w:tcPr>
          <w:p w14:paraId="1BCD398F" w14:textId="77777777" w:rsidR="003F449C" w:rsidRPr="00417AF9" w:rsidRDefault="003F449C" w:rsidP="00BE5090">
            <w:pPr>
              <w:pStyle w:val="TableTextRight"/>
              <w:keepNext/>
              <w:jc w:val="center"/>
            </w:pPr>
            <w:r>
              <w:t>3</w:t>
            </w:r>
          </w:p>
        </w:tc>
        <w:tc>
          <w:tcPr>
            <w:tcW w:w="564" w:type="pct"/>
            <w:vAlign w:val="center"/>
          </w:tcPr>
          <w:p w14:paraId="2B25D6CD" w14:textId="77777777" w:rsidR="003F449C" w:rsidRPr="00417AF9" w:rsidRDefault="003F449C" w:rsidP="00BE5090">
            <w:pPr>
              <w:pStyle w:val="TableTextRight"/>
              <w:keepNext/>
              <w:jc w:val="center"/>
            </w:pPr>
            <w:r>
              <w:t>3</w:t>
            </w:r>
          </w:p>
        </w:tc>
        <w:tc>
          <w:tcPr>
            <w:tcW w:w="447" w:type="pct"/>
            <w:vAlign w:val="center"/>
          </w:tcPr>
          <w:p w14:paraId="65AE449F" w14:textId="77777777" w:rsidR="003F449C" w:rsidRPr="00417AF9" w:rsidRDefault="003F449C" w:rsidP="00BE5090">
            <w:pPr>
              <w:pStyle w:val="TableBullet"/>
              <w:numPr>
                <w:ilvl w:val="0"/>
                <w:numId w:val="0"/>
              </w:numPr>
              <w:ind w:left="130" w:hanging="130"/>
              <w:jc w:val="center"/>
            </w:pPr>
            <w:r>
              <w:t>5</w:t>
            </w:r>
          </w:p>
        </w:tc>
        <w:tc>
          <w:tcPr>
            <w:tcW w:w="631" w:type="pct"/>
            <w:vAlign w:val="center"/>
          </w:tcPr>
          <w:p w14:paraId="698B72E8" w14:textId="77777777" w:rsidR="003F449C" w:rsidRPr="003F449C" w:rsidRDefault="003F449C" w:rsidP="003F449C">
            <w:pPr>
              <w:pStyle w:val="TableBullet"/>
              <w:numPr>
                <w:ilvl w:val="0"/>
                <w:numId w:val="0"/>
              </w:numPr>
              <w:jc w:val="center"/>
            </w:pPr>
            <w:r w:rsidRPr="003F449C">
              <w:t>4</w:t>
            </w:r>
          </w:p>
        </w:tc>
        <w:tc>
          <w:tcPr>
            <w:tcW w:w="391" w:type="pct"/>
            <w:vAlign w:val="center"/>
          </w:tcPr>
          <w:p w14:paraId="25C424BF" w14:textId="77777777" w:rsidR="003F449C" w:rsidRPr="00417AF9" w:rsidRDefault="003F449C" w:rsidP="003F449C">
            <w:pPr>
              <w:pStyle w:val="TableBullet"/>
              <w:numPr>
                <w:ilvl w:val="0"/>
                <w:numId w:val="0"/>
              </w:numPr>
              <w:ind w:left="130"/>
              <w:jc w:val="center"/>
            </w:pPr>
            <w:r>
              <w:t>2</w:t>
            </w:r>
          </w:p>
        </w:tc>
        <w:tc>
          <w:tcPr>
            <w:tcW w:w="625" w:type="pct"/>
            <w:vAlign w:val="center"/>
          </w:tcPr>
          <w:p w14:paraId="70C26D87" w14:textId="77777777" w:rsidR="003F449C" w:rsidRPr="00417AF9" w:rsidRDefault="003F449C" w:rsidP="003F449C">
            <w:pPr>
              <w:pStyle w:val="TableBullet"/>
              <w:numPr>
                <w:ilvl w:val="0"/>
                <w:numId w:val="0"/>
              </w:numPr>
              <w:ind w:left="130"/>
              <w:jc w:val="center"/>
            </w:pPr>
            <w:r>
              <w:t>2</w:t>
            </w:r>
          </w:p>
        </w:tc>
        <w:tc>
          <w:tcPr>
            <w:tcW w:w="341" w:type="pct"/>
            <w:vAlign w:val="center"/>
          </w:tcPr>
          <w:p w14:paraId="6DF0D272" w14:textId="77777777" w:rsidR="003F449C" w:rsidRDefault="003F449C" w:rsidP="003F449C">
            <w:pPr>
              <w:pStyle w:val="TableBullet"/>
              <w:numPr>
                <w:ilvl w:val="0"/>
                <w:numId w:val="0"/>
              </w:numPr>
              <w:ind w:left="130"/>
              <w:jc w:val="center"/>
            </w:pPr>
            <w:r>
              <w:t>25</w:t>
            </w:r>
          </w:p>
        </w:tc>
      </w:tr>
      <w:tr w:rsidR="003F449C" w:rsidRPr="00CD1826" w14:paraId="17E35251" w14:textId="77777777" w:rsidTr="003F449C">
        <w:trPr>
          <w:cnfStyle w:val="000000100000" w:firstRow="0" w:lastRow="0" w:firstColumn="0" w:lastColumn="0" w:oddVBand="0" w:evenVBand="0" w:oddHBand="1" w:evenHBand="0" w:firstRowFirstColumn="0" w:firstRowLastColumn="0" w:lastRowFirstColumn="0" w:lastRowLastColumn="0"/>
        </w:trPr>
        <w:tc>
          <w:tcPr>
            <w:tcW w:w="680" w:type="pct"/>
            <w:vAlign w:val="center"/>
          </w:tcPr>
          <w:p w14:paraId="3407A7E9" w14:textId="77777777" w:rsidR="003F449C" w:rsidRDefault="003F449C" w:rsidP="00BE5090">
            <w:pPr>
              <w:pStyle w:val="TableText"/>
              <w:keepNext/>
              <w:rPr>
                <w:b/>
              </w:rPr>
            </w:pPr>
            <w:r>
              <w:rPr>
                <w:b/>
              </w:rPr>
              <w:t>JRSO 1s</w:t>
            </w:r>
          </w:p>
          <w:p w14:paraId="24C15DBA" w14:textId="77777777" w:rsidR="003F449C" w:rsidRPr="003A1CBF" w:rsidRDefault="003F449C" w:rsidP="00BE5090">
            <w:pPr>
              <w:pStyle w:val="TableText"/>
              <w:keepNext/>
              <w:rPr>
                <w:b/>
              </w:rPr>
            </w:pPr>
            <w:r>
              <w:rPr>
                <w:b/>
              </w:rPr>
              <w:t>(incl. On-call)</w:t>
            </w:r>
          </w:p>
        </w:tc>
        <w:tc>
          <w:tcPr>
            <w:tcW w:w="447" w:type="pct"/>
            <w:vAlign w:val="center"/>
          </w:tcPr>
          <w:p w14:paraId="2935785F" w14:textId="77777777" w:rsidR="003F449C" w:rsidRPr="00417AF9" w:rsidRDefault="003F449C" w:rsidP="00BE5090">
            <w:pPr>
              <w:pStyle w:val="TableText"/>
              <w:keepNext/>
              <w:jc w:val="center"/>
              <w:rPr>
                <w:rStyle w:val="TableTextBold"/>
                <w:b w:val="0"/>
              </w:rPr>
            </w:pPr>
            <w:r w:rsidRPr="00417AF9">
              <w:rPr>
                <w:rStyle w:val="TableTextBold"/>
                <w:b w:val="0"/>
              </w:rPr>
              <w:t>1</w:t>
            </w:r>
          </w:p>
        </w:tc>
        <w:tc>
          <w:tcPr>
            <w:tcW w:w="508" w:type="pct"/>
            <w:vAlign w:val="center"/>
          </w:tcPr>
          <w:p w14:paraId="03579926" w14:textId="77777777" w:rsidR="003F449C" w:rsidRPr="00417AF9" w:rsidRDefault="003F449C" w:rsidP="00BE5090">
            <w:pPr>
              <w:pStyle w:val="TableTextRight"/>
              <w:keepNext/>
              <w:jc w:val="center"/>
            </w:pPr>
            <w:r w:rsidRPr="00417AF9">
              <w:t>3</w:t>
            </w:r>
          </w:p>
        </w:tc>
        <w:tc>
          <w:tcPr>
            <w:tcW w:w="365" w:type="pct"/>
            <w:vAlign w:val="center"/>
          </w:tcPr>
          <w:p w14:paraId="529B08F7" w14:textId="77777777" w:rsidR="003F449C" w:rsidRPr="00417AF9" w:rsidRDefault="003F449C" w:rsidP="00BE5090">
            <w:pPr>
              <w:pStyle w:val="TableTextRight"/>
              <w:keepNext/>
              <w:jc w:val="center"/>
            </w:pPr>
            <w:r>
              <w:t>1</w:t>
            </w:r>
          </w:p>
        </w:tc>
        <w:tc>
          <w:tcPr>
            <w:tcW w:w="564" w:type="pct"/>
            <w:vAlign w:val="center"/>
          </w:tcPr>
          <w:p w14:paraId="20B3D47C" w14:textId="77777777" w:rsidR="003F449C" w:rsidRPr="00417AF9" w:rsidRDefault="003F449C" w:rsidP="00BE5090">
            <w:pPr>
              <w:pStyle w:val="TableTextRight"/>
              <w:keepNext/>
              <w:jc w:val="center"/>
            </w:pPr>
            <w:r>
              <w:t>0</w:t>
            </w:r>
          </w:p>
        </w:tc>
        <w:tc>
          <w:tcPr>
            <w:tcW w:w="447" w:type="pct"/>
            <w:vAlign w:val="center"/>
          </w:tcPr>
          <w:p w14:paraId="2DEB49FA" w14:textId="77777777" w:rsidR="003F449C" w:rsidRPr="00417AF9" w:rsidRDefault="003F449C" w:rsidP="00BE5090">
            <w:pPr>
              <w:pStyle w:val="TableTextRight"/>
              <w:keepNext/>
              <w:jc w:val="center"/>
            </w:pPr>
            <w:r>
              <w:t>0</w:t>
            </w:r>
          </w:p>
        </w:tc>
        <w:tc>
          <w:tcPr>
            <w:tcW w:w="631" w:type="pct"/>
            <w:vAlign w:val="center"/>
          </w:tcPr>
          <w:p w14:paraId="3681C6C0" w14:textId="77777777" w:rsidR="003F449C" w:rsidRPr="003F449C" w:rsidRDefault="003F449C" w:rsidP="003F449C">
            <w:pPr>
              <w:pStyle w:val="TableTextRight"/>
              <w:keepNext/>
              <w:jc w:val="center"/>
            </w:pPr>
            <w:r w:rsidRPr="003F449C">
              <w:t>1</w:t>
            </w:r>
          </w:p>
        </w:tc>
        <w:tc>
          <w:tcPr>
            <w:tcW w:w="391" w:type="pct"/>
            <w:vAlign w:val="center"/>
          </w:tcPr>
          <w:p w14:paraId="2BB27FCE" w14:textId="77777777" w:rsidR="003F449C" w:rsidRPr="00417AF9" w:rsidRDefault="003F449C" w:rsidP="003F449C">
            <w:pPr>
              <w:pStyle w:val="TableTextRight"/>
              <w:keepNext/>
              <w:jc w:val="center"/>
            </w:pPr>
            <w:r>
              <w:t>2</w:t>
            </w:r>
          </w:p>
        </w:tc>
        <w:tc>
          <w:tcPr>
            <w:tcW w:w="625" w:type="pct"/>
            <w:vAlign w:val="center"/>
          </w:tcPr>
          <w:p w14:paraId="79DDC352" w14:textId="77777777" w:rsidR="003F449C" w:rsidRPr="00417AF9" w:rsidRDefault="003F449C" w:rsidP="003F449C">
            <w:pPr>
              <w:pStyle w:val="TableTextRight"/>
              <w:keepNext/>
              <w:jc w:val="center"/>
            </w:pPr>
            <w:r>
              <w:t>2</w:t>
            </w:r>
          </w:p>
        </w:tc>
        <w:tc>
          <w:tcPr>
            <w:tcW w:w="341" w:type="pct"/>
            <w:vAlign w:val="center"/>
          </w:tcPr>
          <w:p w14:paraId="4B9B178D" w14:textId="77777777" w:rsidR="003F449C" w:rsidRDefault="003F449C" w:rsidP="003F449C">
            <w:pPr>
              <w:pStyle w:val="TableTextRight"/>
              <w:keepNext/>
              <w:jc w:val="center"/>
            </w:pPr>
            <w:r>
              <w:t>10</w:t>
            </w:r>
          </w:p>
        </w:tc>
      </w:tr>
      <w:tr w:rsidR="003F449C" w:rsidRPr="00CD1826" w14:paraId="2C46D1F5" w14:textId="77777777" w:rsidTr="003F449C">
        <w:tc>
          <w:tcPr>
            <w:tcW w:w="680" w:type="pct"/>
            <w:vAlign w:val="center"/>
          </w:tcPr>
          <w:p w14:paraId="06D9BBF4" w14:textId="77777777" w:rsidR="003F449C" w:rsidRPr="003A1CBF" w:rsidRDefault="003F449C" w:rsidP="00BE5090">
            <w:pPr>
              <w:pStyle w:val="TableText"/>
              <w:keepNext/>
              <w:rPr>
                <w:b/>
              </w:rPr>
            </w:pPr>
            <w:r>
              <w:rPr>
                <w:b/>
              </w:rPr>
              <w:t>Youth</w:t>
            </w:r>
          </w:p>
        </w:tc>
        <w:tc>
          <w:tcPr>
            <w:tcW w:w="447" w:type="pct"/>
            <w:vAlign w:val="center"/>
          </w:tcPr>
          <w:p w14:paraId="6A0C40E7" w14:textId="77777777" w:rsidR="003F449C" w:rsidRPr="00417AF9" w:rsidRDefault="003F449C" w:rsidP="00BE5090">
            <w:pPr>
              <w:pStyle w:val="TableText"/>
              <w:keepNext/>
              <w:jc w:val="center"/>
              <w:rPr>
                <w:rStyle w:val="TableTextBold"/>
                <w:b w:val="0"/>
              </w:rPr>
            </w:pPr>
            <w:r w:rsidRPr="00417AF9">
              <w:rPr>
                <w:rStyle w:val="TableTextBold"/>
                <w:b w:val="0"/>
              </w:rPr>
              <w:t>3</w:t>
            </w:r>
          </w:p>
        </w:tc>
        <w:tc>
          <w:tcPr>
            <w:tcW w:w="508" w:type="pct"/>
            <w:vAlign w:val="center"/>
          </w:tcPr>
          <w:p w14:paraId="7322BFC6" w14:textId="77777777" w:rsidR="003F449C" w:rsidRPr="00417AF9" w:rsidRDefault="003F449C" w:rsidP="00BE5090">
            <w:pPr>
              <w:pStyle w:val="TableTextRight"/>
              <w:keepNext/>
              <w:jc w:val="center"/>
            </w:pPr>
            <w:r w:rsidRPr="00417AF9">
              <w:t>3</w:t>
            </w:r>
          </w:p>
        </w:tc>
        <w:tc>
          <w:tcPr>
            <w:tcW w:w="365" w:type="pct"/>
            <w:vAlign w:val="center"/>
          </w:tcPr>
          <w:p w14:paraId="1723F150" w14:textId="77777777" w:rsidR="003F449C" w:rsidRPr="00417AF9" w:rsidRDefault="003F449C" w:rsidP="00BE5090">
            <w:pPr>
              <w:pStyle w:val="TableTextRight"/>
              <w:keepNext/>
              <w:jc w:val="center"/>
            </w:pPr>
            <w:r>
              <w:t>3</w:t>
            </w:r>
          </w:p>
        </w:tc>
        <w:tc>
          <w:tcPr>
            <w:tcW w:w="564" w:type="pct"/>
            <w:vAlign w:val="center"/>
          </w:tcPr>
          <w:p w14:paraId="58ED5092" w14:textId="77777777" w:rsidR="003F449C" w:rsidRPr="00417AF9" w:rsidRDefault="003F449C" w:rsidP="00BE5090">
            <w:pPr>
              <w:pStyle w:val="TableTextRight"/>
              <w:keepNext/>
              <w:jc w:val="center"/>
            </w:pPr>
            <w:r>
              <w:t>2</w:t>
            </w:r>
          </w:p>
        </w:tc>
        <w:tc>
          <w:tcPr>
            <w:tcW w:w="447" w:type="pct"/>
            <w:vAlign w:val="center"/>
          </w:tcPr>
          <w:p w14:paraId="2338C7F5" w14:textId="77777777" w:rsidR="003F449C" w:rsidRPr="00417AF9" w:rsidRDefault="003F449C" w:rsidP="00BE5090">
            <w:pPr>
              <w:pStyle w:val="TableTextRight"/>
              <w:keepNext/>
              <w:jc w:val="center"/>
            </w:pPr>
            <w:r>
              <w:t>3</w:t>
            </w:r>
          </w:p>
        </w:tc>
        <w:tc>
          <w:tcPr>
            <w:tcW w:w="631" w:type="pct"/>
            <w:vAlign w:val="center"/>
          </w:tcPr>
          <w:p w14:paraId="545BD074" w14:textId="77777777" w:rsidR="003F449C" w:rsidRPr="00417AF9" w:rsidRDefault="003F449C" w:rsidP="003F449C">
            <w:pPr>
              <w:pStyle w:val="TableTextRight"/>
              <w:keepNext/>
              <w:jc w:val="center"/>
            </w:pPr>
            <w:r>
              <w:t>3</w:t>
            </w:r>
          </w:p>
        </w:tc>
        <w:tc>
          <w:tcPr>
            <w:tcW w:w="391" w:type="pct"/>
            <w:vAlign w:val="center"/>
          </w:tcPr>
          <w:p w14:paraId="6158D2CC" w14:textId="77777777" w:rsidR="003F449C" w:rsidRPr="00417AF9" w:rsidRDefault="003F449C" w:rsidP="003F449C">
            <w:pPr>
              <w:pStyle w:val="TableTextRight"/>
              <w:keepNext/>
              <w:jc w:val="center"/>
            </w:pPr>
            <w:r>
              <w:t>3</w:t>
            </w:r>
          </w:p>
        </w:tc>
        <w:tc>
          <w:tcPr>
            <w:tcW w:w="625" w:type="pct"/>
            <w:vAlign w:val="center"/>
          </w:tcPr>
          <w:p w14:paraId="279BC217" w14:textId="77777777" w:rsidR="003F449C" w:rsidRPr="00417AF9" w:rsidRDefault="003F449C" w:rsidP="003F449C">
            <w:pPr>
              <w:pStyle w:val="TableTextRight"/>
              <w:keepNext/>
              <w:jc w:val="center"/>
            </w:pPr>
            <w:r>
              <w:t>4</w:t>
            </w:r>
          </w:p>
        </w:tc>
        <w:tc>
          <w:tcPr>
            <w:tcW w:w="341" w:type="pct"/>
            <w:vAlign w:val="center"/>
          </w:tcPr>
          <w:p w14:paraId="1D71A800" w14:textId="77777777" w:rsidR="003F449C" w:rsidRDefault="003F449C" w:rsidP="003F449C">
            <w:pPr>
              <w:pStyle w:val="TableTextRight"/>
              <w:keepNext/>
              <w:jc w:val="center"/>
            </w:pPr>
            <w:r>
              <w:t>24</w:t>
            </w:r>
          </w:p>
        </w:tc>
      </w:tr>
      <w:tr w:rsidR="003F449C" w:rsidRPr="00CD1826" w14:paraId="046664E9" w14:textId="77777777" w:rsidTr="003F449C">
        <w:trPr>
          <w:cnfStyle w:val="000000100000" w:firstRow="0" w:lastRow="0" w:firstColumn="0" w:lastColumn="0" w:oddVBand="0" w:evenVBand="0" w:oddHBand="1" w:evenHBand="0" w:firstRowFirstColumn="0" w:firstRowLastColumn="0" w:lastRowFirstColumn="0" w:lastRowLastColumn="0"/>
        </w:trPr>
        <w:tc>
          <w:tcPr>
            <w:tcW w:w="680" w:type="pct"/>
            <w:vAlign w:val="center"/>
          </w:tcPr>
          <w:p w14:paraId="33F16232" w14:textId="77777777" w:rsidR="003F449C" w:rsidRPr="003A1CBF" w:rsidRDefault="003F449C" w:rsidP="00BE5090">
            <w:pPr>
              <w:pStyle w:val="TableText"/>
              <w:keepNext/>
              <w:rPr>
                <w:b/>
              </w:rPr>
            </w:pPr>
            <w:r>
              <w:rPr>
                <w:b/>
              </w:rPr>
              <w:t>Supervisors</w:t>
            </w:r>
          </w:p>
        </w:tc>
        <w:tc>
          <w:tcPr>
            <w:tcW w:w="447" w:type="pct"/>
            <w:vAlign w:val="center"/>
          </w:tcPr>
          <w:p w14:paraId="4E50E8DC" w14:textId="77777777" w:rsidR="003F449C" w:rsidRPr="00417AF9" w:rsidRDefault="003F449C" w:rsidP="00BE5090">
            <w:pPr>
              <w:pStyle w:val="TableText"/>
              <w:keepNext/>
              <w:jc w:val="center"/>
              <w:rPr>
                <w:rStyle w:val="TableTextBold"/>
                <w:b w:val="0"/>
              </w:rPr>
            </w:pPr>
            <w:r w:rsidRPr="00417AF9">
              <w:rPr>
                <w:rStyle w:val="TableTextBold"/>
                <w:b w:val="0"/>
              </w:rPr>
              <w:t>1</w:t>
            </w:r>
          </w:p>
        </w:tc>
        <w:tc>
          <w:tcPr>
            <w:tcW w:w="508" w:type="pct"/>
            <w:vAlign w:val="center"/>
          </w:tcPr>
          <w:p w14:paraId="110231D1" w14:textId="77777777" w:rsidR="003F449C" w:rsidRPr="00417AF9" w:rsidRDefault="003F449C" w:rsidP="00BE5090">
            <w:pPr>
              <w:pStyle w:val="TableTextRight"/>
              <w:keepNext/>
              <w:jc w:val="center"/>
            </w:pPr>
            <w:r w:rsidRPr="00417AF9">
              <w:t>0</w:t>
            </w:r>
          </w:p>
        </w:tc>
        <w:tc>
          <w:tcPr>
            <w:tcW w:w="365" w:type="pct"/>
            <w:vAlign w:val="center"/>
          </w:tcPr>
          <w:p w14:paraId="1C3DD600" w14:textId="77777777" w:rsidR="003F449C" w:rsidRPr="00417AF9" w:rsidRDefault="003F449C" w:rsidP="00BE5090">
            <w:pPr>
              <w:pStyle w:val="TableTextRight"/>
              <w:keepNext/>
              <w:jc w:val="center"/>
            </w:pPr>
            <w:r>
              <w:t>1</w:t>
            </w:r>
          </w:p>
        </w:tc>
        <w:tc>
          <w:tcPr>
            <w:tcW w:w="564" w:type="pct"/>
            <w:vAlign w:val="center"/>
          </w:tcPr>
          <w:p w14:paraId="0B4784E3" w14:textId="77777777" w:rsidR="003F449C" w:rsidRPr="00417AF9" w:rsidRDefault="003F449C" w:rsidP="00BE5090">
            <w:pPr>
              <w:pStyle w:val="TableTextRight"/>
              <w:keepNext/>
              <w:jc w:val="center"/>
            </w:pPr>
            <w:r>
              <w:t>1</w:t>
            </w:r>
          </w:p>
        </w:tc>
        <w:tc>
          <w:tcPr>
            <w:tcW w:w="447" w:type="pct"/>
            <w:vAlign w:val="center"/>
          </w:tcPr>
          <w:p w14:paraId="51C1A57F" w14:textId="77777777" w:rsidR="003F449C" w:rsidRPr="00417AF9" w:rsidRDefault="003F449C" w:rsidP="00BE5090">
            <w:pPr>
              <w:pStyle w:val="TableTextRight"/>
              <w:keepNext/>
              <w:jc w:val="center"/>
            </w:pPr>
            <w:r>
              <w:t>1</w:t>
            </w:r>
          </w:p>
        </w:tc>
        <w:tc>
          <w:tcPr>
            <w:tcW w:w="631" w:type="pct"/>
            <w:vAlign w:val="center"/>
          </w:tcPr>
          <w:p w14:paraId="0CF6D959" w14:textId="77777777" w:rsidR="003F449C" w:rsidRPr="00417AF9" w:rsidRDefault="003F449C" w:rsidP="003F449C">
            <w:pPr>
              <w:pStyle w:val="TableTextRight"/>
              <w:keepNext/>
              <w:jc w:val="center"/>
            </w:pPr>
            <w:r>
              <w:t>0</w:t>
            </w:r>
          </w:p>
        </w:tc>
        <w:tc>
          <w:tcPr>
            <w:tcW w:w="391" w:type="pct"/>
          </w:tcPr>
          <w:p w14:paraId="74FCE77F" w14:textId="77777777" w:rsidR="003F449C" w:rsidRPr="00417AF9" w:rsidRDefault="003F449C" w:rsidP="003F449C">
            <w:pPr>
              <w:pStyle w:val="TableTextRight"/>
              <w:keepNext/>
              <w:jc w:val="center"/>
            </w:pPr>
            <w:r>
              <w:t>1</w:t>
            </w:r>
          </w:p>
        </w:tc>
        <w:tc>
          <w:tcPr>
            <w:tcW w:w="625" w:type="pct"/>
          </w:tcPr>
          <w:p w14:paraId="2549EDDF" w14:textId="77777777" w:rsidR="003F449C" w:rsidRPr="00417AF9" w:rsidRDefault="003F449C" w:rsidP="003F449C">
            <w:pPr>
              <w:pStyle w:val="TableTextRight"/>
              <w:keepNext/>
              <w:jc w:val="center"/>
            </w:pPr>
            <w:r>
              <w:t>1</w:t>
            </w:r>
          </w:p>
        </w:tc>
        <w:tc>
          <w:tcPr>
            <w:tcW w:w="341" w:type="pct"/>
            <w:vAlign w:val="center"/>
          </w:tcPr>
          <w:p w14:paraId="20374BDF" w14:textId="77777777" w:rsidR="003F449C" w:rsidRDefault="003F449C" w:rsidP="003F449C">
            <w:pPr>
              <w:pStyle w:val="TableTextRight"/>
              <w:keepNext/>
              <w:jc w:val="center"/>
            </w:pPr>
            <w:r>
              <w:t>6</w:t>
            </w:r>
          </w:p>
        </w:tc>
      </w:tr>
      <w:tr w:rsidR="003F449C" w:rsidRPr="00CD1826" w14:paraId="7E1E3364" w14:textId="77777777" w:rsidTr="003F449C">
        <w:tc>
          <w:tcPr>
            <w:tcW w:w="680" w:type="pct"/>
            <w:vAlign w:val="center"/>
          </w:tcPr>
          <w:p w14:paraId="6739E947" w14:textId="77777777" w:rsidR="003F449C" w:rsidRPr="003A1CBF" w:rsidRDefault="003F449C" w:rsidP="00417AF9">
            <w:pPr>
              <w:pStyle w:val="TableBullet"/>
            </w:pPr>
            <w:r>
              <w:t>Other</w:t>
            </w:r>
          </w:p>
        </w:tc>
        <w:tc>
          <w:tcPr>
            <w:tcW w:w="447" w:type="pct"/>
            <w:vAlign w:val="center"/>
          </w:tcPr>
          <w:p w14:paraId="33B73032" w14:textId="77777777" w:rsidR="003F449C" w:rsidRPr="00417AF9" w:rsidRDefault="003F449C" w:rsidP="00417AF9">
            <w:pPr>
              <w:pStyle w:val="TableBullet"/>
            </w:pPr>
            <w:r>
              <w:t>1 Cook</w:t>
            </w:r>
          </w:p>
        </w:tc>
        <w:tc>
          <w:tcPr>
            <w:tcW w:w="508" w:type="pct"/>
            <w:vAlign w:val="center"/>
          </w:tcPr>
          <w:p w14:paraId="15C0BB1E" w14:textId="77777777" w:rsidR="003F449C" w:rsidRPr="00417AF9" w:rsidRDefault="003F449C" w:rsidP="00417AF9">
            <w:pPr>
              <w:pStyle w:val="TableBullet"/>
              <w:rPr>
                <w:sz w:val="18"/>
                <w:szCs w:val="18"/>
              </w:rPr>
            </w:pPr>
            <w:r w:rsidRPr="00417AF9">
              <w:rPr>
                <w:sz w:val="18"/>
                <w:szCs w:val="18"/>
              </w:rPr>
              <w:t>1 ITM Consul</w:t>
            </w:r>
            <w:r w:rsidR="00CE0BBD">
              <w:rPr>
                <w:sz w:val="18"/>
                <w:szCs w:val="18"/>
              </w:rPr>
              <w:t>-</w:t>
            </w:r>
            <w:r w:rsidRPr="00417AF9">
              <w:rPr>
                <w:sz w:val="18"/>
                <w:szCs w:val="18"/>
              </w:rPr>
              <w:t>tant &amp; Trainer</w:t>
            </w:r>
          </w:p>
          <w:p w14:paraId="1DD73648" w14:textId="77777777" w:rsidR="003F449C" w:rsidRPr="00417AF9" w:rsidRDefault="003F449C" w:rsidP="00417AF9">
            <w:pPr>
              <w:pStyle w:val="TableBullet"/>
            </w:pPr>
            <w:r>
              <w:rPr>
                <w:sz w:val="18"/>
                <w:szCs w:val="18"/>
              </w:rPr>
              <w:t>1</w:t>
            </w:r>
            <w:r w:rsidRPr="00417AF9">
              <w:rPr>
                <w:sz w:val="18"/>
                <w:szCs w:val="18"/>
              </w:rPr>
              <w:t xml:space="preserve"> Central Office Transition Specialist</w:t>
            </w:r>
          </w:p>
        </w:tc>
        <w:tc>
          <w:tcPr>
            <w:tcW w:w="365" w:type="pct"/>
            <w:vAlign w:val="center"/>
          </w:tcPr>
          <w:p w14:paraId="644A2D77" w14:textId="77777777" w:rsidR="003F449C" w:rsidRPr="00417AF9" w:rsidRDefault="003F449C" w:rsidP="003F449C">
            <w:pPr>
              <w:pStyle w:val="TableBullet"/>
              <w:numPr>
                <w:ilvl w:val="0"/>
                <w:numId w:val="0"/>
              </w:numPr>
              <w:ind w:left="130"/>
            </w:pPr>
          </w:p>
        </w:tc>
        <w:tc>
          <w:tcPr>
            <w:tcW w:w="564" w:type="pct"/>
            <w:vAlign w:val="center"/>
          </w:tcPr>
          <w:p w14:paraId="0CBF08BF" w14:textId="77777777" w:rsidR="003F449C" w:rsidRPr="00417AF9" w:rsidRDefault="003F449C" w:rsidP="003F449C">
            <w:pPr>
              <w:pStyle w:val="TableBullet"/>
              <w:numPr>
                <w:ilvl w:val="0"/>
                <w:numId w:val="0"/>
              </w:numPr>
              <w:ind w:left="130"/>
            </w:pPr>
          </w:p>
        </w:tc>
        <w:tc>
          <w:tcPr>
            <w:tcW w:w="447" w:type="pct"/>
            <w:vAlign w:val="center"/>
          </w:tcPr>
          <w:p w14:paraId="17BF4B0D" w14:textId="77777777" w:rsidR="003F449C" w:rsidRPr="00417AF9" w:rsidRDefault="003F449C" w:rsidP="003F449C">
            <w:pPr>
              <w:pStyle w:val="TableBullet"/>
              <w:numPr>
                <w:ilvl w:val="0"/>
                <w:numId w:val="0"/>
              </w:numPr>
              <w:ind w:left="130"/>
            </w:pPr>
          </w:p>
        </w:tc>
        <w:tc>
          <w:tcPr>
            <w:tcW w:w="631" w:type="pct"/>
          </w:tcPr>
          <w:p w14:paraId="20AEE606" w14:textId="77777777" w:rsidR="003F449C" w:rsidRPr="00CE0BBD" w:rsidRDefault="003F449C" w:rsidP="003F449C">
            <w:pPr>
              <w:pStyle w:val="TableBullet"/>
              <w:rPr>
                <w:sz w:val="18"/>
                <w:szCs w:val="18"/>
              </w:rPr>
            </w:pPr>
            <w:r w:rsidRPr="00CE0BBD">
              <w:rPr>
                <w:sz w:val="18"/>
                <w:szCs w:val="18"/>
              </w:rPr>
              <w:t>1 ITM Consultant  &amp; Trainer</w:t>
            </w:r>
          </w:p>
        </w:tc>
        <w:tc>
          <w:tcPr>
            <w:tcW w:w="391" w:type="pct"/>
          </w:tcPr>
          <w:p w14:paraId="70BB45C6" w14:textId="77777777" w:rsidR="003F449C" w:rsidRPr="00CE0BBD" w:rsidRDefault="003F449C" w:rsidP="003F449C">
            <w:pPr>
              <w:pStyle w:val="TableBullet"/>
              <w:rPr>
                <w:sz w:val="18"/>
                <w:szCs w:val="18"/>
              </w:rPr>
            </w:pPr>
            <w:r w:rsidRPr="00CE0BBD">
              <w:rPr>
                <w:sz w:val="18"/>
                <w:szCs w:val="18"/>
              </w:rPr>
              <w:t>1 Cook</w:t>
            </w:r>
          </w:p>
        </w:tc>
        <w:tc>
          <w:tcPr>
            <w:tcW w:w="625" w:type="pct"/>
          </w:tcPr>
          <w:p w14:paraId="5B70B5B6" w14:textId="77777777" w:rsidR="003F449C" w:rsidRPr="00CE0BBD" w:rsidRDefault="003F449C" w:rsidP="003F449C">
            <w:pPr>
              <w:pStyle w:val="TableBullet"/>
              <w:rPr>
                <w:sz w:val="18"/>
                <w:szCs w:val="18"/>
              </w:rPr>
            </w:pPr>
            <w:r w:rsidRPr="00CE0BBD">
              <w:rPr>
                <w:sz w:val="18"/>
                <w:szCs w:val="18"/>
              </w:rPr>
              <w:t>1 Cook</w:t>
            </w:r>
          </w:p>
        </w:tc>
        <w:tc>
          <w:tcPr>
            <w:tcW w:w="341" w:type="pct"/>
            <w:vAlign w:val="center"/>
          </w:tcPr>
          <w:p w14:paraId="0DF7FFD4" w14:textId="77777777" w:rsidR="003F449C" w:rsidRPr="00CE0BBD" w:rsidRDefault="003F449C" w:rsidP="003F449C">
            <w:pPr>
              <w:pStyle w:val="TableBullet"/>
              <w:numPr>
                <w:ilvl w:val="0"/>
                <w:numId w:val="0"/>
              </w:numPr>
              <w:ind w:left="130"/>
              <w:jc w:val="center"/>
              <w:rPr>
                <w:sz w:val="18"/>
                <w:szCs w:val="18"/>
              </w:rPr>
            </w:pPr>
            <w:r w:rsidRPr="00CE0BBD">
              <w:rPr>
                <w:sz w:val="18"/>
                <w:szCs w:val="18"/>
              </w:rPr>
              <w:t>6</w:t>
            </w:r>
          </w:p>
        </w:tc>
      </w:tr>
      <w:tr w:rsidR="003F449C" w:rsidRPr="00CD1826" w14:paraId="3CCBE78D" w14:textId="77777777" w:rsidTr="003F449C">
        <w:trPr>
          <w:cnfStyle w:val="000000100000" w:firstRow="0" w:lastRow="0" w:firstColumn="0" w:lastColumn="0" w:oddVBand="0" w:evenVBand="0" w:oddHBand="1" w:evenHBand="0" w:firstRowFirstColumn="0" w:firstRowLastColumn="0" w:lastRowFirstColumn="0" w:lastRowLastColumn="0"/>
          <w:trHeight w:val="292"/>
        </w:trPr>
        <w:tc>
          <w:tcPr>
            <w:tcW w:w="680" w:type="pct"/>
            <w:shd w:val="clear" w:color="auto" w:fill="A6A6A6" w:themeFill="background1" w:themeFillShade="A6"/>
            <w:vAlign w:val="center"/>
          </w:tcPr>
          <w:p w14:paraId="67A67930" w14:textId="77777777" w:rsidR="003F449C" w:rsidRPr="008C5C58" w:rsidRDefault="003F449C" w:rsidP="003A1CBF">
            <w:pPr>
              <w:pStyle w:val="TableText"/>
              <w:rPr>
                <w:b/>
              </w:rPr>
            </w:pPr>
            <w:r w:rsidRPr="008C5C58">
              <w:rPr>
                <w:b/>
              </w:rPr>
              <w:t>TOTAL</w:t>
            </w:r>
          </w:p>
        </w:tc>
        <w:tc>
          <w:tcPr>
            <w:tcW w:w="447" w:type="pct"/>
            <w:shd w:val="clear" w:color="auto" w:fill="A6A6A6" w:themeFill="background1" w:themeFillShade="A6"/>
            <w:vAlign w:val="center"/>
          </w:tcPr>
          <w:p w14:paraId="78841BFF" w14:textId="77777777" w:rsidR="003F449C" w:rsidRPr="00CD1826" w:rsidRDefault="003F449C" w:rsidP="00BE5090">
            <w:pPr>
              <w:pStyle w:val="TableTextBoldCentered"/>
            </w:pPr>
          </w:p>
        </w:tc>
        <w:tc>
          <w:tcPr>
            <w:tcW w:w="508" w:type="pct"/>
            <w:shd w:val="clear" w:color="auto" w:fill="A6A6A6" w:themeFill="background1" w:themeFillShade="A6"/>
            <w:vAlign w:val="center"/>
          </w:tcPr>
          <w:p w14:paraId="7F33059C" w14:textId="77777777" w:rsidR="003F449C" w:rsidRPr="008C5C58" w:rsidRDefault="003F449C" w:rsidP="00BE5090">
            <w:pPr>
              <w:pStyle w:val="TableText"/>
              <w:jc w:val="center"/>
              <w:rPr>
                <w:b/>
              </w:rPr>
            </w:pPr>
          </w:p>
        </w:tc>
        <w:tc>
          <w:tcPr>
            <w:tcW w:w="365" w:type="pct"/>
            <w:shd w:val="clear" w:color="auto" w:fill="A6A6A6" w:themeFill="background1" w:themeFillShade="A6"/>
            <w:vAlign w:val="center"/>
          </w:tcPr>
          <w:p w14:paraId="636B3B2A" w14:textId="77777777" w:rsidR="003F449C" w:rsidRPr="008C5C58" w:rsidRDefault="003F449C" w:rsidP="00BE5090">
            <w:pPr>
              <w:pStyle w:val="TableText"/>
              <w:jc w:val="center"/>
              <w:rPr>
                <w:b/>
              </w:rPr>
            </w:pPr>
          </w:p>
        </w:tc>
        <w:tc>
          <w:tcPr>
            <w:tcW w:w="564" w:type="pct"/>
            <w:shd w:val="clear" w:color="auto" w:fill="A6A6A6" w:themeFill="background1" w:themeFillShade="A6"/>
            <w:vAlign w:val="center"/>
          </w:tcPr>
          <w:p w14:paraId="23C9A016" w14:textId="77777777" w:rsidR="003F449C" w:rsidRPr="0078579D" w:rsidRDefault="003F449C" w:rsidP="00BE5090">
            <w:pPr>
              <w:pStyle w:val="TableText"/>
              <w:jc w:val="center"/>
              <w:rPr>
                <w:b/>
              </w:rPr>
            </w:pPr>
          </w:p>
        </w:tc>
        <w:tc>
          <w:tcPr>
            <w:tcW w:w="447" w:type="pct"/>
            <w:shd w:val="clear" w:color="auto" w:fill="A6A6A6" w:themeFill="background1" w:themeFillShade="A6"/>
          </w:tcPr>
          <w:p w14:paraId="090F4011" w14:textId="77777777" w:rsidR="003F449C" w:rsidRPr="008C5C58" w:rsidRDefault="003F449C" w:rsidP="003F449C">
            <w:pPr>
              <w:pStyle w:val="TableText"/>
              <w:rPr>
                <w:b/>
              </w:rPr>
            </w:pPr>
          </w:p>
        </w:tc>
        <w:tc>
          <w:tcPr>
            <w:tcW w:w="631" w:type="pct"/>
            <w:shd w:val="clear" w:color="auto" w:fill="A6A6A6" w:themeFill="background1" w:themeFillShade="A6"/>
            <w:vAlign w:val="center"/>
          </w:tcPr>
          <w:p w14:paraId="29197803" w14:textId="77777777" w:rsidR="003F449C" w:rsidRPr="008C5C58" w:rsidRDefault="003F449C" w:rsidP="00BE5090">
            <w:pPr>
              <w:pStyle w:val="TableText"/>
              <w:jc w:val="center"/>
              <w:rPr>
                <w:b/>
              </w:rPr>
            </w:pPr>
          </w:p>
        </w:tc>
        <w:tc>
          <w:tcPr>
            <w:tcW w:w="391" w:type="pct"/>
            <w:shd w:val="clear" w:color="auto" w:fill="A6A6A6" w:themeFill="background1" w:themeFillShade="A6"/>
          </w:tcPr>
          <w:p w14:paraId="511DC888" w14:textId="77777777" w:rsidR="003F449C" w:rsidRDefault="003F449C" w:rsidP="00BE5090">
            <w:pPr>
              <w:pStyle w:val="TableText"/>
              <w:jc w:val="center"/>
              <w:rPr>
                <w:b/>
              </w:rPr>
            </w:pPr>
          </w:p>
        </w:tc>
        <w:tc>
          <w:tcPr>
            <w:tcW w:w="625" w:type="pct"/>
            <w:shd w:val="clear" w:color="auto" w:fill="A6A6A6" w:themeFill="background1" w:themeFillShade="A6"/>
          </w:tcPr>
          <w:p w14:paraId="7EA2E125" w14:textId="77777777" w:rsidR="003F449C" w:rsidRDefault="003F449C" w:rsidP="00BE5090">
            <w:pPr>
              <w:pStyle w:val="TableText"/>
              <w:jc w:val="center"/>
              <w:rPr>
                <w:b/>
              </w:rPr>
            </w:pPr>
          </w:p>
        </w:tc>
        <w:tc>
          <w:tcPr>
            <w:tcW w:w="341" w:type="pct"/>
            <w:shd w:val="clear" w:color="auto" w:fill="A6A6A6" w:themeFill="background1" w:themeFillShade="A6"/>
          </w:tcPr>
          <w:p w14:paraId="49A43D2E" w14:textId="77777777" w:rsidR="003F449C" w:rsidRDefault="003F449C" w:rsidP="00BE5090">
            <w:pPr>
              <w:pStyle w:val="TableText"/>
              <w:jc w:val="center"/>
              <w:rPr>
                <w:b/>
              </w:rPr>
            </w:pPr>
            <w:r>
              <w:rPr>
                <w:b/>
              </w:rPr>
              <w:t>79</w:t>
            </w:r>
          </w:p>
        </w:tc>
      </w:tr>
    </w:tbl>
    <w:p w14:paraId="757EDDE4" w14:textId="77777777" w:rsidR="00BE5090" w:rsidRDefault="00BE5090" w:rsidP="00BE5090">
      <w:r>
        <w:t xml:space="preserve">We also interviewed the two JR </w:t>
      </w:r>
      <w:r w:rsidR="00EA6D21">
        <w:t xml:space="preserve">Regional Administrators </w:t>
      </w:r>
      <w:r>
        <w:t xml:space="preserve">who </w:t>
      </w:r>
      <w:r w:rsidR="00EA6D21">
        <w:t xml:space="preserve">oversee the community facilities and </w:t>
      </w:r>
      <w:r>
        <w:t xml:space="preserve">provided an overview of the aftercare and reentry services provided to youth leaving JR facilities; </w:t>
      </w:r>
      <w:r w:rsidR="00716021">
        <w:t xml:space="preserve">The RA Clinical Director </w:t>
      </w:r>
      <w:r>
        <w:t xml:space="preserve">who provided information and feedback on implementation of </w:t>
      </w:r>
      <w:r w:rsidR="008C0316">
        <w:t xml:space="preserve">Dialectical </w:t>
      </w:r>
      <w:r w:rsidR="00EA6D21">
        <w:t xml:space="preserve">Behavior </w:t>
      </w:r>
      <w:r w:rsidR="008C0316">
        <w:t>Therapy (DBT)</w:t>
      </w:r>
      <w:r>
        <w:t xml:space="preserve"> and required training; and two leaders from the Services and Enterprise Support Administration (SESA)</w:t>
      </w:r>
      <w:r w:rsidR="00716021">
        <w:t xml:space="preserve"> who work in the Human Resources Division </w:t>
      </w:r>
      <w:r>
        <w:t>who provide</w:t>
      </w:r>
      <w:r w:rsidR="00716021">
        <w:t>d</w:t>
      </w:r>
      <w:r>
        <w:t xml:space="preserve"> information on recruitment and selection support provided to JR</w:t>
      </w:r>
      <w:r w:rsidR="00D93C87">
        <w:t>.</w:t>
      </w:r>
    </w:p>
    <w:p w14:paraId="1F137395" w14:textId="77777777" w:rsidR="00BE5090" w:rsidRDefault="00BE5090" w:rsidP="00F42D48">
      <w:pPr>
        <w:pStyle w:val="Heading2"/>
      </w:pPr>
      <w:bookmarkStart w:id="119" w:name="_Toc531597549"/>
      <w:r>
        <w:t>Staff Surveys</w:t>
      </w:r>
      <w:bookmarkEnd w:id="119"/>
    </w:p>
    <w:p w14:paraId="4845E96E" w14:textId="77777777" w:rsidR="00BE5090" w:rsidRPr="00C1124B" w:rsidRDefault="00BE5090" w:rsidP="00BE5090">
      <w:r>
        <w:t xml:space="preserve">We conducted a </w:t>
      </w:r>
      <w:r w:rsidR="00E251C1">
        <w:t>s</w:t>
      </w:r>
      <w:r>
        <w:t xml:space="preserve">taff </w:t>
      </w:r>
      <w:r w:rsidR="00E251C1">
        <w:t>s</w:t>
      </w:r>
      <w:r>
        <w:t xml:space="preserve">urvey among </w:t>
      </w:r>
      <w:r w:rsidRPr="00E35BEC">
        <w:rPr>
          <w:iCs/>
          <w:color w:val="212121"/>
        </w:rPr>
        <w:t>Juvenile Rehabilitation Residential Counselors (JRRCs), Juvenile Rehabilitation Counselor Assistants (JRCAs), and Juvenile Rehabilitation Security Officers (JRSOs) including on-call JRSOs</w:t>
      </w:r>
      <w:r>
        <w:rPr>
          <w:iCs/>
          <w:color w:val="212121"/>
        </w:rPr>
        <w:t xml:space="preserve"> of the 11 facilities (direct services staff).</w:t>
      </w:r>
      <w:r w:rsidRPr="00E35BEC">
        <w:rPr>
          <w:iCs/>
          <w:color w:val="212121"/>
        </w:rPr>
        <w:t xml:space="preserve"> </w:t>
      </w:r>
      <w:r>
        <w:rPr>
          <w:iCs/>
          <w:color w:val="212121"/>
        </w:rPr>
        <w:t xml:space="preserve">A link to the survey was sent to all staff in early July 2018, and staff had 17 days to complete the survey. </w:t>
      </w:r>
      <w:r w:rsidRPr="00E35BEC">
        <w:rPr>
          <w:iCs/>
          <w:color w:val="212121"/>
        </w:rPr>
        <w:t>JR staff pr</w:t>
      </w:r>
      <w:r w:rsidR="00417AF9">
        <w:rPr>
          <w:iCs/>
          <w:color w:val="212121"/>
        </w:rPr>
        <w:t>ovided an</w:t>
      </w:r>
      <w:r w:rsidRPr="00E35BEC">
        <w:rPr>
          <w:iCs/>
          <w:color w:val="212121"/>
        </w:rPr>
        <w:t xml:space="preserve"> e-mails list for each facility</w:t>
      </w:r>
      <w:r>
        <w:rPr>
          <w:iCs/>
          <w:color w:val="212121"/>
        </w:rPr>
        <w:t xml:space="preserve"> and representatives at each facility validated the list</w:t>
      </w:r>
      <w:r w:rsidR="004C75A6">
        <w:rPr>
          <w:iCs/>
          <w:color w:val="212121"/>
        </w:rPr>
        <w:t xml:space="preserve">. </w:t>
      </w:r>
    </w:p>
    <w:p w14:paraId="3D18F3AF" w14:textId="77777777" w:rsidR="00BE5090" w:rsidRPr="00B00EB4" w:rsidRDefault="00BE5090" w:rsidP="00B00EB4">
      <w:pPr>
        <w:pStyle w:val="Heading3"/>
        <w:numPr>
          <w:ilvl w:val="2"/>
          <w:numId w:val="42"/>
        </w:numPr>
        <w:ind w:left="720"/>
      </w:pPr>
      <w:bookmarkStart w:id="120" w:name="_Toc531597550"/>
      <w:r w:rsidRPr="00B00EB4">
        <w:t>Staff Survey</w:t>
      </w:r>
      <w:bookmarkEnd w:id="120"/>
      <w:r w:rsidRPr="00B00EB4">
        <w:t xml:space="preserve"> </w:t>
      </w:r>
    </w:p>
    <w:p w14:paraId="0149486F" w14:textId="77777777" w:rsidR="00BE5090" w:rsidRDefault="00BE5090" w:rsidP="00BE5090">
      <w:pPr>
        <w:rPr>
          <w:iCs/>
          <w:color w:val="212121"/>
        </w:rPr>
      </w:pPr>
      <w:r w:rsidRPr="00E35BEC">
        <w:rPr>
          <w:iCs/>
          <w:color w:val="212121"/>
        </w:rPr>
        <w:t xml:space="preserve">In order to maintain anonymity to reinforce participation, staff were informed in the introduction page that individual responses would be aggregated to balance meaningful insights while preserving confidentiality. </w:t>
      </w:r>
      <w:r>
        <w:rPr>
          <w:iCs/>
          <w:color w:val="212121"/>
        </w:rPr>
        <w:t xml:space="preserve">The </w:t>
      </w:r>
      <w:r w:rsidR="00E251C1">
        <w:rPr>
          <w:iCs/>
          <w:color w:val="212121"/>
        </w:rPr>
        <w:t>staff survey</w:t>
      </w:r>
      <w:r>
        <w:rPr>
          <w:iCs/>
          <w:color w:val="212121"/>
        </w:rPr>
        <w:t xml:space="preserve"> questions obtained information from direct services staff about caseloads, the amount of time spent on fulfilling key responsibilities (e.g., individual counseling, “on-site milieu management, and off-campus transports), frequency of mandatory shift holdovers, and overtime. The survey also obtained information about recruitment practices, training, and key indicators related to staff turnover and retention. The turnover and retention indicators included compensation, opportunities for advancement, leadership and supervision, work/life balance, youth, co-workers, meaningful impact, and safety.</w:t>
      </w:r>
    </w:p>
    <w:p w14:paraId="736C8537" w14:textId="77777777" w:rsidR="00BE5090" w:rsidRPr="00B25580" w:rsidRDefault="00BE5090" w:rsidP="00193F5F">
      <w:pPr>
        <w:rPr>
          <w:b/>
          <w:color w:val="008000"/>
        </w:rPr>
      </w:pPr>
      <w:r w:rsidRPr="00D61EAB">
        <w:t xml:space="preserve">Of the 347 direct services staff that were sent surveys at the three institutions, 152 completed surveys that were used for this analysis, for an overall response rate by staff of the institutions of 43.8%. Of the 112 staff at the community facilities who received surveys, 40 completed surveys </w:t>
      </w:r>
      <w:r w:rsidRPr="00D61EAB">
        <w:lastRenderedPageBreak/>
        <w:t xml:space="preserve">for a response rate of 35.7%. </w:t>
      </w:r>
      <w:r w:rsidR="005F0D3D" w:rsidRPr="00D61EAB">
        <w:t xml:space="preserve">Exhibit </w:t>
      </w:r>
      <w:r w:rsidR="00DC48AB">
        <w:t>8</w:t>
      </w:r>
      <w:r w:rsidR="005F0D3D" w:rsidRPr="00D61EAB">
        <w:t>-3</w:t>
      </w:r>
      <w:r w:rsidRPr="00D61EAB">
        <w:t xml:space="preserve"> provides the response rates for each of the three institutions and the eight community facilities combined</w:t>
      </w:r>
      <w:r w:rsidR="004C75A6" w:rsidRPr="00D61EAB">
        <w:t>.</w:t>
      </w:r>
      <w:r w:rsidR="004C75A6">
        <w:t xml:space="preserve"> </w:t>
      </w:r>
    </w:p>
    <w:p w14:paraId="253F8658" w14:textId="77777777" w:rsidR="00BE5090" w:rsidRDefault="005F0D3D" w:rsidP="005F0D3D">
      <w:pPr>
        <w:pStyle w:val="Caption"/>
      </w:pPr>
      <w:r>
        <w:t xml:space="preserve">Exhibit </w:t>
      </w:r>
      <w:r w:rsidR="00DC48AB">
        <w:rPr>
          <w:noProof/>
        </w:rPr>
        <w:t>8</w:t>
      </w:r>
      <w:r>
        <w:noBreakHyphen/>
      </w:r>
      <w:r w:rsidR="00EC62E5">
        <w:rPr>
          <w:noProof/>
        </w:rPr>
        <w:fldChar w:fldCharType="begin"/>
      </w:r>
      <w:r w:rsidR="00EC62E5">
        <w:rPr>
          <w:noProof/>
        </w:rPr>
        <w:instrText xml:space="preserve"> SEQ Exhibit \* ARABIC \s 1 </w:instrText>
      </w:r>
      <w:r w:rsidR="00EC62E5">
        <w:rPr>
          <w:noProof/>
        </w:rPr>
        <w:fldChar w:fldCharType="separate"/>
      </w:r>
      <w:r w:rsidR="00FD2536">
        <w:rPr>
          <w:noProof/>
        </w:rPr>
        <w:t>3</w:t>
      </w:r>
      <w:r w:rsidR="00EC62E5">
        <w:rPr>
          <w:noProof/>
        </w:rPr>
        <w:fldChar w:fldCharType="end"/>
      </w:r>
      <w:r w:rsidR="00E251C1">
        <w:t>.</w:t>
      </w:r>
      <w:r>
        <w:t xml:space="preserve"> </w:t>
      </w:r>
      <w:r w:rsidR="00BE5090">
        <w:t xml:space="preserve">Staff Survey, Respondents by Facility </w:t>
      </w:r>
    </w:p>
    <w:tbl>
      <w:tblPr>
        <w:tblStyle w:val="HyzerTable"/>
        <w:tblW w:w="5000" w:type="pct"/>
        <w:tblLook w:val="0420" w:firstRow="1" w:lastRow="0" w:firstColumn="0" w:lastColumn="0" w:noHBand="0" w:noVBand="1"/>
      </w:tblPr>
      <w:tblGrid>
        <w:gridCol w:w="3120"/>
        <w:gridCol w:w="1846"/>
        <w:gridCol w:w="1846"/>
        <w:gridCol w:w="1275"/>
        <w:gridCol w:w="1273"/>
      </w:tblGrid>
      <w:tr w:rsidR="00BE5090" w:rsidRPr="00CD1826" w14:paraId="53698DFF" w14:textId="77777777" w:rsidTr="00D61EAB">
        <w:trPr>
          <w:cnfStyle w:val="100000000000" w:firstRow="1" w:lastRow="0" w:firstColumn="0" w:lastColumn="0" w:oddVBand="0" w:evenVBand="0" w:oddHBand="0" w:evenHBand="0" w:firstRowFirstColumn="0" w:firstRowLastColumn="0" w:lastRowFirstColumn="0" w:lastRowLastColumn="0"/>
        </w:trPr>
        <w:tc>
          <w:tcPr>
            <w:tcW w:w="1667" w:type="pct"/>
          </w:tcPr>
          <w:p w14:paraId="1111AAA0" w14:textId="77777777" w:rsidR="00BE5090" w:rsidRPr="00FA536F" w:rsidRDefault="00BE5090" w:rsidP="00BE5090">
            <w:pPr>
              <w:pStyle w:val="tableheaderwhite"/>
              <w:keepNext/>
              <w:spacing w:before="40" w:after="40"/>
              <w:rPr>
                <w:sz w:val="22"/>
              </w:rPr>
            </w:pPr>
            <w:r w:rsidRPr="1FF1B213">
              <w:rPr>
                <w:sz w:val="22"/>
                <w:szCs w:val="22"/>
              </w:rPr>
              <w:t>Facility</w:t>
            </w:r>
          </w:p>
        </w:tc>
        <w:tc>
          <w:tcPr>
            <w:tcW w:w="986" w:type="pct"/>
          </w:tcPr>
          <w:p w14:paraId="6DCB68A1" w14:textId="77777777" w:rsidR="00BE5090" w:rsidRPr="00FA536F" w:rsidRDefault="00BE5090" w:rsidP="00BE5090">
            <w:pPr>
              <w:pStyle w:val="tableheaderwhite"/>
              <w:keepNext/>
              <w:spacing w:before="40" w:after="40"/>
              <w:rPr>
                <w:sz w:val="22"/>
              </w:rPr>
            </w:pPr>
            <w:r w:rsidRPr="1FF1B213">
              <w:rPr>
                <w:sz w:val="22"/>
                <w:szCs w:val="22"/>
              </w:rPr>
              <w:t xml:space="preserve">Total Number of Staff </w:t>
            </w:r>
          </w:p>
        </w:tc>
        <w:tc>
          <w:tcPr>
            <w:tcW w:w="986" w:type="pct"/>
          </w:tcPr>
          <w:p w14:paraId="2F79E4A5" w14:textId="77777777" w:rsidR="00BE5090" w:rsidRPr="00FA536F" w:rsidRDefault="00BE5090" w:rsidP="00BE5090">
            <w:pPr>
              <w:pStyle w:val="tableheaderwhite"/>
              <w:keepNext/>
              <w:spacing w:before="40" w:after="40"/>
              <w:rPr>
                <w:sz w:val="22"/>
              </w:rPr>
            </w:pPr>
            <w:r w:rsidRPr="1FF1B213">
              <w:rPr>
                <w:sz w:val="22"/>
                <w:szCs w:val="22"/>
              </w:rPr>
              <w:t>Number of Respondents</w:t>
            </w:r>
          </w:p>
        </w:tc>
        <w:tc>
          <w:tcPr>
            <w:tcW w:w="681" w:type="pct"/>
          </w:tcPr>
          <w:p w14:paraId="72456707" w14:textId="77777777" w:rsidR="00BE5090" w:rsidRPr="00FA536F" w:rsidRDefault="00BE5090" w:rsidP="00BE5090">
            <w:pPr>
              <w:pStyle w:val="tableheaderwhite"/>
              <w:keepNext/>
              <w:spacing w:before="40" w:after="40"/>
              <w:rPr>
                <w:sz w:val="22"/>
              </w:rPr>
            </w:pPr>
            <w:r w:rsidRPr="1FF1B213">
              <w:rPr>
                <w:sz w:val="22"/>
                <w:szCs w:val="22"/>
              </w:rPr>
              <w:t>Response Rate</w:t>
            </w:r>
          </w:p>
        </w:tc>
        <w:tc>
          <w:tcPr>
            <w:tcW w:w="681" w:type="pct"/>
          </w:tcPr>
          <w:p w14:paraId="6B8E769E" w14:textId="77777777" w:rsidR="00BE5090" w:rsidRPr="00FA536F" w:rsidRDefault="00BE5090" w:rsidP="00BE5090">
            <w:pPr>
              <w:pStyle w:val="tableheaderwhite"/>
              <w:keepNext/>
              <w:spacing w:before="40" w:after="40"/>
              <w:rPr>
                <w:sz w:val="22"/>
              </w:rPr>
            </w:pPr>
            <w:r w:rsidRPr="1FF1B213">
              <w:rPr>
                <w:sz w:val="22"/>
                <w:szCs w:val="22"/>
              </w:rPr>
              <w:t xml:space="preserve">Confidence </w:t>
            </w:r>
            <w:r w:rsidR="00387924">
              <w:rPr>
                <w:sz w:val="22"/>
                <w:szCs w:val="22"/>
              </w:rPr>
              <w:t>Interval</w:t>
            </w:r>
            <w:r w:rsidRPr="1FF1B213">
              <w:rPr>
                <w:sz w:val="22"/>
                <w:szCs w:val="22"/>
              </w:rPr>
              <w:t xml:space="preserve"> </w:t>
            </w:r>
          </w:p>
        </w:tc>
      </w:tr>
      <w:tr w:rsidR="00BE5090" w:rsidRPr="00CD1826" w14:paraId="7C8F1221" w14:textId="77777777" w:rsidTr="00D61EAB">
        <w:trPr>
          <w:cnfStyle w:val="000000100000" w:firstRow="0" w:lastRow="0" w:firstColumn="0" w:lastColumn="0" w:oddVBand="0" w:evenVBand="0" w:oddHBand="1" w:evenHBand="0" w:firstRowFirstColumn="0" w:firstRowLastColumn="0" w:lastRowFirstColumn="0" w:lastRowLastColumn="0"/>
        </w:trPr>
        <w:tc>
          <w:tcPr>
            <w:tcW w:w="1667" w:type="pct"/>
          </w:tcPr>
          <w:p w14:paraId="1379608F" w14:textId="77777777" w:rsidR="00BE5090" w:rsidRPr="00271225" w:rsidRDefault="00BE5090" w:rsidP="00BE5090">
            <w:pPr>
              <w:pStyle w:val="TableBullet"/>
              <w:numPr>
                <w:ilvl w:val="0"/>
                <w:numId w:val="0"/>
              </w:numPr>
            </w:pPr>
            <w:r w:rsidRPr="00271225">
              <w:t>Echo Glen</w:t>
            </w:r>
          </w:p>
        </w:tc>
        <w:tc>
          <w:tcPr>
            <w:tcW w:w="986" w:type="pct"/>
            <w:vAlign w:val="bottom"/>
          </w:tcPr>
          <w:p w14:paraId="3279F729" w14:textId="77777777" w:rsidR="00BE5090" w:rsidRDefault="00BE5090" w:rsidP="00BE5090">
            <w:pPr>
              <w:pStyle w:val="TableText"/>
              <w:keepNext/>
              <w:jc w:val="center"/>
            </w:pPr>
            <w:r>
              <w:t>121</w:t>
            </w:r>
          </w:p>
        </w:tc>
        <w:tc>
          <w:tcPr>
            <w:tcW w:w="986" w:type="pct"/>
            <w:vAlign w:val="bottom"/>
          </w:tcPr>
          <w:p w14:paraId="0C0BB5FE" w14:textId="77777777" w:rsidR="00BE5090" w:rsidRDefault="00BE5090" w:rsidP="00BE5090">
            <w:pPr>
              <w:pStyle w:val="TableText"/>
              <w:keepNext/>
              <w:jc w:val="center"/>
            </w:pPr>
            <w:r>
              <w:t>42</w:t>
            </w:r>
          </w:p>
        </w:tc>
        <w:tc>
          <w:tcPr>
            <w:tcW w:w="681" w:type="pct"/>
            <w:vAlign w:val="bottom"/>
          </w:tcPr>
          <w:p w14:paraId="38517970" w14:textId="77777777" w:rsidR="00BE5090" w:rsidRDefault="00BE5090" w:rsidP="00BE5090">
            <w:pPr>
              <w:pStyle w:val="TableText"/>
              <w:keepNext/>
              <w:jc w:val="center"/>
            </w:pPr>
            <w:r>
              <w:t>34.7%</w:t>
            </w:r>
          </w:p>
        </w:tc>
        <w:tc>
          <w:tcPr>
            <w:tcW w:w="681" w:type="pct"/>
          </w:tcPr>
          <w:p w14:paraId="28AC7EF4" w14:textId="77777777" w:rsidR="00BE5090" w:rsidRDefault="00BE5090" w:rsidP="00BE5090">
            <w:pPr>
              <w:pStyle w:val="TableText"/>
              <w:keepNext/>
              <w:jc w:val="center"/>
            </w:pPr>
            <w:r>
              <w:t>90%</w:t>
            </w:r>
          </w:p>
        </w:tc>
      </w:tr>
      <w:tr w:rsidR="00BE5090" w:rsidRPr="00CD1826" w14:paraId="2FE68D13" w14:textId="77777777" w:rsidTr="00D61EAB">
        <w:tc>
          <w:tcPr>
            <w:tcW w:w="1667" w:type="pct"/>
          </w:tcPr>
          <w:p w14:paraId="17B784BC" w14:textId="77777777" w:rsidR="00BE5090" w:rsidRPr="00271225" w:rsidRDefault="00BE5090" w:rsidP="00BE5090">
            <w:pPr>
              <w:pStyle w:val="TableBullet"/>
              <w:numPr>
                <w:ilvl w:val="0"/>
                <w:numId w:val="0"/>
              </w:numPr>
            </w:pPr>
            <w:r w:rsidRPr="00271225">
              <w:t>Green Hill</w:t>
            </w:r>
          </w:p>
        </w:tc>
        <w:tc>
          <w:tcPr>
            <w:tcW w:w="986" w:type="pct"/>
            <w:vAlign w:val="bottom"/>
          </w:tcPr>
          <w:p w14:paraId="766BE6CD" w14:textId="77777777" w:rsidR="00BE5090" w:rsidRPr="00044201" w:rsidRDefault="00BE5090" w:rsidP="00BE5090">
            <w:pPr>
              <w:pStyle w:val="TableText"/>
              <w:keepNext/>
              <w:jc w:val="center"/>
              <w:rPr>
                <w:b/>
              </w:rPr>
            </w:pPr>
            <w:r>
              <w:t>174</w:t>
            </w:r>
          </w:p>
        </w:tc>
        <w:tc>
          <w:tcPr>
            <w:tcW w:w="986" w:type="pct"/>
            <w:vAlign w:val="bottom"/>
          </w:tcPr>
          <w:p w14:paraId="248243C1" w14:textId="77777777" w:rsidR="00BE5090" w:rsidRPr="00044201" w:rsidRDefault="00BE5090" w:rsidP="00BE5090">
            <w:pPr>
              <w:pStyle w:val="TableText"/>
              <w:keepNext/>
              <w:jc w:val="center"/>
              <w:rPr>
                <w:b/>
              </w:rPr>
            </w:pPr>
            <w:r>
              <w:t>74</w:t>
            </w:r>
          </w:p>
        </w:tc>
        <w:tc>
          <w:tcPr>
            <w:tcW w:w="681" w:type="pct"/>
            <w:vAlign w:val="bottom"/>
          </w:tcPr>
          <w:p w14:paraId="346E1190" w14:textId="77777777" w:rsidR="00BE5090" w:rsidRPr="00044201" w:rsidRDefault="00BE5090" w:rsidP="00BE5090">
            <w:pPr>
              <w:pStyle w:val="TableText"/>
              <w:keepNext/>
              <w:jc w:val="center"/>
              <w:rPr>
                <w:b/>
              </w:rPr>
            </w:pPr>
            <w:r>
              <w:t>42.5%</w:t>
            </w:r>
          </w:p>
        </w:tc>
        <w:tc>
          <w:tcPr>
            <w:tcW w:w="681" w:type="pct"/>
          </w:tcPr>
          <w:p w14:paraId="7DA4A1F7" w14:textId="77777777" w:rsidR="00BE5090" w:rsidRDefault="00BE5090" w:rsidP="00BE5090">
            <w:pPr>
              <w:pStyle w:val="TableText"/>
              <w:keepNext/>
              <w:jc w:val="center"/>
            </w:pPr>
            <w:r>
              <w:t>95%</w:t>
            </w:r>
          </w:p>
        </w:tc>
      </w:tr>
      <w:tr w:rsidR="00BE5090" w:rsidRPr="00F52EBF" w14:paraId="3DCAAB84" w14:textId="77777777" w:rsidTr="00D61EAB">
        <w:trPr>
          <w:cnfStyle w:val="000000100000" w:firstRow="0" w:lastRow="0" w:firstColumn="0" w:lastColumn="0" w:oddVBand="0" w:evenVBand="0" w:oddHBand="1" w:evenHBand="0" w:firstRowFirstColumn="0" w:firstRowLastColumn="0" w:lastRowFirstColumn="0" w:lastRowLastColumn="0"/>
        </w:trPr>
        <w:tc>
          <w:tcPr>
            <w:tcW w:w="1667" w:type="pct"/>
          </w:tcPr>
          <w:p w14:paraId="3ABECD9F" w14:textId="77777777" w:rsidR="00BE5090" w:rsidRPr="00271225" w:rsidRDefault="00BE5090" w:rsidP="00BE5090">
            <w:pPr>
              <w:pStyle w:val="TableText"/>
            </w:pPr>
            <w:r w:rsidRPr="00271225">
              <w:t>Naselle</w:t>
            </w:r>
          </w:p>
        </w:tc>
        <w:tc>
          <w:tcPr>
            <w:tcW w:w="986" w:type="pct"/>
            <w:vAlign w:val="bottom"/>
          </w:tcPr>
          <w:p w14:paraId="44E31DAF" w14:textId="77777777" w:rsidR="00BE5090" w:rsidRPr="00044201" w:rsidRDefault="00BE5090" w:rsidP="00BE5090">
            <w:pPr>
              <w:pStyle w:val="TableText"/>
              <w:jc w:val="center"/>
            </w:pPr>
            <w:r>
              <w:t>52</w:t>
            </w:r>
          </w:p>
        </w:tc>
        <w:tc>
          <w:tcPr>
            <w:tcW w:w="986" w:type="pct"/>
            <w:vAlign w:val="bottom"/>
          </w:tcPr>
          <w:p w14:paraId="57F6A301" w14:textId="77777777" w:rsidR="00BE5090" w:rsidRPr="00044201" w:rsidRDefault="00BE5090" w:rsidP="00BE5090">
            <w:pPr>
              <w:pStyle w:val="TableText"/>
              <w:jc w:val="center"/>
            </w:pPr>
            <w:r>
              <w:t>36</w:t>
            </w:r>
          </w:p>
        </w:tc>
        <w:tc>
          <w:tcPr>
            <w:tcW w:w="681" w:type="pct"/>
            <w:vAlign w:val="bottom"/>
          </w:tcPr>
          <w:p w14:paraId="2BD854CD" w14:textId="77777777" w:rsidR="00BE5090" w:rsidRPr="00044201" w:rsidRDefault="00BE5090" w:rsidP="00BE5090">
            <w:pPr>
              <w:pStyle w:val="TableText"/>
              <w:jc w:val="center"/>
            </w:pPr>
            <w:r>
              <w:t>69.2%</w:t>
            </w:r>
          </w:p>
        </w:tc>
        <w:tc>
          <w:tcPr>
            <w:tcW w:w="681" w:type="pct"/>
          </w:tcPr>
          <w:p w14:paraId="253A047B" w14:textId="77777777" w:rsidR="00BE5090" w:rsidRDefault="00BE5090" w:rsidP="00BE5090">
            <w:pPr>
              <w:pStyle w:val="TableText"/>
              <w:jc w:val="center"/>
            </w:pPr>
            <w:r>
              <w:t>95%</w:t>
            </w:r>
          </w:p>
        </w:tc>
      </w:tr>
      <w:tr w:rsidR="00BE5090" w:rsidRPr="00CD1826" w14:paraId="0403EE46" w14:textId="77777777" w:rsidTr="00D61EAB">
        <w:tc>
          <w:tcPr>
            <w:tcW w:w="1667" w:type="pct"/>
          </w:tcPr>
          <w:p w14:paraId="2322AFB6" w14:textId="77777777" w:rsidR="00BE5090" w:rsidRPr="00271225" w:rsidRDefault="00BE5090" w:rsidP="00BE5090">
            <w:pPr>
              <w:pStyle w:val="TableText"/>
            </w:pPr>
            <w:r w:rsidRPr="00271225">
              <w:t xml:space="preserve">JR Community Facilities </w:t>
            </w:r>
          </w:p>
        </w:tc>
        <w:tc>
          <w:tcPr>
            <w:tcW w:w="986" w:type="pct"/>
            <w:vAlign w:val="bottom"/>
          </w:tcPr>
          <w:p w14:paraId="04BB9AE8" w14:textId="77777777" w:rsidR="00BE5090" w:rsidRPr="00896C5A" w:rsidRDefault="00BE5090" w:rsidP="00BE5090">
            <w:pPr>
              <w:pStyle w:val="TableText"/>
              <w:jc w:val="center"/>
            </w:pPr>
            <w:r w:rsidRPr="00896C5A">
              <w:t>112</w:t>
            </w:r>
          </w:p>
        </w:tc>
        <w:tc>
          <w:tcPr>
            <w:tcW w:w="986" w:type="pct"/>
            <w:vAlign w:val="bottom"/>
          </w:tcPr>
          <w:p w14:paraId="2C327C31" w14:textId="77777777" w:rsidR="00BE5090" w:rsidRPr="00896C5A" w:rsidRDefault="00BE5090" w:rsidP="00BE5090">
            <w:pPr>
              <w:pStyle w:val="TableText"/>
              <w:jc w:val="center"/>
            </w:pPr>
            <w:r w:rsidRPr="00896C5A">
              <w:t>40</w:t>
            </w:r>
          </w:p>
        </w:tc>
        <w:tc>
          <w:tcPr>
            <w:tcW w:w="681" w:type="pct"/>
            <w:vAlign w:val="bottom"/>
          </w:tcPr>
          <w:p w14:paraId="27D32956" w14:textId="77777777" w:rsidR="00BE5090" w:rsidRPr="00896C5A" w:rsidRDefault="00BE5090" w:rsidP="00BE5090">
            <w:pPr>
              <w:pStyle w:val="TableText"/>
              <w:jc w:val="center"/>
            </w:pPr>
            <w:r w:rsidRPr="00896C5A">
              <w:t>35.7</w:t>
            </w:r>
            <w:r>
              <w:t>%</w:t>
            </w:r>
          </w:p>
        </w:tc>
        <w:tc>
          <w:tcPr>
            <w:tcW w:w="681" w:type="pct"/>
          </w:tcPr>
          <w:p w14:paraId="6AE5914C" w14:textId="77777777" w:rsidR="00BE5090" w:rsidRPr="00896C5A" w:rsidRDefault="00BE5090" w:rsidP="00BE5090">
            <w:pPr>
              <w:pStyle w:val="TableText"/>
              <w:jc w:val="center"/>
            </w:pPr>
            <w:r>
              <w:t>90%</w:t>
            </w:r>
          </w:p>
        </w:tc>
      </w:tr>
      <w:tr w:rsidR="00BE5090" w:rsidRPr="00CD1826" w14:paraId="46602B2B" w14:textId="77777777" w:rsidTr="003A1CBF">
        <w:trPr>
          <w:cnfStyle w:val="000000100000" w:firstRow="0" w:lastRow="0" w:firstColumn="0" w:lastColumn="0" w:oddVBand="0" w:evenVBand="0" w:oddHBand="1" w:evenHBand="0" w:firstRowFirstColumn="0" w:firstRowLastColumn="0" w:lastRowFirstColumn="0" w:lastRowLastColumn="0"/>
        </w:trPr>
        <w:tc>
          <w:tcPr>
            <w:tcW w:w="1667" w:type="pct"/>
            <w:shd w:val="clear" w:color="auto" w:fill="A6A6A6" w:themeFill="background1" w:themeFillShade="A6"/>
          </w:tcPr>
          <w:p w14:paraId="25D8A901" w14:textId="77777777" w:rsidR="00BE5090" w:rsidRPr="00E53BEA" w:rsidRDefault="00BE5090" w:rsidP="00BE5090">
            <w:pPr>
              <w:pStyle w:val="TableText"/>
              <w:rPr>
                <w:b/>
              </w:rPr>
            </w:pPr>
            <w:r w:rsidRPr="00E53BEA">
              <w:rPr>
                <w:b/>
              </w:rPr>
              <w:t>TOTAL</w:t>
            </w:r>
          </w:p>
        </w:tc>
        <w:tc>
          <w:tcPr>
            <w:tcW w:w="986" w:type="pct"/>
            <w:shd w:val="clear" w:color="auto" w:fill="A6A6A6" w:themeFill="background1" w:themeFillShade="A6"/>
            <w:vAlign w:val="bottom"/>
          </w:tcPr>
          <w:p w14:paraId="03D86056" w14:textId="77777777" w:rsidR="00BE5090" w:rsidRPr="00271225" w:rsidRDefault="00BE5090" w:rsidP="00BE5090">
            <w:pPr>
              <w:pStyle w:val="tabletextcenter"/>
              <w:rPr>
                <w:b/>
              </w:rPr>
            </w:pPr>
            <w:r>
              <w:rPr>
                <w:b/>
              </w:rPr>
              <w:t>459</w:t>
            </w:r>
          </w:p>
        </w:tc>
        <w:tc>
          <w:tcPr>
            <w:tcW w:w="986" w:type="pct"/>
            <w:shd w:val="clear" w:color="auto" w:fill="A6A6A6" w:themeFill="background1" w:themeFillShade="A6"/>
            <w:vAlign w:val="bottom"/>
          </w:tcPr>
          <w:p w14:paraId="1EF475F9" w14:textId="77777777" w:rsidR="00BE5090" w:rsidRPr="00271225" w:rsidRDefault="00BE5090" w:rsidP="00BE5090">
            <w:pPr>
              <w:pStyle w:val="tabletextcenter"/>
              <w:rPr>
                <w:b/>
              </w:rPr>
            </w:pPr>
            <w:r>
              <w:rPr>
                <w:b/>
              </w:rPr>
              <w:t>192</w:t>
            </w:r>
          </w:p>
        </w:tc>
        <w:tc>
          <w:tcPr>
            <w:tcW w:w="681" w:type="pct"/>
            <w:shd w:val="clear" w:color="auto" w:fill="A6A6A6" w:themeFill="background1" w:themeFillShade="A6"/>
            <w:vAlign w:val="bottom"/>
          </w:tcPr>
          <w:p w14:paraId="235E83D0" w14:textId="77777777" w:rsidR="00BE5090" w:rsidRPr="00271225" w:rsidRDefault="00BE5090" w:rsidP="00BE5090">
            <w:pPr>
              <w:pStyle w:val="tabletextcenter"/>
              <w:rPr>
                <w:b/>
              </w:rPr>
            </w:pPr>
            <w:r>
              <w:rPr>
                <w:b/>
              </w:rPr>
              <w:t>41.8%</w:t>
            </w:r>
          </w:p>
        </w:tc>
        <w:tc>
          <w:tcPr>
            <w:tcW w:w="681" w:type="pct"/>
            <w:shd w:val="clear" w:color="auto" w:fill="A6A6A6" w:themeFill="background1" w:themeFillShade="A6"/>
          </w:tcPr>
          <w:p w14:paraId="7BF3786F" w14:textId="77777777" w:rsidR="00BE5090" w:rsidRDefault="003A1CBF" w:rsidP="00BE5090">
            <w:pPr>
              <w:pStyle w:val="tabletextcenter"/>
              <w:rPr>
                <w:b/>
              </w:rPr>
            </w:pPr>
            <w:r>
              <w:rPr>
                <w:b/>
              </w:rPr>
              <w:t>90%</w:t>
            </w:r>
          </w:p>
        </w:tc>
      </w:tr>
    </w:tbl>
    <w:p w14:paraId="7264D960" w14:textId="77777777" w:rsidR="00BE5090" w:rsidRPr="001144F3" w:rsidRDefault="00BE5090" w:rsidP="00387924">
      <w:pPr>
        <w:pStyle w:val="Heading3"/>
        <w:spacing w:before="180"/>
      </w:pPr>
      <w:bookmarkStart w:id="121" w:name="_Toc531597551"/>
      <w:r w:rsidRPr="001144F3">
        <w:t>Organizational Social Context (OSC) Survey</w:t>
      </w:r>
      <w:bookmarkEnd w:id="121"/>
      <w:r w:rsidRPr="001144F3">
        <w:t xml:space="preserve"> </w:t>
      </w:r>
    </w:p>
    <w:p w14:paraId="21F42007" w14:textId="77777777" w:rsidR="00BE5090" w:rsidRDefault="00BE5090" w:rsidP="00BE5090">
      <w:r w:rsidRPr="005A4EEC">
        <w:t xml:space="preserve">The social context of an organizational unit includes the norms, values, expectations, perceptions, and attitudes of the members of the unit, all of which affect the service provision of human service organizations. The Organizational Social Context (OSC) </w:t>
      </w:r>
      <w:r>
        <w:t>was used to assess each facility’s collective organizational climate, culture and morale</w:t>
      </w:r>
      <w:r w:rsidRPr="005A4EEC">
        <w:t xml:space="preserve"> instrument for assessing organizational culture, organizational climate, and staff morale. </w:t>
      </w:r>
      <w:r w:rsidR="00FD2536">
        <w:t xml:space="preserve">The OSC survey includes 105 items, which were included in the staff survey in the final section. </w:t>
      </w:r>
      <w:r>
        <w:t>These 105 items describe:</w:t>
      </w:r>
    </w:p>
    <w:p w14:paraId="2D7D729A" w14:textId="77777777" w:rsidR="00BE5090" w:rsidRDefault="00BE5090" w:rsidP="00BE5090">
      <w:pPr>
        <w:pStyle w:val="ListBullet"/>
      </w:pPr>
      <w:r>
        <w:t>Organizational culture</w:t>
      </w:r>
      <w:r w:rsidR="00C75275">
        <w:t>;</w:t>
      </w:r>
    </w:p>
    <w:p w14:paraId="40A2516A" w14:textId="77777777" w:rsidR="00BE5090" w:rsidRDefault="00BE5090" w:rsidP="00BE5090">
      <w:pPr>
        <w:pStyle w:val="ListBullet"/>
      </w:pPr>
      <w:r>
        <w:t>Organizational climate</w:t>
      </w:r>
      <w:r w:rsidR="00C75275">
        <w:t>; and</w:t>
      </w:r>
    </w:p>
    <w:p w14:paraId="2E1A36AF" w14:textId="77777777" w:rsidR="00BE5090" w:rsidRDefault="00BE5090" w:rsidP="00BE5090">
      <w:pPr>
        <w:pStyle w:val="ListBullet"/>
        <w:contextualSpacing w:val="0"/>
      </w:pPr>
      <w:r>
        <w:t>Worker morale</w:t>
      </w:r>
      <w:r w:rsidR="00C75275">
        <w:t>.</w:t>
      </w:r>
    </w:p>
    <w:p w14:paraId="3EB0B5FC" w14:textId="77777777" w:rsidR="00BE5090" w:rsidRPr="00AF2FF6" w:rsidRDefault="00BE5090" w:rsidP="00193F5F">
      <w:pPr>
        <w:rPr>
          <w:i/>
        </w:rPr>
      </w:pPr>
      <w:r w:rsidRPr="00AF2FF6">
        <w:rPr>
          <w:i/>
        </w:rPr>
        <w:t>Organization culture</w:t>
      </w:r>
      <w:r>
        <w:t xml:space="preserve"> is defined as the expectations that drive the way work is done in an organization; that is, the norms and values driving behavior (Glisson &amp; James, 2002). </w:t>
      </w:r>
      <w:r>
        <w:rPr>
          <w:i/>
        </w:rPr>
        <w:t xml:space="preserve">Organizational climate </w:t>
      </w:r>
      <w:r w:rsidRPr="00AF2FF6">
        <w:t>is formed when</w:t>
      </w:r>
      <w:r>
        <w:t xml:space="preserve"> staff in the same organizational unit share similar perceptions of the psychological impact of their work environment on their own well-being and functioning in the organization (Glisson and James, 2002). Morale, as measured by the OSC, is defined as the combination of job satisfaction an organizational commitment (Glisson et al., 2008). </w:t>
      </w:r>
    </w:p>
    <w:p w14:paraId="1C42594B" w14:textId="77777777" w:rsidR="0078579D" w:rsidRDefault="00BE5090" w:rsidP="00193F5F">
      <w:r w:rsidRPr="005A4EEC">
        <w:t xml:space="preserve">Information about the </w:t>
      </w:r>
      <w:r>
        <w:t xml:space="preserve">11 JR </w:t>
      </w:r>
      <w:r w:rsidRPr="005A4EEC">
        <w:t>facilities’ culture and climate was obtained from staff currently working in the facilities who provide direct s</w:t>
      </w:r>
      <w:r>
        <w:t xml:space="preserve">ervices and supports to clients including Juvenile Rehabilitation </w:t>
      </w:r>
      <w:r w:rsidR="00895DFB">
        <w:t>Residential</w:t>
      </w:r>
      <w:r>
        <w:t xml:space="preserve"> Counselors (JRRCs), Juvenile Rehabilitation Counselor Assistants (</w:t>
      </w:r>
      <w:r w:rsidR="00895DFB">
        <w:t>JRCAs</w:t>
      </w:r>
      <w:r>
        <w:t xml:space="preserve">) and Juvenile </w:t>
      </w:r>
      <w:r w:rsidR="00895DFB">
        <w:t>Rehabilitation</w:t>
      </w:r>
      <w:r>
        <w:t xml:space="preserve"> Security Officers (JRSOs) including on-call JRSOs.</w:t>
      </w:r>
      <w:r w:rsidRPr="005A4EEC">
        <w:t xml:space="preserve"> </w:t>
      </w:r>
    </w:p>
    <w:p w14:paraId="3868566E" w14:textId="77777777" w:rsidR="00BE5090" w:rsidRPr="006E6B2A" w:rsidRDefault="00BE5090" w:rsidP="001144F3">
      <w:pPr>
        <w:pStyle w:val="Heading3"/>
      </w:pPr>
      <w:bookmarkStart w:id="122" w:name="_Toc531597552"/>
      <w:r w:rsidRPr="0078579D">
        <w:rPr>
          <w:rFonts w:eastAsiaTheme="minorHAnsi"/>
        </w:rPr>
        <w:t>Administrative Data</w:t>
      </w:r>
      <w:bookmarkEnd w:id="122"/>
      <w:r>
        <w:t xml:space="preserve"> </w:t>
      </w:r>
      <w:r w:rsidRPr="006E6B2A">
        <w:t xml:space="preserve"> </w:t>
      </w:r>
    </w:p>
    <w:p w14:paraId="15C89F0B" w14:textId="77777777" w:rsidR="00BE5090" w:rsidRPr="00172B5C" w:rsidRDefault="00BE5090" w:rsidP="00BE5090">
      <w:r w:rsidRPr="00172B5C">
        <w:t>To augment the survey data, we also analyzed DSHS administrative data</w:t>
      </w:r>
      <w:r>
        <w:t xml:space="preserve"> from </w:t>
      </w:r>
      <w:r w:rsidRPr="00172B5C">
        <w:t>DSHS Human Resources Management Information System (HRMS)</w:t>
      </w:r>
      <w:r>
        <w:t xml:space="preserve"> and the Automated Client Tracking System (ACT). We used data from these systems to analyze JR staff </w:t>
      </w:r>
      <w:r w:rsidRPr="00172B5C">
        <w:t>salary</w:t>
      </w:r>
      <w:r>
        <w:t xml:space="preserve"> levels</w:t>
      </w:r>
      <w:r w:rsidRPr="00172B5C">
        <w:t xml:space="preserve">, turnover, </w:t>
      </w:r>
      <w:r>
        <w:t xml:space="preserve">use of </w:t>
      </w:r>
      <w:r w:rsidRPr="00172B5C">
        <w:t xml:space="preserve">overtime, and </w:t>
      </w:r>
      <w:r>
        <w:t xml:space="preserve">the </w:t>
      </w:r>
      <w:r w:rsidRPr="00172B5C">
        <w:t xml:space="preserve">time </w:t>
      </w:r>
      <w:r>
        <w:t xml:space="preserve">staff </w:t>
      </w:r>
      <w:r w:rsidRPr="00172B5C">
        <w:t xml:space="preserve">spent working and </w:t>
      </w:r>
      <w:r>
        <w:t xml:space="preserve">taking both </w:t>
      </w:r>
      <w:r w:rsidRPr="00172B5C">
        <w:t>planned and unplanned leave</w:t>
      </w:r>
      <w:r w:rsidR="004C75A6">
        <w:t xml:space="preserve">. </w:t>
      </w:r>
    </w:p>
    <w:p w14:paraId="4C8A1DBF" w14:textId="77777777" w:rsidR="00BE5090" w:rsidRDefault="00BE5090" w:rsidP="00F42D48">
      <w:pPr>
        <w:pStyle w:val="Heading2"/>
      </w:pPr>
      <w:bookmarkStart w:id="123" w:name="_Toc531597553"/>
      <w:r>
        <w:t>Document Review</w:t>
      </w:r>
      <w:bookmarkEnd w:id="123"/>
    </w:p>
    <w:p w14:paraId="69A3FD6E" w14:textId="77777777" w:rsidR="00BE5090" w:rsidRDefault="00BE5090" w:rsidP="00BE5090">
      <w:r>
        <w:t>We worked with the Rehabilitation Administration (RA) Project Team to identify relevant materials to ensure a comprehensive understanding of Juvenile Rehabilitation</w:t>
      </w:r>
      <w:r w:rsidR="003F4A01">
        <w:t xml:space="preserve"> (JR)</w:t>
      </w:r>
      <w:r>
        <w:t xml:space="preserve"> and the Special Commitment Center (SCC) treatment models, program components, and specific practices being used to implement the model. We also reviewed documents that provided an </w:t>
      </w:r>
      <w:r>
        <w:lastRenderedPageBreak/>
        <w:t xml:space="preserve">understanding of current job duties, responsibilities, and expectations of staff working for </w:t>
      </w:r>
      <w:r w:rsidR="003F4A01">
        <w:t>JR</w:t>
      </w:r>
      <w:r>
        <w:t>, as well as job qualifications. The review included the following documents:</w:t>
      </w:r>
    </w:p>
    <w:p w14:paraId="533E4505" w14:textId="77777777" w:rsidR="00BE5090" w:rsidRDefault="00BE5090" w:rsidP="00BE5090">
      <w:pPr>
        <w:pStyle w:val="ListBullet"/>
      </w:pPr>
      <w:r>
        <w:t>Policies</w:t>
      </w:r>
      <w:r w:rsidR="00C75275">
        <w:t>;</w:t>
      </w:r>
    </w:p>
    <w:p w14:paraId="16EAA56A" w14:textId="77777777" w:rsidR="00BE5090" w:rsidRDefault="00BE5090" w:rsidP="00BE5090">
      <w:pPr>
        <w:pStyle w:val="ListBullet"/>
      </w:pPr>
      <w:r>
        <w:t>Standard</w:t>
      </w:r>
      <w:r w:rsidR="005F1AAD">
        <w:t>s</w:t>
      </w:r>
      <w:r>
        <w:t xml:space="preserve"> (state and national)</w:t>
      </w:r>
      <w:r w:rsidR="00C75275">
        <w:t>;</w:t>
      </w:r>
    </w:p>
    <w:p w14:paraId="42D889C2" w14:textId="77777777" w:rsidR="00BE5090" w:rsidRDefault="00BE5090" w:rsidP="00BE5090">
      <w:pPr>
        <w:pStyle w:val="ListBullet"/>
      </w:pPr>
      <w:r>
        <w:t>Job descriptions</w:t>
      </w:r>
      <w:r w:rsidR="00C75275">
        <w:t>;</w:t>
      </w:r>
    </w:p>
    <w:p w14:paraId="08299E70" w14:textId="77777777" w:rsidR="00BE5090" w:rsidRDefault="00BE5090" w:rsidP="00BE5090">
      <w:pPr>
        <w:pStyle w:val="ListBullet"/>
      </w:pPr>
      <w:r>
        <w:t>Strategic plans</w:t>
      </w:r>
      <w:r w:rsidR="00C75275">
        <w:t>;</w:t>
      </w:r>
    </w:p>
    <w:p w14:paraId="3FAFE2B0" w14:textId="77777777" w:rsidR="00BE5090" w:rsidRDefault="00BE5090" w:rsidP="00BE5090">
      <w:pPr>
        <w:pStyle w:val="ListBullet"/>
      </w:pPr>
      <w:r>
        <w:t>Treatment model reports</w:t>
      </w:r>
      <w:r w:rsidR="00C75275">
        <w:t>;</w:t>
      </w:r>
    </w:p>
    <w:p w14:paraId="59985606" w14:textId="77777777" w:rsidR="00BE5090" w:rsidRDefault="00BE5090" w:rsidP="00BE5090">
      <w:pPr>
        <w:pStyle w:val="ListBullet"/>
      </w:pPr>
      <w:r>
        <w:t>Recently passed legislation</w:t>
      </w:r>
      <w:r w:rsidR="00C75275">
        <w:t>;</w:t>
      </w:r>
      <w:r>
        <w:t xml:space="preserve"> </w:t>
      </w:r>
    </w:p>
    <w:p w14:paraId="44290716" w14:textId="77777777" w:rsidR="00BE5090" w:rsidRDefault="00BE5090" w:rsidP="00BE5090">
      <w:pPr>
        <w:pStyle w:val="ListBullet"/>
      </w:pPr>
      <w:r>
        <w:t>Recent Governor Executive Orders</w:t>
      </w:r>
      <w:r w:rsidR="00C75275">
        <w:t>;</w:t>
      </w:r>
    </w:p>
    <w:p w14:paraId="7501A7D6" w14:textId="77777777" w:rsidR="00BE5090" w:rsidRDefault="00BE5090" w:rsidP="00BE5090">
      <w:pPr>
        <w:pStyle w:val="ListBullet"/>
      </w:pPr>
      <w:r>
        <w:t>Survey results</w:t>
      </w:r>
      <w:r w:rsidR="00C75275">
        <w:t>; and</w:t>
      </w:r>
    </w:p>
    <w:p w14:paraId="5B90BC92" w14:textId="77777777" w:rsidR="00BE5090" w:rsidRDefault="000C7DD4" w:rsidP="00BE5090">
      <w:pPr>
        <w:pStyle w:val="ListBullet"/>
      </w:pPr>
      <w:r>
        <w:t>Review of</w:t>
      </w:r>
      <w:r w:rsidR="00BE5090">
        <w:t xml:space="preserve"> documents</w:t>
      </w:r>
      <w:r>
        <w:t xml:space="preserve"> and select legal mandates and executive orders.</w:t>
      </w:r>
    </w:p>
    <w:p w14:paraId="5A9F0262" w14:textId="77777777" w:rsidR="001676DF" w:rsidRDefault="001676DF">
      <w:pPr>
        <w:spacing w:before="0" w:after="0"/>
        <w:rPr>
          <w:rFonts w:ascii="Arial Narrow" w:eastAsia="Times New Roman" w:hAnsi="Arial Narrow"/>
          <w:b/>
          <w:bCs/>
          <w:caps/>
          <w:color w:val="0046AC"/>
          <w:sz w:val="32"/>
          <w:szCs w:val="28"/>
        </w:rPr>
      </w:pPr>
      <w:r>
        <w:br w:type="page"/>
      </w:r>
    </w:p>
    <w:p w14:paraId="212B3F2C" w14:textId="77777777" w:rsidR="00D60C19" w:rsidRDefault="00D60C19" w:rsidP="002323A9">
      <w:pPr>
        <w:pStyle w:val="Heading1"/>
      </w:pPr>
      <w:bookmarkStart w:id="124" w:name="_Toc531597554"/>
      <w:r>
        <w:lastRenderedPageBreak/>
        <w:t>Appendix B</w:t>
      </w:r>
      <w:r w:rsidRPr="00BE5090">
        <w:t xml:space="preserve"> –</w:t>
      </w:r>
      <w:r w:rsidR="007E1AE0">
        <w:t xml:space="preserve"> </w:t>
      </w:r>
      <w:r w:rsidR="00F75641">
        <w:t>Community Facility Standards</w:t>
      </w:r>
      <w:bookmarkEnd w:id="124"/>
    </w:p>
    <w:p w14:paraId="13233F19" w14:textId="77777777" w:rsidR="001D4402" w:rsidRPr="00131649" w:rsidRDefault="001D4402" w:rsidP="001D4402">
      <w:pPr>
        <w:pStyle w:val="Caption"/>
      </w:pPr>
      <w:r>
        <w:t xml:space="preserve">Exhibit </w:t>
      </w:r>
      <w:r w:rsidR="00DC48AB">
        <w:rPr>
          <w:noProof/>
        </w:rPr>
        <w:t>9</w:t>
      </w:r>
      <w:r>
        <w:noBreakHyphen/>
      </w:r>
      <w:r w:rsidR="004E3CA2">
        <w:rPr>
          <w:noProof/>
        </w:rPr>
        <w:fldChar w:fldCharType="begin"/>
      </w:r>
      <w:r w:rsidR="004E3CA2">
        <w:rPr>
          <w:noProof/>
        </w:rPr>
        <w:instrText xml:space="preserve"> SEQ Exhibit \* ARABIC \s 1 </w:instrText>
      </w:r>
      <w:r w:rsidR="004E3CA2">
        <w:rPr>
          <w:noProof/>
        </w:rPr>
        <w:fldChar w:fldCharType="separate"/>
      </w:r>
      <w:r w:rsidR="00FD2536">
        <w:rPr>
          <w:noProof/>
        </w:rPr>
        <w:t>1</w:t>
      </w:r>
      <w:r w:rsidR="004E3CA2">
        <w:rPr>
          <w:noProof/>
        </w:rPr>
        <w:fldChar w:fldCharType="end"/>
      </w:r>
      <w:r w:rsidR="00E251C1">
        <w:t xml:space="preserve">. </w:t>
      </w:r>
      <w:r>
        <w:t>Community Facility Standards Overview</w:t>
      </w:r>
    </w:p>
    <w:tbl>
      <w:tblPr>
        <w:tblStyle w:val="HyzerTable"/>
        <w:tblW w:w="5000" w:type="pct"/>
        <w:tblLook w:val="0420" w:firstRow="1" w:lastRow="0" w:firstColumn="0" w:lastColumn="0" w:noHBand="0" w:noVBand="1"/>
      </w:tblPr>
      <w:tblGrid>
        <w:gridCol w:w="2070"/>
        <w:gridCol w:w="1350"/>
        <w:gridCol w:w="5940"/>
      </w:tblGrid>
      <w:tr w:rsidR="001D4402" w:rsidRPr="00CD1826" w14:paraId="40F97B1A" w14:textId="77777777" w:rsidTr="00D61EAB">
        <w:trPr>
          <w:cnfStyle w:val="100000000000" w:firstRow="1" w:lastRow="0" w:firstColumn="0" w:lastColumn="0" w:oddVBand="0" w:evenVBand="0" w:oddHBand="0" w:evenHBand="0" w:firstRowFirstColumn="0" w:firstRowLastColumn="0" w:lastRowFirstColumn="0" w:lastRowLastColumn="0"/>
          <w:tblHeader/>
        </w:trPr>
        <w:tc>
          <w:tcPr>
            <w:tcW w:w="1106" w:type="pct"/>
          </w:tcPr>
          <w:p w14:paraId="4A3859D4" w14:textId="77777777" w:rsidR="001D4402" w:rsidRPr="00D61EAB" w:rsidRDefault="001D4402" w:rsidP="003A1CBF">
            <w:pPr>
              <w:pStyle w:val="tableheaderwhite"/>
              <w:spacing w:before="20" w:after="20"/>
              <w:rPr>
                <w:sz w:val="22"/>
              </w:rPr>
            </w:pPr>
            <w:r w:rsidRPr="00D61EAB">
              <w:rPr>
                <w:sz w:val="22"/>
              </w:rPr>
              <w:t>Standard</w:t>
            </w:r>
          </w:p>
        </w:tc>
        <w:tc>
          <w:tcPr>
            <w:tcW w:w="721" w:type="pct"/>
            <w:vAlign w:val="center"/>
          </w:tcPr>
          <w:p w14:paraId="6EDAF93F" w14:textId="77777777" w:rsidR="001D4402" w:rsidRPr="00D61EAB" w:rsidRDefault="001D4402" w:rsidP="003A1CBF">
            <w:pPr>
              <w:pStyle w:val="tableheaderwhite"/>
              <w:spacing w:before="20" w:after="20"/>
              <w:rPr>
                <w:sz w:val="22"/>
              </w:rPr>
            </w:pPr>
            <w:r w:rsidRPr="00D61EAB">
              <w:rPr>
                <w:sz w:val="22"/>
              </w:rPr>
              <w:t>Subject Area</w:t>
            </w:r>
          </w:p>
        </w:tc>
        <w:tc>
          <w:tcPr>
            <w:tcW w:w="3173" w:type="pct"/>
          </w:tcPr>
          <w:p w14:paraId="6198E0EB" w14:textId="77777777" w:rsidR="001D4402" w:rsidRPr="00D61EAB" w:rsidRDefault="001D4402" w:rsidP="003A1CBF">
            <w:pPr>
              <w:pStyle w:val="tableheaderwhite"/>
              <w:spacing w:before="20" w:after="20"/>
              <w:rPr>
                <w:sz w:val="22"/>
              </w:rPr>
            </w:pPr>
            <w:r w:rsidRPr="00D61EAB">
              <w:rPr>
                <w:sz w:val="22"/>
              </w:rPr>
              <w:t>Key Requirements</w:t>
            </w:r>
          </w:p>
        </w:tc>
      </w:tr>
      <w:tr w:rsidR="001D4402" w:rsidRPr="00CD1826" w14:paraId="381D04B3"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3DF46538" w14:textId="77777777" w:rsidR="001D4402" w:rsidRPr="00CD1826" w:rsidRDefault="001D4402" w:rsidP="00710F1C">
            <w:pPr>
              <w:pStyle w:val="TableText"/>
            </w:pPr>
            <w:r>
              <w:t>Community Facility Standards 02: Fiscal Management</w:t>
            </w:r>
          </w:p>
        </w:tc>
        <w:tc>
          <w:tcPr>
            <w:tcW w:w="721" w:type="pct"/>
          </w:tcPr>
          <w:p w14:paraId="63DBE7D7" w14:textId="77777777" w:rsidR="001D4402" w:rsidRPr="004634DD" w:rsidRDefault="001D4402" w:rsidP="00D61EAB">
            <w:pPr>
              <w:pStyle w:val="TableText"/>
              <w:jc w:val="center"/>
              <w:rPr>
                <w:rStyle w:val="TableTextBold"/>
                <w:b w:val="0"/>
              </w:rPr>
            </w:pPr>
            <w:r w:rsidRPr="004634DD">
              <w:rPr>
                <w:rStyle w:val="TableTextBold"/>
                <w:b w:val="0"/>
              </w:rPr>
              <w:t>Fiscal Management</w:t>
            </w:r>
          </w:p>
        </w:tc>
        <w:tc>
          <w:tcPr>
            <w:tcW w:w="3173" w:type="pct"/>
          </w:tcPr>
          <w:p w14:paraId="0659FC6D" w14:textId="77777777" w:rsidR="001D4402" w:rsidRDefault="001D4402" w:rsidP="001D4402">
            <w:pPr>
              <w:pStyle w:val="TableBullet"/>
              <w:keepNext w:val="0"/>
              <w:ind w:left="216" w:hanging="216"/>
            </w:pPr>
            <w:r>
              <w:t>Monitor resident payday schedules and pick up resident paychecks. Employers may mail or direct deposit paychecks</w:t>
            </w:r>
          </w:p>
          <w:p w14:paraId="4535827E" w14:textId="77777777" w:rsidR="001D4402" w:rsidRDefault="001D4402" w:rsidP="001D4402">
            <w:pPr>
              <w:pStyle w:val="TableBullet"/>
              <w:keepNext w:val="0"/>
              <w:ind w:left="216" w:hanging="216"/>
            </w:pPr>
            <w:r>
              <w:t>Limit the amount of cash a resident may have in their possession</w:t>
            </w:r>
          </w:p>
          <w:p w14:paraId="30DBEBA6" w14:textId="77777777" w:rsidR="001D4402" w:rsidRDefault="001D4402" w:rsidP="001D4402">
            <w:pPr>
              <w:pStyle w:val="TableBullet"/>
              <w:keepNext w:val="0"/>
              <w:ind w:left="216" w:hanging="216"/>
            </w:pPr>
            <w:r>
              <w:t>Utilize Verification of Funds Received (DHS Form 02-656) to document expenditures</w:t>
            </w:r>
          </w:p>
          <w:p w14:paraId="7FEC0AE7" w14:textId="77777777" w:rsidR="001D4402" w:rsidRDefault="001D4402" w:rsidP="001D4402">
            <w:pPr>
              <w:pStyle w:val="TableBullet"/>
              <w:keepNext w:val="0"/>
              <w:ind w:left="216" w:hanging="216"/>
            </w:pPr>
            <w:r>
              <w:t xml:space="preserve">Staff will utilize the Resident Request for Withdrawal from (DSHS </w:t>
            </w:r>
            <w:r w:rsidR="00385326">
              <w:t>Form</w:t>
            </w:r>
            <w:r>
              <w:t xml:space="preserve"> 02-655) to document expenditures</w:t>
            </w:r>
          </w:p>
          <w:p w14:paraId="1D6B4AB0" w14:textId="77777777" w:rsidR="001D4402" w:rsidRPr="00CD1826" w:rsidRDefault="001D4402" w:rsidP="001D4402">
            <w:pPr>
              <w:pStyle w:val="TableBullet"/>
              <w:keepNext w:val="0"/>
              <w:ind w:left="216" w:hanging="216"/>
            </w:pPr>
          </w:p>
        </w:tc>
      </w:tr>
      <w:tr w:rsidR="001D4402" w:rsidRPr="00CD1826" w14:paraId="715BB591" w14:textId="77777777" w:rsidTr="00D61EAB">
        <w:tc>
          <w:tcPr>
            <w:tcW w:w="1106" w:type="pct"/>
          </w:tcPr>
          <w:p w14:paraId="4C4A1ACC" w14:textId="77777777" w:rsidR="001D4402" w:rsidRPr="00CD1826" w:rsidRDefault="001D4402" w:rsidP="00710F1C">
            <w:pPr>
              <w:pStyle w:val="TableBullet"/>
              <w:numPr>
                <w:ilvl w:val="0"/>
                <w:numId w:val="0"/>
              </w:numPr>
            </w:pPr>
            <w:r>
              <w:t>Community Facility Standards 03: Personnel and Volunteers</w:t>
            </w:r>
          </w:p>
        </w:tc>
        <w:tc>
          <w:tcPr>
            <w:tcW w:w="721" w:type="pct"/>
          </w:tcPr>
          <w:p w14:paraId="51F2E0CB" w14:textId="77777777" w:rsidR="001D4402" w:rsidRPr="006D322C" w:rsidRDefault="001D4402" w:rsidP="00D61EAB">
            <w:pPr>
              <w:pStyle w:val="tabletextcenter"/>
            </w:pPr>
            <w:r>
              <w:t>Mandatory Certifications</w:t>
            </w:r>
          </w:p>
        </w:tc>
        <w:tc>
          <w:tcPr>
            <w:tcW w:w="3173" w:type="pct"/>
          </w:tcPr>
          <w:p w14:paraId="6DA6C008" w14:textId="77777777" w:rsidR="001D4402" w:rsidRDefault="001D4402" w:rsidP="001D4402">
            <w:pPr>
              <w:pStyle w:val="TableBullet"/>
              <w:keepNext w:val="0"/>
              <w:ind w:left="216" w:hanging="216"/>
            </w:pPr>
            <w:r>
              <w:t>JR Policies and CF Standards must be read in LMS within 30 days of employment</w:t>
            </w:r>
          </w:p>
          <w:p w14:paraId="3121EF83" w14:textId="77777777" w:rsidR="001D4402" w:rsidRDefault="001D4402" w:rsidP="001D4402">
            <w:pPr>
              <w:pStyle w:val="TableBullet"/>
              <w:keepNext w:val="0"/>
              <w:ind w:left="216" w:hanging="216"/>
            </w:pPr>
            <w:r>
              <w:t>Community Staff must have the following certifications:</w:t>
            </w:r>
          </w:p>
          <w:p w14:paraId="7DEE511F" w14:textId="77777777" w:rsidR="001D4402" w:rsidRDefault="001D4402" w:rsidP="001D4402">
            <w:pPr>
              <w:pStyle w:val="TableBullet"/>
              <w:keepNext w:val="0"/>
              <w:numPr>
                <w:ilvl w:val="1"/>
                <w:numId w:val="9"/>
              </w:numPr>
              <w:ind w:left="522" w:hanging="270"/>
            </w:pPr>
            <w:r>
              <w:t>A Counselor Affiliated Certification from HCA (for case carrying staff only)</w:t>
            </w:r>
          </w:p>
          <w:p w14:paraId="3AAB1EFA" w14:textId="77777777" w:rsidR="001D4402" w:rsidRDefault="001D4402" w:rsidP="001D4402">
            <w:pPr>
              <w:pStyle w:val="TableBullet"/>
              <w:keepNext w:val="0"/>
              <w:numPr>
                <w:ilvl w:val="1"/>
                <w:numId w:val="9"/>
              </w:numPr>
              <w:ind w:left="522" w:hanging="270"/>
            </w:pPr>
            <w:r>
              <w:t>Food Handler card (within 2 weeks of hire complete the course online)</w:t>
            </w:r>
          </w:p>
          <w:p w14:paraId="51D03B74" w14:textId="77777777" w:rsidR="001D4402" w:rsidRDefault="001D4402" w:rsidP="001D4402">
            <w:pPr>
              <w:pStyle w:val="TableBullet"/>
              <w:keepNext w:val="0"/>
              <w:numPr>
                <w:ilvl w:val="1"/>
                <w:numId w:val="9"/>
              </w:numPr>
              <w:ind w:left="522" w:hanging="270"/>
            </w:pPr>
            <w:r>
              <w:t>CPR/First Aid Certification within 60 days of hire</w:t>
            </w:r>
          </w:p>
          <w:p w14:paraId="3C85BACA" w14:textId="77777777" w:rsidR="001D4402" w:rsidRPr="00CD1826" w:rsidRDefault="001D4402" w:rsidP="001D4402">
            <w:pPr>
              <w:pStyle w:val="TableBullet"/>
              <w:keepNext w:val="0"/>
              <w:numPr>
                <w:ilvl w:val="1"/>
                <w:numId w:val="9"/>
              </w:numPr>
              <w:ind w:left="522" w:hanging="270"/>
            </w:pPr>
            <w:r>
              <w:t>AED Certification within 60 days of hire</w:t>
            </w:r>
          </w:p>
        </w:tc>
      </w:tr>
      <w:tr w:rsidR="001D4402" w:rsidRPr="00CD1826" w14:paraId="34E2C7B5"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665161E0" w14:textId="77777777" w:rsidR="001D4402" w:rsidRDefault="001D4402" w:rsidP="00710F1C">
            <w:pPr>
              <w:pStyle w:val="TableText"/>
            </w:pPr>
            <w:r>
              <w:t>Community Facility Standards 03: Personnel and Volunteers</w:t>
            </w:r>
          </w:p>
          <w:p w14:paraId="5B24C549" w14:textId="77777777" w:rsidR="001D4402" w:rsidRDefault="001D4402" w:rsidP="00710F1C">
            <w:pPr>
              <w:pStyle w:val="TableText"/>
            </w:pPr>
          </w:p>
          <w:p w14:paraId="2CB1657A" w14:textId="77777777" w:rsidR="001D4402" w:rsidRPr="00CD1826" w:rsidRDefault="001D4402" w:rsidP="00710F1C">
            <w:pPr>
              <w:pStyle w:val="TableText"/>
            </w:pPr>
            <w:r>
              <w:t>Guidelines for Protected Time Off the Floor</w:t>
            </w:r>
          </w:p>
        </w:tc>
        <w:tc>
          <w:tcPr>
            <w:tcW w:w="721" w:type="pct"/>
          </w:tcPr>
          <w:p w14:paraId="2C8EB8A3" w14:textId="77777777" w:rsidR="001D4402" w:rsidRPr="004634DD" w:rsidRDefault="001D4402" w:rsidP="00D61EAB">
            <w:pPr>
              <w:pStyle w:val="TableTextBoldCentered"/>
              <w:rPr>
                <w:b w:val="0"/>
              </w:rPr>
            </w:pPr>
            <w:r>
              <w:rPr>
                <w:b w:val="0"/>
              </w:rPr>
              <w:t>Staffing Ratios</w:t>
            </w:r>
          </w:p>
        </w:tc>
        <w:tc>
          <w:tcPr>
            <w:tcW w:w="3173" w:type="pct"/>
          </w:tcPr>
          <w:p w14:paraId="7A4E0B58" w14:textId="77777777" w:rsidR="001D4402" w:rsidRDefault="001D4402" w:rsidP="001D4402">
            <w:pPr>
              <w:pStyle w:val="TableBullet"/>
              <w:keepNext w:val="0"/>
              <w:ind w:left="216" w:hanging="216"/>
            </w:pPr>
            <w:r>
              <w:t>Create and post staff schedules which provide full-time staff positions based on 40 hours per week</w:t>
            </w:r>
          </w:p>
          <w:p w14:paraId="1F162FC6" w14:textId="77777777" w:rsidR="001D4402" w:rsidRDefault="001D4402" w:rsidP="001D4402">
            <w:pPr>
              <w:pStyle w:val="TableBullet"/>
              <w:keepNext w:val="0"/>
              <w:ind w:left="216" w:hanging="216"/>
            </w:pPr>
            <w:r>
              <w:t xml:space="preserve">Caseload carrying staff will be scheduled for a </w:t>
            </w:r>
            <w:r w:rsidRPr="000F3E83">
              <w:rPr>
                <w:b/>
              </w:rPr>
              <w:t>minimum of 8 hours per week of protected time off the floor</w:t>
            </w:r>
          </w:p>
          <w:p w14:paraId="31337BB3" w14:textId="77777777" w:rsidR="001D4402" w:rsidRDefault="001D4402" w:rsidP="001D4402">
            <w:pPr>
              <w:pStyle w:val="TableBullet"/>
              <w:keepNext w:val="0"/>
              <w:ind w:left="216" w:hanging="216"/>
            </w:pPr>
            <w:r>
              <w:t>Any time there are more than 8 youth in the facility during the day and swing shifts, the CFA, JRS, JRRC, JRCA or JRSO1 must remain on the premises with one additional approved staff. Approved staff may include: additional permanent staff, contracted service staff, JR staff not assigned to the facility, intermittent staff, trained interns or support staff.</w:t>
            </w:r>
          </w:p>
          <w:p w14:paraId="1F1D416B" w14:textId="77777777" w:rsidR="001D4402" w:rsidRDefault="001D4402" w:rsidP="001D4402">
            <w:pPr>
              <w:pStyle w:val="TableBullet"/>
              <w:keepNext w:val="0"/>
              <w:ind w:left="216" w:hanging="216"/>
            </w:pPr>
            <w:r>
              <w:t>During sleeping hours, one staff may remain in the facility with the youth in order to allow the second staff to transport youth to and from community programs</w:t>
            </w:r>
          </w:p>
          <w:p w14:paraId="406372F9" w14:textId="77777777" w:rsidR="001D4402" w:rsidRDefault="001D4402" w:rsidP="001D4402">
            <w:pPr>
              <w:pStyle w:val="TableBullet"/>
              <w:keepNext w:val="0"/>
              <w:ind w:left="216" w:hanging="216"/>
            </w:pPr>
            <w:r>
              <w:t xml:space="preserve">In case of an emergency or illness during program hours, one staff may remain in the facility with more than 8 youth. This situation must be documented in the PREA Staff Pattern Exception form (DSHS </w:t>
            </w:r>
            <w:r w:rsidR="00385326">
              <w:t>Form</w:t>
            </w:r>
            <w:r>
              <w:t xml:space="preserve"> 20-298)</w:t>
            </w:r>
          </w:p>
          <w:p w14:paraId="423E90C6" w14:textId="77777777" w:rsidR="001D4402" w:rsidRDefault="001D4402" w:rsidP="001D4402">
            <w:pPr>
              <w:pStyle w:val="TableBullet"/>
              <w:keepNext w:val="0"/>
              <w:ind w:left="216" w:hanging="216"/>
            </w:pPr>
            <w:r>
              <w:t>When there is a single staffing issue due to emergency or authorized transportation after sleeping hours, youth movement in the facility will be restricted: Youth will stay in their bedrooms; youth will be allowed out one at a time to use the restroom, prepare for program or sign out to community program.</w:t>
            </w:r>
          </w:p>
          <w:p w14:paraId="7544DF5B" w14:textId="77777777" w:rsidR="001D4402" w:rsidRDefault="001D4402" w:rsidP="001D4402">
            <w:pPr>
              <w:pStyle w:val="TableBullet"/>
              <w:keepNext w:val="0"/>
              <w:ind w:left="216" w:hanging="216"/>
            </w:pPr>
            <w:r>
              <w:t>A support or maintenance staff may serve as temporary “back up” youth supervision staff when not involved in other duties, has a cleared background check and has been trained in safety and security issues and emergency procedures in accordance with Policy 5.10 Using Restraints</w:t>
            </w:r>
          </w:p>
          <w:p w14:paraId="6E39A7AF" w14:textId="77777777" w:rsidR="001D4402" w:rsidRPr="00CD1826" w:rsidRDefault="001D4402" w:rsidP="001D4402">
            <w:pPr>
              <w:pStyle w:val="TableBullet"/>
              <w:keepNext w:val="0"/>
              <w:ind w:left="216" w:hanging="216"/>
            </w:pPr>
            <w:r>
              <w:t>At least one person on shift must have current First Aid, CPR and AED certification</w:t>
            </w:r>
          </w:p>
        </w:tc>
      </w:tr>
      <w:tr w:rsidR="001D4402" w:rsidRPr="00CD1826" w14:paraId="21DE28D7" w14:textId="77777777" w:rsidTr="00D61EAB">
        <w:tc>
          <w:tcPr>
            <w:tcW w:w="1106" w:type="pct"/>
          </w:tcPr>
          <w:p w14:paraId="7B142A37" w14:textId="77777777" w:rsidR="001D4402" w:rsidRDefault="001D4402" w:rsidP="00710F1C">
            <w:pPr>
              <w:pStyle w:val="TableText"/>
            </w:pPr>
            <w:r>
              <w:t>Community Facility Standards 03: Personnel and Volunteers</w:t>
            </w:r>
          </w:p>
        </w:tc>
        <w:tc>
          <w:tcPr>
            <w:tcW w:w="721" w:type="pct"/>
          </w:tcPr>
          <w:p w14:paraId="4FA47A6A" w14:textId="77777777" w:rsidR="001D4402" w:rsidRDefault="001D4402" w:rsidP="00D61EAB">
            <w:pPr>
              <w:pStyle w:val="TableTextBoldCentered"/>
              <w:rPr>
                <w:b w:val="0"/>
              </w:rPr>
            </w:pPr>
            <w:r>
              <w:rPr>
                <w:b w:val="0"/>
              </w:rPr>
              <w:t>Staff Meetings</w:t>
            </w:r>
          </w:p>
        </w:tc>
        <w:tc>
          <w:tcPr>
            <w:tcW w:w="3173" w:type="pct"/>
          </w:tcPr>
          <w:p w14:paraId="73F906DA" w14:textId="77777777" w:rsidR="001D4402" w:rsidRDefault="001D4402" w:rsidP="001D4402">
            <w:pPr>
              <w:pStyle w:val="TableBullet"/>
              <w:keepNext w:val="0"/>
              <w:ind w:left="216" w:hanging="216"/>
            </w:pPr>
            <w:r>
              <w:t>Regular staff meetings (at least monthly) will be conducted to review cases and ensure consistency in the management of client issues</w:t>
            </w:r>
          </w:p>
          <w:p w14:paraId="3388CAF0" w14:textId="77777777" w:rsidR="001D4402" w:rsidRDefault="001D4402" w:rsidP="001D4402">
            <w:pPr>
              <w:pStyle w:val="TableBullet"/>
              <w:keepNext w:val="0"/>
              <w:ind w:left="216" w:hanging="216"/>
            </w:pPr>
            <w:r>
              <w:t>Minutes of the meeting will be maintained an available for staff not able to participate</w:t>
            </w:r>
          </w:p>
        </w:tc>
      </w:tr>
      <w:tr w:rsidR="001D4402" w:rsidRPr="00CD1826" w14:paraId="34315E3B"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62D176CD" w14:textId="77777777" w:rsidR="001D4402" w:rsidRDefault="001D4402" w:rsidP="00710F1C">
            <w:pPr>
              <w:pStyle w:val="TableText"/>
            </w:pPr>
          </w:p>
        </w:tc>
        <w:tc>
          <w:tcPr>
            <w:tcW w:w="721" w:type="pct"/>
          </w:tcPr>
          <w:p w14:paraId="18C7873E" w14:textId="77777777" w:rsidR="001D4402" w:rsidRDefault="001D4402" w:rsidP="00D61EAB">
            <w:pPr>
              <w:pStyle w:val="TableTextBoldCentered"/>
              <w:rPr>
                <w:b w:val="0"/>
              </w:rPr>
            </w:pPr>
            <w:r>
              <w:rPr>
                <w:b w:val="0"/>
              </w:rPr>
              <w:t>Overtime</w:t>
            </w:r>
          </w:p>
        </w:tc>
        <w:tc>
          <w:tcPr>
            <w:tcW w:w="3173" w:type="pct"/>
          </w:tcPr>
          <w:p w14:paraId="399C1729" w14:textId="77777777" w:rsidR="001D4402" w:rsidRDefault="001D4402" w:rsidP="001D4402">
            <w:pPr>
              <w:pStyle w:val="TableBullet"/>
              <w:keepNext w:val="0"/>
              <w:ind w:left="216" w:hanging="216"/>
            </w:pPr>
            <w:r>
              <w:t>All overtime-eligible employees must have prior approval from the Administrator or designee before working overtime</w:t>
            </w:r>
          </w:p>
        </w:tc>
      </w:tr>
      <w:tr w:rsidR="001D4402" w:rsidRPr="00CD1826" w14:paraId="1438FFBC" w14:textId="77777777" w:rsidTr="00D61EAB">
        <w:tc>
          <w:tcPr>
            <w:tcW w:w="1106" w:type="pct"/>
          </w:tcPr>
          <w:p w14:paraId="64F8CB35" w14:textId="77777777" w:rsidR="001D4402" w:rsidRDefault="001D4402" w:rsidP="00710F1C">
            <w:pPr>
              <w:pStyle w:val="TableText"/>
            </w:pPr>
            <w:r>
              <w:lastRenderedPageBreak/>
              <w:t>Community Facility Single Staffing Protocol – Graveyard Shift</w:t>
            </w:r>
          </w:p>
        </w:tc>
        <w:tc>
          <w:tcPr>
            <w:tcW w:w="721" w:type="pct"/>
            <w:vAlign w:val="center"/>
          </w:tcPr>
          <w:p w14:paraId="37989EED" w14:textId="77777777" w:rsidR="001D4402" w:rsidRDefault="001D4402" w:rsidP="00710F1C">
            <w:pPr>
              <w:pStyle w:val="TableTextBoldCentered"/>
              <w:rPr>
                <w:b w:val="0"/>
              </w:rPr>
            </w:pPr>
          </w:p>
        </w:tc>
        <w:tc>
          <w:tcPr>
            <w:tcW w:w="3173" w:type="pct"/>
          </w:tcPr>
          <w:p w14:paraId="7515A86F" w14:textId="77777777" w:rsidR="001D4402" w:rsidRDefault="001D4402" w:rsidP="001D4402">
            <w:pPr>
              <w:pStyle w:val="TableBullet"/>
              <w:keepNext w:val="0"/>
              <w:ind w:left="216" w:hanging="216"/>
            </w:pPr>
            <w:r>
              <w:t>Single staffing should occur only in exigent circumstances</w:t>
            </w:r>
          </w:p>
          <w:p w14:paraId="5AEBAF52" w14:textId="77777777" w:rsidR="001D4402" w:rsidRDefault="001D4402" w:rsidP="001D4402">
            <w:pPr>
              <w:pStyle w:val="TableBullet"/>
              <w:keepNext w:val="0"/>
              <w:ind w:left="216" w:hanging="216"/>
            </w:pPr>
            <w:r>
              <w:t>Place residents in their rooms until another staff arrives and ratio is back to 1:8</w:t>
            </w:r>
          </w:p>
          <w:p w14:paraId="1EB1C684" w14:textId="77777777" w:rsidR="001D4402" w:rsidRDefault="001D4402" w:rsidP="001D4402">
            <w:pPr>
              <w:pStyle w:val="TableBullet"/>
              <w:keepNext w:val="0"/>
              <w:ind w:left="216" w:hanging="216"/>
            </w:pPr>
            <w:r>
              <w:t>Contact assigned CF to inform them of single staffing circumstance</w:t>
            </w:r>
          </w:p>
          <w:p w14:paraId="251974BF" w14:textId="77777777" w:rsidR="001D4402" w:rsidRDefault="001D4402" w:rsidP="001D4402">
            <w:pPr>
              <w:pStyle w:val="TableBullet"/>
              <w:keepNext w:val="0"/>
              <w:ind w:left="216" w:hanging="216"/>
            </w:pPr>
            <w:r>
              <w:t>Conduct headcounts a minimum of every 30 minutes on a random schedule. Call assigned community facility prior to starting headcounts and stay on line until the headcount is complete; document headcount and call in the Legal Log</w:t>
            </w:r>
          </w:p>
          <w:p w14:paraId="5CA07F1A" w14:textId="77777777" w:rsidR="001D4402" w:rsidRDefault="001D4402" w:rsidP="001D4402">
            <w:pPr>
              <w:pStyle w:val="TableBullet"/>
              <w:keepNext w:val="0"/>
              <w:ind w:left="216" w:hanging="216"/>
            </w:pPr>
            <w:r>
              <w:t>CF receiving single-staff contact must document all calls in the Legal Log</w:t>
            </w:r>
          </w:p>
        </w:tc>
      </w:tr>
      <w:tr w:rsidR="001D4402" w:rsidRPr="00CD1826" w14:paraId="785B0B4F"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69B7895D" w14:textId="77777777" w:rsidR="001D4402" w:rsidRDefault="001D4402" w:rsidP="00710F1C">
            <w:pPr>
              <w:pStyle w:val="TableText"/>
            </w:pPr>
            <w:r>
              <w:t>Community Facility Standard 07: Community Engagement</w:t>
            </w:r>
          </w:p>
        </w:tc>
        <w:tc>
          <w:tcPr>
            <w:tcW w:w="721" w:type="pct"/>
          </w:tcPr>
          <w:p w14:paraId="411DAC39" w14:textId="77777777" w:rsidR="001D4402" w:rsidRDefault="001D4402" w:rsidP="00D61EAB">
            <w:pPr>
              <w:pStyle w:val="TableTextBoldCentered"/>
              <w:rPr>
                <w:b w:val="0"/>
              </w:rPr>
            </w:pPr>
            <w:r>
              <w:rPr>
                <w:b w:val="0"/>
              </w:rPr>
              <w:t>Assessment</w:t>
            </w:r>
          </w:p>
        </w:tc>
        <w:tc>
          <w:tcPr>
            <w:tcW w:w="3173" w:type="pct"/>
          </w:tcPr>
          <w:p w14:paraId="2A64CEB7" w14:textId="77777777" w:rsidR="001D4402" w:rsidRDefault="001D4402" w:rsidP="001D4402">
            <w:pPr>
              <w:pStyle w:val="TableBullet"/>
              <w:keepNext w:val="0"/>
              <w:ind w:left="216" w:hanging="216"/>
            </w:pPr>
            <w:r>
              <w:t>All youth entering a CF will be assessed for level of engagement and motivation</w:t>
            </w:r>
          </w:p>
        </w:tc>
      </w:tr>
      <w:tr w:rsidR="001D4402" w:rsidRPr="00CD1826" w14:paraId="1E62D2A9" w14:textId="77777777" w:rsidTr="00D61EAB">
        <w:tc>
          <w:tcPr>
            <w:tcW w:w="1106" w:type="pct"/>
          </w:tcPr>
          <w:p w14:paraId="57CDC4D1" w14:textId="77777777" w:rsidR="001D4402" w:rsidRDefault="001D4402" w:rsidP="00710F1C">
            <w:pPr>
              <w:pStyle w:val="TableText"/>
            </w:pPr>
            <w:r>
              <w:t>Community Facility Standard 07: Community Engagement</w:t>
            </w:r>
          </w:p>
        </w:tc>
        <w:tc>
          <w:tcPr>
            <w:tcW w:w="721" w:type="pct"/>
          </w:tcPr>
          <w:p w14:paraId="0C046E28" w14:textId="77777777" w:rsidR="001D4402" w:rsidRDefault="001D4402" w:rsidP="00D61EAB">
            <w:pPr>
              <w:pStyle w:val="TableTextBoldCentered"/>
              <w:rPr>
                <w:b w:val="0"/>
              </w:rPr>
            </w:pPr>
          </w:p>
        </w:tc>
        <w:tc>
          <w:tcPr>
            <w:tcW w:w="3173" w:type="pct"/>
          </w:tcPr>
          <w:p w14:paraId="21029B0C" w14:textId="77777777" w:rsidR="001D4402" w:rsidRDefault="001D4402" w:rsidP="001D4402">
            <w:pPr>
              <w:pStyle w:val="TableBullet"/>
              <w:keepNext w:val="0"/>
              <w:ind w:left="216" w:hanging="216"/>
            </w:pPr>
            <w:r>
              <w:t>Staff facilitate participation in work, educational, community service and treatment programs or activities in the community</w:t>
            </w:r>
          </w:p>
          <w:p w14:paraId="7C02DCC5" w14:textId="77777777" w:rsidR="001D4402" w:rsidRDefault="001D4402" w:rsidP="001D4402">
            <w:pPr>
              <w:pStyle w:val="TableBullet"/>
              <w:keepNext w:val="0"/>
              <w:ind w:left="216" w:hanging="216"/>
            </w:pPr>
            <w:r>
              <w:t>Staff must complete a written treatment addendum (DSHS Form 20-321_ for situations when you are being supervised by others in the community</w:t>
            </w:r>
          </w:p>
          <w:p w14:paraId="14DC615D" w14:textId="77777777" w:rsidR="001D4402" w:rsidRDefault="001D4402" w:rsidP="001D4402">
            <w:pPr>
              <w:pStyle w:val="TableBullet"/>
              <w:keepNext w:val="0"/>
              <w:ind w:left="216" w:hanging="216"/>
            </w:pPr>
            <w:r>
              <w:t>Potential jobs will be screened by program staff for appropriateness as related to the youth’s criminal history and behavioral assessment</w:t>
            </w:r>
          </w:p>
          <w:p w14:paraId="658FE08F" w14:textId="77777777" w:rsidR="001D4402" w:rsidRDefault="001D4402" w:rsidP="001D4402">
            <w:pPr>
              <w:pStyle w:val="TableBullet"/>
              <w:keepNext w:val="0"/>
              <w:ind w:left="216" w:hanging="216"/>
            </w:pPr>
            <w:r>
              <w:t>Staff will make phone contacts and on-site visual checks to verify the whereabouts of youth signed out of the facility. Frequency is determined by a number of factors.</w:t>
            </w:r>
          </w:p>
          <w:p w14:paraId="5BA6BB7E" w14:textId="77777777" w:rsidR="001D4402" w:rsidRDefault="001D4402" w:rsidP="001D4402">
            <w:pPr>
              <w:pStyle w:val="TableBullet"/>
              <w:keepNext w:val="0"/>
              <w:ind w:left="216" w:hanging="216"/>
            </w:pPr>
            <w:r>
              <w:t>Staff will contact employers, school representatives, or other responsible supervisor at least once every 2 weeks to discuss youth’s performance. Contacts will be documented in ACT.</w:t>
            </w:r>
          </w:p>
          <w:p w14:paraId="2673C00B" w14:textId="77777777" w:rsidR="001D4402" w:rsidRDefault="001D4402" w:rsidP="001D4402">
            <w:pPr>
              <w:pStyle w:val="TableBullet"/>
              <w:keepNext w:val="0"/>
              <w:ind w:left="216" w:hanging="216"/>
            </w:pPr>
            <w:r>
              <w:t>Staff will contact mentors at least once per month and document in ACT</w:t>
            </w:r>
          </w:p>
          <w:p w14:paraId="419B35B8" w14:textId="77777777" w:rsidR="001D4402" w:rsidRDefault="001D4402" w:rsidP="001D4402">
            <w:pPr>
              <w:pStyle w:val="TableBullet"/>
              <w:keepNext w:val="0"/>
              <w:ind w:left="216" w:hanging="216"/>
            </w:pPr>
            <w:r>
              <w:t>Staff will contact treatment providers at least once per month and document in ACT</w:t>
            </w:r>
          </w:p>
          <w:p w14:paraId="7A68B7DF" w14:textId="77777777" w:rsidR="001D4402" w:rsidRDefault="001D4402" w:rsidP="001D4402">
            <w:pPr>
              <w:pStyle w:val="TableBullet"/>
              <w:keepNext w:val="0"/>
              <w:ind w:left="216" w:hanging="216"/>
            </w:pPr>
            <w:r>
              <w:t>Provide supervision for youth on supervised home visits</w:t>
            </w:r>
          </w:p>
        </w:tc>
      </w:tr>
      <w:tr w:rsidR="001D4402" w:rsidRPr="00CD1826" w14:paraId="01BFD11F"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50385F8E" w14:textId="77777777" w:rsidR="001D4402" w:rsidRDefault="001D4402" w:rsidP="00710F1C">
            <w:pPr>
              <w:pStyle w:val="TableText"/>
            </w:pPr>
            <w:r>
              <w:t>Community Facility Standard 08: Nutrition and Health</w:t>
            </w:r>
          </w:p>
        </w:tc>
        <w:tc>
          <w:tcPr>
            <w:tcW w:w="721" w:type="pct"/>
          </w:tcPr>
          <w:p w14:paraId="1DB6B357" w14:textId="77777777" w:rsidR="001D4402" w:rsidRDefault="001D4402" w:rsidP="00D61EAB">
            <w:pPr>
              <w:pStyle w:val="TableTextBoldCentered"/>
              <w:rPr>
                <w:b w:val="0"/>
              </w:rPr>
            </w:pPr>
            <w:r>
              <w:rPr>
                <w:b w:val="0"/>
              </w:rPr>
              <w:t>Medication Administration</w:t>
            </w:r>
          </w:p>
        </w:tc>
        <w:tc>
          <w:tcPr>
            <w:tcW w:w="3173" w:type="pct"/>
          </w:tcPr>
          <w:p w14:paraId="050AC18A" w14:textId="77777777" w:rsidR="001D4402" w:rsidRDefault="001D4402" w:rsidP="001D4402">
            <w:pPr>
              <w:pStyle w:val="TableBullet"/>
              <w:keepNext w:val="0"/>
              <w:ind w:left="216" w:hanging="216"/>
            </w:pPr>
            <w:r>
              <w:t xml:space="preserve">Medication administration records (DSHS Form 13-914) must be completed upon prescription medication dispensation for every youth with a </w:t>
            </w:r>
            <w:r w:rsidR="00385326">
              <w:t>current prescription</w:t>
            </w:r>
          </w:p>
          <w:p w14:paraId="08AF6FB4" w14:textId="77777777" w:rsidR="001D4402" w:rsidRDefault="001D4402" w:rsidP="001D4402">
            <w:pPr>
              <w:pStyle w:val="TableBullet"/>
              <w:keepNext w:val="0"/>
              <w:ind w:left="216" w:hanging="216"/>
            </w:pPr>
            <w:r>
              <w:t>Staff must conduct a daily review of prescription logs to ensure completion</w:t>
            </w:r>
          </w:p>
          <w:p w14:paraId="4D5CF214" w14:textId="77777777" w:rsidR="001D4402" w:rsidRDefault="001D4402" w:rsidP="001D4402">
            <w:pPr>
              <w:pStyle w:val="TableBullet"/>
              <w:keepNext w:val="0"/>
              <w:ind w:left="216" w:hanging="216"/>
            </w:pPr>
            <w:r>
              <w:t>Staff will conduct and document a weekly review of medication using the Prescription Medication Audit Form (DSHS For</w:t>
            </w:r>
            <w:r w:rsidR="00385326">
              <w:t>m</w:t>
            </w:r>
            <w:r>
              <w:t xml:space="preserve"> 13-913)</w:t>
            </w:r>
          </w:p>
        </w:tc>
      </w:tr>
      <w:tr w:rsidR="001D4402" w:rsidRPr="00CD1826" w14:paraId="09323F32" w14:textId="77777777" w:rsidTr="00D61EAB">
        <w:tc>
          <w:tcPr>
            <w:tcW w:w="1106" w:type="pct"/>
          </w:tcPr>
          <w:p w14:paraId="36C63C4C" w14:textId="77777777" w:rsidR="001D4402" w:rsidRDefault="001D4402" w:rsidP="00710F1C">
            <w:pPr>
              <w:pStyle w:val="TableText"/>
            </w:pPr>
            <w:r>
              <w:t>Community Facility Standard 08: Nutrition and Health</w:t>
            </w:r>
          </w:p>
        </w:tc>
        <w:tc>
          <w:tcPr>
            <w:tcW w:w="721" w:type="pct"/>
          </w:tcPr>
          <w:p w14:paraId="6E0405A0" w14:textId="77777777" w:rsidR="001D4402" w:rsidRDefault="001D4402" w:rsidP="00D61EAB">
            <w:pPr>
              <w:pStyle w:val="TableTextBoldCentered"/>
              <w:rPr>
                <w:b w:val="0"/>
              </w:rPr>
            </w:pPr>
            <w:r>
              <w:rPr>
                <w:b w:val="0"/>
              </w:rPr>
              <w:t>Substance Abuse Monitoring</w:t>
            </w:r>
          </w:p>
        </w:tc>
        <w:tc>
          <w:tcPr>
            <w:tcW w:w="3173" w:type="pct"/>
          </w:tcPr>
          <w:p w14:paraId="2B58D00D" w14:textId="77777777" w:rsidR="001D4402" w:rsidRDefault="001D4402" w:rsidP="001D4402">
            <w:pPr>
              <w:pStyle w:val="TableBullet"/>
              <w:keepNext w:val="0"/>
              <w:ind w:left="216" w:hanging="216"/>
            </w:pPr>
            <w:r>
              <w:t>Substance abuse prevention activities, including urinalysis and breathalyzer tests will be provided and documents in accordance with Policy 3.40 Testing Youth for Unauthorized Substance Use</w:t>
            </w:r>
          </w:p>
        </w:tc>
      </w:tr>
      <w:tr w:rsidR="001D4402" w:rsidRPr="00CD1826" w14:paraId="0E905685"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67AF04AE" w14:textId="77777777" w:rsidR="001D4402" w:rsidRDefault="001D4402" w:rsidP="00710F1C">
            <w:pPr>
              <w:pStyle w:val="TableText"/>
            </w:pPr>
            <w:r>
              <w:t>Community Facility Standard 09: File Management</w:t>
            </w:r>
          </w:p>
        </w:tc>
        <w:tc>
          <w:tcPr>
            <w:tcW w:w="721" w:type="pct"/>
          </w:tcPr>
          <w:p w14:paraId="405364CC" w14:textId="77777777" w:rsidR="001D4402" w:rsidRDefault="001D4402" w:rsidP="00D61EAB">
            <w:pPr>
              <w:pStyle w:val="TableTextBoldCentered"/>
              <w:rPr>
                <w:b w:val="0"/>
              </w:rPr>
            </w:pPr>
            <w:r>
              <w:rPr>
                <w:b w:val="0"/>
              </w:rPr>
              <w:t>File Management</w:t>
            </w:r>
          </w:p>
        </w:tc>
        <w:tc>
          <w:tcPr>
            <w:tcW w:w="3173" w:type="pct"/>
          </w:tcPr>
          <w:p w14:paraId="5A4EBAED" w14:textId="77777777" w:rsidR="001D4402" w:rsidRDefault="001D4402" w:rsidP="001D4402">
            <w:pPr>
              <w:pStyle w:val="TableBullet"/>
              <w:keepNext w:val="0"/>
              <w:ind w:left="216" w:hanging="216"/>
            </w:pPr>
            <w:r>
              <w:t xml:space="preserve">Staff must ensure that the files contain: Order of Commitment/Disposition; Treatment Planning and Progress Note (TPPN) within 30 days of arrival; updated reentry plan; a community access plan (Using Treatment Addendum, DSHS </w:t>
            </w:r>
            <w:r w:rsidR="00385326">
              <w:t>Form</w:t>
            </w:r>
            <w:r>
              <w:t xml:space="preserve"> 20-321); and individual education and vocational plan; restitution and financial obligations payment plan (DSHS </w:t>
            </w:r>
            <w:r w:rsidR="00385326">
              <w:t>Form</w:t>
            </w:r>
            <w:r>
              <w:t xml:space="preserve"> 27-139); a community service plan.</w:t>
            </w:r>
          </w:p>
          <w:p w14:paraId="1966079E" w14:textId="77777777" w:rsidR="001D4402" w:rsidRDefault="001D4402" w:rsidP="001D4402">
            <w:pPr>
              <w:pStyle w:val="TableBullet"/>
              <w:keepNext w:val="0"/>
              <w:ind w:left="216" w:hanging="216"/>
            </w:pPr>
            <w:r>
              <w:t>Staff will maintain a list of individuals approved for contact with each resident and document them in ACT</w:t>
            </w:r>
          </w:p>
          <w:p w14:paraId="7A3EF2FD" w14:textId="77777777" w:rsidR="001D4402" w:rsidRDefault="001D4402" w:rsidP="001D4402">
            <w:pPr>
              <w:pStyle w:val="TableBullet"/>
              <w:keepNext w:val="0"/>
              <w:ind w:left="216" w:hanging="216"/>
            </w:pPr>
            <w:r>
              <w:t>Staff will ensure a resident’s level (or privileges) within the program be based on documented treatment progress</w:t>
            </w:r>
          </w:p>
          <w:p w14:paraId="5BFCD5C2" w14:textId="77777777" w:rsidR="001D4402" w:rsidRDefault="001D4402" w:rsidP="001D4402">
            <w:pPr>
              <w:pStyle w:val="TableBullet"/>
              <w:keepNext w:val="0"/>
              <w:ind w:left="216" w:hanging="216"/>
            </w:pPr>
            <w:r>
              <w:t>Each resident’s participation, progress and behavior will be monitored by staff and documented in the Legal Log on a daily basis.</w:t>
            </w:r>
          </w:p>
          <w:p w14:paraId="0DA16B71" w14:textId="77777777" w:rsidR="001D4402" w:rsidRDefault="001D4402" w:rsidP="001D4402">
            <w:pPr>
              <w:pStyle w:val="TableBullet"/>
              <w:keepNext w:val="0"/>
              <w:ind w:left="216" w:hanging="216"/>
            </w:pPr>
            <w:r>
              <w:t>Increased logging for youth placed on SPL or other specialized program will be documented in alignment with Policy 3.30, Assessing and Treating Youth Suicide and Self-Harm Risk</w:t>
            </w:r>
          </w:p>
          <w:p w14:paraId="04A37A1D" w14:textId="77777777" w:rsidR="001D4402" w:rsidRDefault="001D4402" w:rsidP="001D4402">
            <w:pPr>
              <w:pStyle w:val="TableBullet"/>
              <w:keepNext w:val="0"/>
              <w:ind w:left="216" w:hanging="216"/>
            </w:pPr>
            <w:r>
              <w:lastRenderedPageBreak/>
              <w:t>A shift summary for each day, swing, and graveyard shift must be completed</w:t>
            </w:r>
          </w:p>
        </w:tc>
      </w:tr>
      <w:tr w:rsidR="001D4402" w:rsidRPr="00CD1826" w14:paraId="432B4457" w14:textId="77777777" w:rsidTr="00D61EAB">
        <w:tc>
          <w:tcPr>
            <w:tcW w:w="1106" w:type="pct"/>
          </w:tcPr>
          <w:p w14:paraId="5253F7B2" w14:textId="77777777" w:rsidR="001D4402" w:rsidRDefault="001D4402" w:rsidP="00710F1C">
            <w:pPr>
              <w:pStyle w:val="TableText"/>
            </w:pPr>
            <w:r>
              <w:lastRenderedPageBreak/>
              <w:t>Community Facility Standard 10: Applying the PREA Juvenile Standards in Community Facilities</w:t>
            </w:r>
          </w:p>
        </w:tc>
        <w:tc>
          <w:tcPr>
            <w:tcW w:w="721" w:type="pct"/>
          </w:tcPr>
          <w:p w14:paraId="7A523729" w14:textId="77777777" w:rsidR="001D4402" w:rsidRDefault="001D4402" w:rsidP="00D61EAB">
            <w:pPr>
              <w:pStyle w:val="TableTextBoldCentered"/>
              <w:rPr>
                <w:b w:val="0"/>
              </w:rPr>
            </w:pPr>
            <w:r>
              <w:rPr>
                <w:b w:val="0"/>
              </w:rPr>
              <w:t>PREA</w:t>
            </w:r>
          </w:p>
        </w:tc>
        <w:tc>
          <w:tcPr>
            <w:tcW w:w="3173" w:type="pct"/>
          </w:tcPr>
          <w:p w14:paraId="3F1B1562" w14:textId="77777777" w:rsidR="001D4402" w:rsidRDefault="001D4402" w:rsidP="001D4402">
            <w:pPr>
              <w:pStyle w:val="TableBullet"/>
              <w:keepNext w:val="0"/>
              <w:ind w:left="216" w:hanging="216"/>
            </w:pPr>
            <w:r>
              <w:t>Staff must update the SAVY (DSHS Form 20-222) within 24 hours of transfer from a different JR residential facility per Policy 3.20 Assessing Sexually Aggressive or Vulnerable Youth (SAVY)</w:t>
            </w:r>
          </w:p>
          <w:p w14:paraId="0D102340" w14:textId="77777777" w:rsidR="001D4402" w:rsidRDefault="001D4402" w:rsidP="001D4402">
            <w:pPr>
              <w:pStyle w:val="TableBullet"/>
              <w:keepNext w:val="0"/>
              <w:ind w:left="216" w:hanging="216"/>
            </w:pPr>
            <w:r>
              <w:t>Staff must provide age-appropriate PREA education upon transfer to a CF</w:t>
            </w:r>
          </w:p>
          <w:p w14:paraId="3F250F23" w14:textId="77777777" w:rsidR="001D4402" w:rsidRDefault="001D4402" w:rsidP="001D4402">
            <w:pPr>
              <w:pStyle w:val="TableBullet"/>
              <w:keepNext w:val="0"/>
              <w:ind w:left="216" w:hanging="216"/>
            </w:pPr>
            <w:r>
              <w:t>Staff must complete the SOGIE questionnaire in ACT with the youth on the day of arrival</w:t>
            </w:r>
          </w:p>
          <w:p w14:paraId="0BC29719" w14:textId="77777777" w:rsidR="001D4402" w:rsidRDefault="001D4402" w:rsidP="001D4402">
            <w:pPr>
              <w:pStyle w:val="TableBullet"/>
              <w:keepNext w:val="0"/>
              <w:ind w:left="216" w:hanging="216"/>
            </w:pPr>
            <w:r>
              <w:t>Youth PREA education must be completed with each youth within 10 days of their intake</w:t>
            </w:r>
          </w:p>
        </w:tc>
      </w:tr>
      <w:tr w:rsidR="001D4402" w:rsidRPr="00CD1826" w14:paraId="43435D55"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6DE9A887" w14:textId="77777777" w:rsidR="001D4402" w:rsidRDefault="001D4402" w:rsidP="00710F1C">
            <w:pPr>
              <w:pStyle w:val="TableText"/>
            </w:pPr>
            <w:r>
              <w:t>Community Facility Standard 11: Case Management Responsibilities</w:t>
            </w:r>
          </w:p>
        </w:tc>
        <w:tc>
          <w:tcPr>
            <w:tcW w:w="721" w:type="pct"/>
          </w:tcPr>
          <w:p w14:paraId="37F3249A" w14:textId="77777777" w:rsidR="001D4402" w:rsidRDefault="001D4402" w:rsidP="00D61EAB">
            <w:pPr>
              <w:pStyle w:val="TableTextBoldCentered"/>
              <w:rPr>
                <w:b w:val="0"/>
              </w:rPr>
            </w:pPr>
            <w:r>
              <w:rPr>
                <w:b w:val="0"/>
              </w:rPr>
              <w:t>Case Management: General</w:t>
            </w:r>
          </w:p>
        </w:tc>
        <w:tc>
          <w:tcPr>
            <w:tcW w:w="3173" w:type="pct"/>
          </w:tcPr>
          <w:p w14:paraId="05CFEE9B" w14:textId="77777777" w:rsidR="001D4402" w:rsidRDefault="001D4402" w:rsidP="001D4402">
            <w:pPr>
              <w:pStyle w:val="TableBullet"/>
              <w:keepNext w:val="0"/>
              <w:ind w:left="216" w:hanging="216"/>
            </w:pPr>
            <w:r>
              <w:t>Case managers are responsible for the effective treatment planning and implementation of said treatment for all youth in the facility</w:t>
            </w:r>
          </w:p>
          <w:p w14:paraId="15016ECD" w14:textId="77777777" w:rsidR="001D4402" w:rsidRDefault="001D4402" w:rsidP="001D4402">
            <w:pPr>
              <w:pStyle w:val="TableBullet"/>
              <w:keepNext w:val="0"/>
              <w:ind w:left="216" w:hanging="216"/>
            </w:pPr>
            <w:r>
              <w:t>Case managers are responsible for leading groups and coaching on the floor</w:t>
            </w:r>
          </w:p>
          <w:p w14:paraId="730474AD" w14:textId="77777777" w:rsidR="001D4402" w:rsidRDefault="001D4402" w:rsidP="001D4402">
            <w:pPr>
              <w:pStyle w:val="TableBullet"/>
              <w:keepNext w:val="0"/>
              <w:ind w:left="216" w:hanging="216"/>
            </w:pPr>
            <w:r>
              <w:t>Counselor assistants may facilitate or co-facilitate groups, as needed</w:t>
            </w:r>
          </w:p>
          <w:p w14:paraId="0CFD189F" w14:textId="77777777" w:rsidR="001D4402" w:rsidRDefault="001D4402" w:rsidP="001D4402">
            <w:pPr>
              <w:pStyle w:val="TableBullet"/>
              <w:keepNext w:val="0"/>
              <w:ind w:left="216" w:hanging="216"/>
            </w:pPr>
            <w:r>
              <w:t>Facilitate assigned groups</w:t>
            </w:r>
          </w:p>
          <w:p w14:paraId="64A64455" w14:textId="77777777" w:rsidR="001D4402" w:rsidRDefault="001D4402" w:rsidP="001D4402">
            <w:pPr>
              <w:pStyle w:val="TableBullet"/>
              <w:keepNext w:val="0"/>
              <w:ind w:left="216" w:hanging="216"/>
            </w:pPr>
            <w:r>
              <w:t>Attend consultation team and didactic on a weekly basis</w:t>
            </w:r>
          </w:p>
          <w:p w14:paraId="59985009" w14:textId="77777777" w:rsidR="001D4402" w:rsidRDefault="001D4402" w:rsidP="001D4402">
            <w:pPr>
              <w:pStyle w:val="TableBullet"/>
              <w:keepNext w:val="0"/>
              <w:ind w:left="216" w:hanging="216"/>
            </w:pPr>
            <w:r>
              <w:t>Participate in supervision meetings at least once a month</w:t>
            </w:r>
          </w:p>
        </w:tc>
      </w:tr>
      <w:tr w:rsidR="001D4402" w:rsidRPr="00CD1826" w14:paraId="03B5C647" w14:textId="77777777" w:rsidTr="00D61EAB">
        <w:tc>
          <w:tcPr>
            <w:tcW w:w="1106" w:type="pct"/>
          </w:tcPr>
          <w:p w14:paraId="0A606D95" w14:textId="77777777" w:rsidR="001D4402" w:rsidRDefault="001D4402" w:rsidP="00710F1C">
            <w:pPr>
              <w:pStyle w:val="TableText"/>
            </w:pPr>
            <w:r>
              <w:t>Community Facility Standard 11: Case Management Responsibilities</w:t>
            </w:r>
          </w:p>
        </w:tc>
        <w:tc>
          <w:tcPr>
            <w:tcW w:w="721" w:type="pct"/>
          </w:tcPr>
          <w:p w14:paraId="3058AF97" w14:textId="77777777" w:rsidR="001D4402" w:rsidRDefault="001D4402" w:rsidP="00D61EAB">
            <w:pPr>
              <w:pStyle w:val="TableTextBoldCentered"/>
              <w:rPr>
                <w:b w:val="0"/>
              </w:rPr>
            </w:pPr>
            <w:r>
              <w:rPr>
                <w:b w:val="0"/>
              </w:rPr>
              <w:t>Case Management: Pre-Placement Phase</w:t>
            </w:r>
          </w:p>
        </w:tc>
        <w:tc>
          <w:tcPr>
            <w:tcW w:w="3173" w:type="pct"/>
          </w:tcPr>
          <w:p w14:paraId="5555121D" w14:textId="77777777" w:rsidR="001D4402" w:rsidRDefault="001D4402" w:rsidP="00FD2536">
            <w:pPr>
              <w:pStyle w:val="TableBullet"/>
              <w:keepNext w:val="0"/>
              <w:ind w:left="216" w:hanging="216"/>
            </w:pPr>
            <w:r>
              <w:t>In the community pre-placement phase, case managers must:</w:t>
            </w:r>
            <w:r w:rsidR="00FD2536">
              <w:t xml:space="preserve"> </w:t>
            </w:r>
            <w:r>
              <w:t>review youth’s referral packet, suitability screen, IC, treatment plan and TPPNs, CERD change possibilities and al SSS and SAVY’s within 7 days of being assigned to the youth</w:t>
            </w:r>
          </w:p>
          <w:p w14:paraId="3BA4CFB5" w14:textId="77777777" w:rsidR="001D4402" w:rsidRDefault="001D4402" w:rsidP="001D4402">
            <w:pPr>
              <w:pStyle w:val="TableBullet"/>
              <w:keepNext w:val="0"/>
              <w:ind w:left="216" w:hanging="216"/>
            </w:pPr>
            <w:r>
              <w:t>Document contacts with parents, guardians and current case manager in ACT</w:t>
            </w:r>
          </w:p>
          <w:p w14:paraId="3CC11F2E" w14:textId="77777777" w:rsidR="001D4402" w:rsidRDefault="001D4402" w:rsidP="001D4402">
            <w:pPr>
              <w:pStyle w:val="TableBullet"/>
              <w:keepNext w:val="0"/>
              <w:ind w:left="216" w:hanging="216"/>
            </w:pPr>
            <w:r>
              <w:t>Ensure that medical and treatment needs are identified in advance of transfer and referrals are sent as needed</w:t>
            </w:r>
          </w:p>
          <w:p w14:paraId="57D60C0A" w14:textId="77777777" w:rsidR="001D4402" w:rsidRDefault="001D4402" w:rsidP="001D4402">
            <w:pPr>
              <w:pStyle w:val="TableBullet"/>
              <w:keepNext w:val="0"/>
              <w:ind w:left="216" w:hanging="216"/>
            </w:pPr>
            <w:r>
              <w:t>Share the youth’s reentry plan including school and vocational goals with staff team</w:t>
            </w:r>
          </w:p>
          <w:p w14:paraId="4998BDCA" w14:textId="77777777" w:rsidR="001D4402" w:rsidRDefault="001D4402" w:rsidP="001D4402">
            <w:pPr>
              <w:pStyle w:val="TableBullet"/>
              <w:keepNext w:val="0"/>
              <w:ind w:left="216" w:hanging="216"/>
            </w:pPr>
            <w:r>
              <w:t>Ensure a binder is prepared for the youth including all orientation material prior to transfer.</w:t>
            </w:r>
          </w:p>
        </w:tc>
      </w:tr>
      <w:tr w:rsidR="001D4402" w:rsidRPr="00CD1826" w14:paraId="419A7202"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6F8447BD" w14:textId="77777777" w:rsidR="001D4402" w:rsidRDefault="001D4402" w:rsidP="00710F1C">
            <w:pPr>
              <w:pStyle w:val="TableText"/>
            </w:pPr>
            <w:r>
              <w:t>Community Facility Standard 11: Case Management Responsibilities</w:t>
            </w:r>
          </w:p>
        </w:tc>
        <w:tc>
          <w:tcPr>
            <w:tcW w:w="721" w:type="pct"/>
          </w:tcPr>
          <w:p w14:paraId="40C11579" w14:textId="77777777" w:rsidR="001D4402" w:rsidRDefault="001D4402" w:rsidP="00D61EAB">
            <w:pPr>
              <w:pStyle w:val="TableTextBoldCentered"/>
              <w:rPr>
                <w:b w:val="0"/>
              </w:rPr>
            </w:pPr>
            <w:r>
              <w:rPr>
                <w:b w:val="0"/>
              </w:rPr>
              <w:t>Case Management: Orientation and Assessment Phase</w:t>
            </w:r>
          </w:p>
        </w:tc>
        <w:tc>
          <w:tcPr>
            <w:tcW w:w="3173" w:type="pct"/>
          </w:tcPr>
          <w:p w14:paraId="4A618784" w14:textId="77777777" w:rsidR="001D4402" w:rsidRDefault="001D4402" w:rsidP="001D4402">
            <w:pPr>
              <w:pStyle w:val="TableBullet"/>
              <w:keepNext w:val="0"/>
              <w:ind w:left="216" w:hanging="216"/>
            </w:pPr>
            <w:r>
              <w:t>Ensure completion of local intake packet on day of intake</w:t>
            </w:r>
          </w:p>
          <w:p w14:paraId="1A98B483" w14:textId="77777777" w:rsidR="001D4402" w:rsidRDefault="001D4402" w:rsidP="001D4402">
            <w:pPr>
              <w:pStyle w:val="TableBullet"/>
              <w:keepNext w:val="0"/>
              <w:ind w:left="216" w:hanging="216"/>
            </w:pPr>
            <w:r>
              <w:t>Ensure that appropriate medical and treatment appointments are scheduled within the first 7 days of youth’s arrival</w:t>
            </w:r>
          </w:p>
          <w:p w14:paraId="6F51CC18" w14:textId="77777777" w:rsidR="001D4402" w:rsidRDefault="001D4402" w:rsidP="001D4402">
            <w:pPr>
              <w:pStyle w:val="TableBullet"/>
              <w:keepNext w:val="0"/>
              <w:ind w:left="216" w:hanging="216"/>
            </w:pPr>
            <w:r>
              <w:t>Update client information in ACT within 7 days of intake</w:t>
            </w:r>
          </w:p>
          <w:p w14:paraId="300FB200" w14:textId="77777777" w:rsidR="001D4402" w:rsidRDefault="001D4402" w:rsidP="001D4402">
            <w:pPr>
              <w:pStyle w:val="TableBullet"/>
              <w:keepNext w:val="0"/>
              <w:ind w:left="216" w:hanging="216"/>
            </w:pPr>
            <w:r>
              <w:t>Ensure youth’s PREA education is competed and recorded</w:t>
            </w:r>
          </w:p>
          <w:p w14:paraId="652C7873" w14:textId="77777777" w:rsidR="001D4402" w:rsidRDefault="001D4402" w:rsidP="001D4402">
            <w:pPr>
              <w:pStyle w:val="TableBullet"/>
              <w:keepNext w:val="0"/>
              <w:ind w:left="216" w:hanging="216"/>
            </w:pPr>
            <w:r>
              <w:t>Review youth’s record in ACT DVR Module within first 30 days to identify DVR status and ensure youth has competed screening and referral if needed</w:t>
            </w:r>
          </w:p>
          <w:p w14:paraId="7615B46F" w14:textId="77777777" w:rsidR="001D4402" w:rsidRDefault="001D4402" w:rsidP="001D4402">
            <w:pPr>
              <w:pStyle w:val="TableBullet"/>
              <w:keepNext w:val="0"/>
              <w:ind w:left="216" w:hanging="216"/>
            </w:pPr>
            <w:r>
              <w:t>Complete a BCA, update the treatment plan and Reentry Plan within 30 days, and update the diary card as needed</w:t>
            </w:r>
          </w:p>
          <w:p w14:paraId="39B7EC4D" w14:textId="77777777" w:rsidR="001D4402" w:rsidRDefault="001D4402" w:rsidP="001D4402">
            <w:pPr>
              <w:pStyle w:val="TableBullet"/>
              <w:keepNext w:val="0"/>
              <w:ind w:left="216" w:hanging="216"/>
            </w:pPr>
            <w:r>
              <w:t>Schedule and conduct individual DBT sessions weekly with each youth; document session notes in ACT within 24 hours of the session; sessions will have an assignment and review of diary card and homework; set agenda for each session</w:t>
            </w:r>
          </w:p>
          <w:p w14:paraId="5FF1280D" w14:textId="77777777" w:rsidR="001D4402" w:rsidRDefault="001D4402" w:rsidP="001D4402">
            <w:pPr>
              <w:pStyle w:val="TableBullet"/>
              <w:keepNext w:val="0"/>
              <w:ind w:left="216" w:hanging="216"/>
            </w:pPr>
            <w:r>
              <w:t>Document a minimum of 2 family contacts or family attempts per month in ACT with at least one serving as the ITM contact</w:t>
            </w:r>
          </w:p>
        </w:tc>
      </w:tr>
      <w:tr w:rsidR="001D4402" w:rsidRPr="00CD1826" w14:paraId="720E5433" w14:textId="77777777" w:rsidTr="00D61EAB">
        <w:tc>
          <w:tcPr>
            <w:tcW w:w="1106" w:type="pct"/>
          </w:tcPr>
          <w:p w14:paraId="5D149728" w14:textId="77777777" w:rsidR="001D4402" w:rsidRDefault="001D4402" w:rsidP="00710F1C">
            <w:pPr>
              <w:pStyle w:val="TableText"/>
            </w:pPr>
            <w:r>
              <w:t>Community Facility Standard 11: Case Management Responsibilities</w:t>
            </w:r>
          </w:p>
        </w:tc>
        <w:tc>
          <w:tcPr>
            <w:tcW w:w="721" w:type="pct"/>
          </w:tcPr>
          <w:p w14:paraId="79F7D0F7" w14:textId="77777777" w:rsidR="001D4402" w:rsidRDefault="001D4402" w:rsidP="00D61EAB">
            <w:pPr>
              <w:pStyle w:val="TableTextBoldCentered"/>
              <w:rPr>
                <w:b w:val="0"/>
              </w:rPr>
            </w:pPr>
            <w:r>
              <w:rPr>
                <w:b w:val="0"/>
              </w:rPr>
              <w:t>Case Management: Integration Phase</w:t>
            </w:r>
          </w:p>
        </w:tc>
        <w:tc>
          <w:tcPr>
            <w:tcW w:w="3173" w:type="pct"/>
          </w:tcPr>
          <w:p w14:paraId="3318821A" w14:textId="77777777" w:rsidR="001D4402" w:rsidRDefault="001D4402" w:rsidP="001D4402">
            <w:pPr>
              <w:pStyle w:val="TableBullet"/>
              <w:keepNext w:val="0"/>
              <w:ind w:left="216" w:hanging="216"/>
            </w:pPr>
            <w:r>
              <w:t>Work with youth on realistic and achievable school and vocational goals and set objectives to meet them</w:t>
            </w:r>
          </w:p>
          <w:p w14:paraId="4E43E85A" w14:textId="77777777" w:rsidR="001D4402" w:rsidRDefault="001D4402" w:rsidP="001D4402">
            <w:pPr>
              <w:pStyle w:val="TableBullet"/>
              <w:keepNext w:val="0"/>
              <w:ind w:left="216" w:hanging="216"/>
            </w:pPr>
            <w:r>
              <w:t xml:space="preserve">Develop and distributes community addendums, out of house schedules and supervision agreements for the community programs </w:t>
            </w:r>
          </w:p>
          <w:p w14:paraId="1E35946C" w14:textId="77777777" w:rsidR="001D4402" w:rsidRDefault="001D4402" w:rsidP="001D4402">
            <w:pPr>
              <w:pStyle w:val="TableBullet"/>
              <w:keepNext w:val="0"/>
              <w:ind w:left="216" w:hanging="216"/>
            </w:pPr>
            <w:r>
              <w:t>Develop and submit for approval of all Community Involvement Passes, home visits and Authorized Leaves</w:t>
            </w:r>
          </w:p>
          <w:p w14:paraId="088BB0E7" w14:textId="77777777" w:rsidR="001D4402" w:rsidRDefault="001D4402" w:rsidP="00710F1C">
            <w:pPr>
              <w:pStyle w:val="TableBullet"/>
              <w:numPr>
                <w:ilvl w:val="0"/>
                <w:numId w:val="0"/>
              </w:numPr>
              <w:ind w:left="216"/>
            </w:pPr>
          </w:p>
        </w:tc>
      </w:tr>
      <w:tr w:rsidR="001D4402" w:rsidRPr="00CD1826" w14:paraId="05762C5B"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2AC110E7" w14:textId="77777777" w:rsidR="001D4402" w:rsidRDefault="001D4402" w:rsidP="00710F1C">
            <w:pPr>
              <w:pStyle w:val="TableText"/>
            </w:pPr>
            <w:r>
              <w:lastRenderedPageBreak/>
              <w:t>Community Facility Standard 11: Case Management Responsibilities</w:t>
            </w:r>
          </w:p>
        </w:tc>
        <w:tc>
          <w:tcPr>
            <w:tcW w:w="721" w:type="pct"/>
          </w:tcPr>
          <w:p w14:paraId="4BB248CE" w14:textId="77777777" w:rsidR="001D4402" w:rsidRDefault="001D4402" w:rsidP="00D61EAB">
            <w:pPr>
              <w:pStyle w:val="TableTextBoldCentered"/>
              <w:rPr>
                <w:b w:val="0"/>
              </w:rPr>
            </w:pPr>
            <w:r>
              <w:rPr>
                <w:b w:val="0"/>
              </w:rPr>
              <w:t>Case Management: Release and Reentry Phase</w:t>
            </w:r>
          </w:p>
        </w:tc>
        <w:tc>
          <w:tcPr>
            <w:tcW w:w="3173" w:type="pct"/>
          </w:tcPr>
          <w:p w14:paraId="119FED57" w14:textId="77777777" w:rsidR="001D4402" w:rsidRDefault="001D4402" w:rsidP="001D4402">
            <w:pPr>
              <w:pStyle w:val="TableBullet"/>
              <w:keepNext w:val="0"/>
              <w:ind w:left="216" w:hanging="216"/>
            </w:pPr>
            <w:r>
              <w:t xml:space="preserve">Ensure programming will address life skills to ensure successful return to </w:t>
            </w:r>
            <w:r w:rsidR="00385326">
              <w:t>socially</w:t>
            </w:r>
            <w:r>
              <w:t xml:space="preserve"> responsible living and lifestyle choices</w:t>
            </w:r>
          </w:p>
          <w:p w14:paraId="3F60E8AA" w14:textId="77777777" w:rsidR="001D4402" w:rsidRDefault="001D4402" w:rsidP="001D4402">
            <w:pPr>
              <w:pStyle w:val="TableBullet"/>
              <w:keepNext w:val="0"/>
              <w:ind w:left="216" w:hanging="216"/>
            </w:pPr>
            <w:r>
              <w:t>Schedule youth’s Release RTM if the youth will be discharging from the community facility without parole</w:t>
            </w:r>
          </w:p>
          <w:p w14:paraId="03CA953B" w14:textId="77777777" w:rsidR="001D4402" w:rsidRDefault="001D4402" w:rsidP="001D4402">
            <w:pPr>
              <w:pStyle w:val="TableBullet"/>
              <w:keepNext w:val="0"/>
              <w:ind w:left="216" w:hanging="216"/>
            </w:pPr>
            <w:r>
              <w:t>Ensure applicable notifications to the community are completed</w:t>
            </w:r>
          </w:p>
          <w:p w14:paraId="0DCBB940" w14:textId="77777777" w:rsidR="001D4402" w:rsidRDefault="001D4402" w:rsidP="001D4402">
            <w:pPr>
              <w:pStyle w:val="TableBullet"/>
              <w:keepNext w:val="0"/>
              <w:ind w:left="216" w:hanging="216"/>
            </w:pPr>
            <w:r>
              <w:t>Begin Coping Ahead (DBT) planning for returning to the community and ensure that planning includes the practice of all new solutions for ALL problem behaviors targeted while in custody</w:t>
            </w:r>
          </w:p>
          <w:p w14:paraId="5B8E844C" w14:textId="77777777" w:rsidR="001D4402" w:rsidRDefault="001D4402" w:rsidP="001D4402">
            <w:pPr>
              <w:pStyle w:val="TableBullet"/>
              <w:keepNext w:val="0"/>
              <w:ind w:left="216" w:hanging="216"/>
            </w:pPr>
          </w:p>
        </w:tc>
      </w:tr>
      <w:tr w:rsidR="001D4402" w:rsidRPr="00CD1826" w14:paraId="10DEBD7F" w14:textId="77777777" w:rsidTr="00D61EAB">
        <w:tc>
          <w:tcPr>
            <w:tcW w:w="1106" w:type="pct"/>
          </w:tcPr>
          <w:p w14:paraId="2190633F" w14:textId="77777777" w:rsidR="001D4402" w:rsidRDefault="001D4402" w:rsidP="00710F1C">
            <w:pPr>
              <w:pStyle w:val="TableText"/>
            </w:pPr>
            <w:r>
              <w:t>Community Facility Standard 12: Youth Driving</w:t>
            </w:r>
          </w:p>
        </w:tc>
        <w:tc>
          <w:tcPr>
            <w:tcW w:w="721" w:type="pct"/>
          </w:tcPr>
          <w:p w14:paraId="3B3C269A" w14:textId="77777777" w:rsidR="001D4402" w:rsidRDefault="001D4402" w:rsidP="00D61EAB">
            <w:pPr>
              <w:pStyle w:val="TableTextBoldCentered"/>
              <w:rPr>
                <w:b w:val="0"/>
              </w:rPr>
            </w:pPr>
            <w:r>
              <w:rPr>
                <w:b w:val="0"/>
              </w:rPr>
              <w:t>Youth Driving</w:t>
            </w:r>
          </w:p>
        </w:tc>
        <w:tc>
          <w:tcPr>
            <w:tcW w:w="3173" w:type="pct"/>
          </w:tcPr>
          <w:p w14:paraId="0DA1BD10" w14:textId="77777777" w:rsidR="001D4402" w:rsidRDefault="001D4402" w:rsidP="001D4402">
            <w:pPr>
              <w:pStyle w:val="TableBullet"/>
              <w:keepNext w:val="0"/>
              <w:ind w:left="216" w:hanging="216"/>
            </w:pPr>
            <w:r>
              <w:t>Assist, as appropriate, youth participate in driver’s education, practice driving with guardian and obtaining driver’s license</w:t>
            </w:r>
          </w:p>
        </w:tc>
      </w:tr>
      <w:tr w:rsidR="001D4402" w:rsidRPr="00CD1826" w14:paraId="489DBB9F" w14:textId="77777777" w:rsidTr="00D61EAB">
        <w:trPr>
          <w:cnfStyle w:val="000000100000" w:firstRow="0" w:lastRow="0" w:firstColumn="0" w:lastColumn="0" w:oddVBand="0" w:evenVBand="0" w:oddHBand="1" w:evenHBand="0" w:firstRowFirstColumn="0" w:firstRowLastColumn="0" w:lastRowFirstColumn="0" w:lastRowLastColumn="0"/>
        </w:trPr>
        <w:tc>
          <w:tcPr>
            <w:tcW w:w="1106" w:type="pct"/>
          </w:tcPr>
          <w:p w14:paraId="4C186AD5" w14:textId="77777777" w:rsidR="001D4402" w:rsidRDefault="001D4402" w:rsidP="00710F1C">
            <w:pPr>
              <w:pStyle w:val="TableText"/>
            </w:pPr>
            <w:r>
              <w:t>Community Facility Standard 13: Safety and Security</w:t>
            </w:r>
          </w:p>
        </w:tc>
        <w:tc>
          <w:tcPr>
            <w:tcW w:w="721" w:type="pct"/>
          </w:tcPr>
          <w:p w14:paraId="5FC741F9" w14:textId="77777777" w:rsidR="001D4402" w:rsidRDefault="001D4402" w:rsidP="00D61EAB">
            <w:pPr>
              <w:pStyle w:val="TableTextBoldCentered"/>
              <w:rPr>
                <w:b w:val="0"/>
              </w:rPr>
            </w:pPr>
            <w:r>
              <w:rPr>
                <w:b w:val="0"/>
              </w:rPr>
              <w:t>Safety and Security</w:t>
            </w:r>
          </w:p>
        </w:tc>
        <w:tc>
          <w:tcPr>
            <w:tcW w:w="3173" w:type="pct"/>
          </w:tcPr>
          <w:p w14:paraId="7A3ACA11" w14:textId="77777777" w:rsidR="001D4402" w:rsidRDefault="001D4402" w:rsidP="001D4402">
            <w:pPr>
              <w:pStyle w:val="TableBullet"/>
              <w:keepNext w:val="0"/>
              <w:ind w:left="216" w:hanging="216"/>
            </w:pPr>
            <w:r>
              <w:t>Staff will conduct and document random visual checks:</w:t>
            </w:r>
          </w:p>
          <w:p w14:paraId="3C66DB7F" w14:textId="77777777" w:rsidR="001D4402" w:rsidRDefault="001D4402" w:rsidP="001D4402">
            <w:pPr>
              <w:pStyle w:val="TableBullet"/>
              <w:keepNext w:val="0"/>
              <w:numPr>
                <w:ilvl w:val="1"/>
                <w:numId w:val="9"/>
              </w:numPr>
              <w:ind w:left="432" w:hanging="270"/>
            </w:pPr>
            <w:r>
              <w:t xml:space="preserve">At least once every 60 </w:t>
            </w:r>
            <w:r w:rsidR="00385326">
              <w:t>minutes</w:t>
            </w:r>
            <w:r>
              <w:t xml:space="preserve"> during waking hours</w:t>
            </w:r>
          </w:p>
          <w:p w14:paraId="50FF7193" w14:textId="77777777" w:rsidR="001D4402" w:rsidRDefault="001D4402" w:rsidP="001D4402">
            <w:pPr>
              <w:pStyle w:val="TableBullet"/>
              <w:keepNext w:val="0"/>
              <w:numPr>
                <w:ilvl w:val="1"/>
                <w:numId w:val="9"/>
              </w:numPr>
              <w:ind w:left="432" w:hanging="270"/>
            </w:pPr>
            <w:r>
              <w:t>At least twice every 60 minutes on a random schedule during schedule sleeping hours</w:t>
            </w:r>
          </w:p>
          <w:p w14:paraId="72B4F774" w14:textId="77777777" w:rsidR="001D4402" w:rsidRDefault="001D4402" w:rsidP="001D4402">
            <w:pPr>
              <w:pStyle w:val="TableBullet"/>
              <w:keepNext w:val="0"/>
              <w:numPr>
                <w:ilvl w:val="1"/>
                <w:numId w:val="9"/>
              </w:numPr>
              <w:ind w:left="432" w:hanging="270"/>
            </w:pPr>
            <w:r>
              <w:t>Check the program perimeter at least once per day and document in the Legal Log</w:t>
            </w:r>
          </w:p>
          <w:p w14:paraId="2386224A" w14:textId="77777777" w:rsidR="001D4402" w:rsidRDefault="001D4402" w:rsidP="001D4402">
            <w:pPr>
              <w:pStyle w:val="TableBullet"/>
              <w:keepNext w:val="0"/>
              <w:ind w:left="216" w:hanging="216"/>
            </w:pPr>
            <w:r>
              <w:t>Monitor visitors as well as youth during family visitations</w:t>
            </w:r>
          </w:p>
          <w:p w14:paraId="6BDE422D" w14:textId="77777777" w:rsidR="001D4402" w:rsidRDefault="001D4402" w:rsidP="001D4402">
            <w:pPr>
              <w:pStyle w:val="TableBullet"/>
              <w:keepNext w:val="0"/>
              <w:ind w:left="216" w:hanging="216"/>
            </w:pPr>
            <w:r>
              <w:t>Complete local duty checklist if working graveyard shift</w:t>
            </w:r>
          </w:p>
        </w:tc>
      </w:tr>
    </w:tbl>
    <w:p w14:paraId="6633A597" w14:textId="77777777" w:rsidR="001D4402" w:rsidRDefault="001D4402" w:rsidP="001D4402"/>
    <w:p w14:paraId="66648219" w14:textId="77777777" w:rsidR="00D61EAB" w:rsidRDefault="00D61EAB">
      <w:pPr>
        <w:spacing w:before="0" w:after="0"/>
        <w:rPr>
          <w:rFonts w:ascii="Arial Narrow" w:eastAsia="Times New Roman" w:hAnsi="Arial Narrow"/>
          <w:b/>
          <w:bCs/>
          <w:caps/>
          <w:color w:val="0046AC"/>
          <w:sz w:val="32"/>
          <w:szCs w:val="28"/>
        </w:rPr>
      </w:pPr>
      <w:r>
        <w:br w:type="page"/>
      </w:r>
    </w:p>
    <w:p w14:paraId="38DFD6AB" w14:textId="77777777" w:rsidR="001D4402" w:rsidRDefault="00F75641" w:rsidP="002323A9">
      <w:pPr>
        <w:pStyle w:val="Heading1"/>
      </w:pPr>
      <w:bookmarkStart w:id="125" w:name="_Toc531597555"/>
      <w:r>
        <w:lastRenderedPageBreak/>
        <w:t>Appendix</w:t>
      </w:r>
      <w:r w:rsidR="001D4402">
        <w:t xml:space="preserve"> C </w:t>
      </w:r>
      <w:r w:rsidR="007E1AE0" w:rsidRPr="00BE5090">
        <w:t>–</w:t>
      </w:r>
      <w:r w:rsidR="007E1AE0">
        <w:t xml:space="preserve"> </w:t>
      </w:r>
      <w:r>
        <w:t>Select JR Policies</w:t>
      </w:r>
      <w:bookmarkEnd w:id="125"/>
      <w:r>
        <w:t xml:space="preserve"> </w:t>
      </w:r>
    </w:p>
    <w:p w14:paraId="7E3B32F0" w14:textId="77777777" w:rsidR="007E1AE0" w:rsidRDefault="00DC48AB" w:rsidP="007E1AE0">
      <w:r>
        <w:t xml:space="preserve">Exhibit 10-1 </w:t>
      </w:r>
      <w:r w:rsidR="007E1AE0">
        <w:t xml:space="preserve">provides an overview of some of the </w:t>
      </w:r>
      <w:r w:rsidR="001C5462">
        <w:t>Rehabilitation</w:t>
      </w:r>
      <w:r w:rsidR="00D93C87">
        <w:t xml:space="preserve"> </w:t>
      </w:r>
      <w:r w:rsidR="001C5462">
        <w:t>Administration</w:t>
      </w:r>
      <w:r w:rsidR="00D93C87">
        <w:t xml:space="preserve"> (RA), Juvenile Rehabilitation (</w:t>
      </w:r>
      <w:r w:rsidR="005F1AAD">
        <w:t>JR</w:t>
      </w:r>
      <w:r w:rsidR="00D93C87">
        <w:t>)</w:t>
      </w:r>
      <w:r w:rsidR="007E1AE0">
        <w:t xml:space="preserve"> policies. It provides a glimpse into the key aspects of service provision by </w:t>
      </w:r>
      <w:r w:rsidR="004B5930">
        <w:t xml:space="preserve">JRRCs </w:t>
      </w:r>
      <w:r w:rsidR="007E1AE0">
        <w:t>and JRCAs.</w:t>
      </w:r>
    </w:p>
    <w:p w14:paraId="401E12B4" w14:textId="77777777" w:rsidR="007E1AE0" w:rsidRPr="00131649" w:rsidRDefault="007E1AE0" w:rsidP="007E1AE0">
      <w:pPr>
        <w:pStyle w:val="Caption"/>
      </w:pPr>
      <w:r>
        <w:t xml:space="preserve">Exhibit </w:t>
      </w:r>
      <w:r w:rsidR="00DC48AB">
        <w:rPr>
          <w:noProof/>
        </w:rPr>
        <w:t>10</w:t>
      </w:r>
      <w:r>
        <w:noBreakHyphen/>
      </w:r>
      <w:r w:rsidR="004E3CA2">
        <w:rPr>
          <w:noProof/>
        </w:rPr>
        <w:fldChar w:fldCharType="begin"/>
      </w:r>
      <w:r w:rsidR="004E3CA2">
        <w:rPr>
          <w:noProof/>
        </w:rPr>
        <w:instrText xml:space="preserve"> SEQ Exhibit \* ARABIC \s 1 </w:instrText>
      </w:r>
      <w:r w:rsidR="004E3CA2">
        <w:rPr>
          <w:noProof/>
        </w:rPr>
        <w:fldChar w:fldCharType="separate"/>
      </w:r>
      <w:r w:rsidR="00FD2536">
        <w:rPr>
          <w:noProof/>
        </w:rPr>
        <w:t>1</w:t>
      </w:r>
      <w:r w:rsidR="004E3CA2">
        <w:rPr>
          <w:noProof/>
        </w:rPr>
        <w:fldChar w:fldCharType="end"/>
      </w:r>
      <w:r w:rsidR="00E251C1">
        <w:t xml:space="preserve">. </w:t>
      </w:r>
      <w:r>
        <w:t>RA Policy Overview</w:t>
      </w:r>
    </w:p>
    <w:tbl>
      <w:tblPr>
        <w:tblStyle w:val="HyzerTable"/>
        <w:tblW w:w="5000" w:type="pct"/>
        <w:tblLook w:val="0420" w:firstRow="1" w:lastRow="0" w:firstColumn="0" w:lastColumn="0" w:noHBand="0" w:noVBand="1"/>
      </w:tblPr>
      <w:tblGrid>
        <w:gridCol w:w="2583"/>
        <w:gridCol w:w="1642"/>
        <w:gridCol w:w="5135"/>
      </w:tblGrid>
      <w:tr w:rsidR="007E1AE0" w:rsidRPr="00CD1826" w14:paraId="0813EC4B" w14:textId="77777777" w:rsidTr="00D61EAB">
        <w:trPr>
          <w:cnfStyle w:val="100000000000" w:firstRow="1" w:lastRow="0" w:firstColumn="0" w:lastColumn="0" w:oddVBand="0" w:evenVBand="0" w:oddHBand="0" w:evenHBand="0" w:firstRowFirstColumn="0" w:firstRowLastColumn="0" w:lastRowFirstColumn="0" w:lastRowLastColumn="0"/>
          <w:tblHeader/>
        </w:trPr>
        <w:tc>
          <w:tcPr>
            <w:tcW w:w="1380" w:type="pct"/>
            <w:vAlign w:val="center"/>
          </w:tcPr>
          <w:p w14:paraId="5CC0646C" w14:textId="77777777" w:rsidR="007E1AE0" w:rsidRPr="00D61EAB" w:rsidRDefault="007E1AE0" w:rsidP="003A1CBF">
            <w:pPr>
              <w:pStyle w:val="tableheaderwhite"/>
              <w:spacing w:before="20" w:after="20"/>
              <w:rPr>
                <w:sz w:val="22"/>
              </w:rPr>
            </w:pPr>
            <w:r w:rsidRPr="00D61EAB">
              <w:rPr>
                <w:sz w:val="22"/>
              </w:rPr>
              <w:t>Policy</w:t>
            </w:r>
          </w:p>
          <w:p w14:paraId="5BD965B0" w14:textId="77777777" w:rsidR="007E1AE0" w:rsidRPr="00D61EAB" w:rsidRDefault="007E1AE0" w:rsidP="003A1CBF">
            <w:pPr>
              <w:pStyle w:val="tableheaderwhite"/>
              <w:spacing w:before="20" w:after="20"/>
              <w:rPr>
                <w:sz w:val="22"/>
              </w:rPr>
            </w:pPr>
            <w:r w:rsidRPr="00D61EAB">
              <w:rPr>
                <w:sz w:val="22"/>
              </w:rPr>
              <w:t>Effective Date</w:t>
            </w:r>
          </w:p>
        </w:tc>
        <w:tc>
          <w:tcPr>
            <w:tcW w:w="877" w:type="pct"/>
          </w:tcPr>
          <w:p w14:paraId="3E1F04B4" w14:textId="77777777" w:rsidR="007E1AE0" w:rsidRPr="00D61EAB" w:rsidRDefault="007E1AE0" w:rsidP="003A1CBF">
            <w:pPr>
              <w:pStyle w:val="tableheaderwhite"/>
              <w:spacing w:before="20" w:after="20"/>
              <w:rPr>
                <w:sz w:val="22"/>
              </w:rPr>
            </w:pPr>
            <w:r w:rsidRPr="00D61EAB">
              <w:rPr>
                <w:sz w:val="22"/>
              </w:rPr>
              <w:t>Activity</w:t>
            </w:r>
          </w:p>
        </w:tc>
        <w:tc>
          <w:tcPr>
            <w:tcW w:w="2743" w:type="pct"/>
          </w:tcPr>
          <w:p w14:paraId="47043938" w14:textId="77777777" w:rsidR="007E1AE0" w:rsidRPr="00D61EAB" w:rsidRDefault="007E1AE0" w:rsidP="003A1CBF">
            <w:pPr>
              <w:pStyle w:val="tableheaderwhite"/>
              <w:spacing w:before="20" w:after="20"/>
              <w:rPr>
                <w:sz w:val="22"/>
              </w:rPr>
            </w:pPr>
            <w:r w:rsidRPr="00D61EAB">
              <w:rPr>
                <w:sz w:val="22"/>
              </w:rPr>
              <w:t>Key Requirements</w:t>
            </w:r>
          </w:p>
        </w:tc>
      </w:tr>
      <w:tr w:rsidR="007E1AE0" w:rsidRPr="00CD1826" w14:paraId="6FA132C0"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7F5CAFA4" w14:textId="77777777" w:rsidR="007E1AE0" w:rsidRDefault="007E1AE0" w:rsidP="00D61EAB">
            <w:pPr>
              <w:pStyle w:val="TableText"/>
              <w:spacing w:before="0" w:after="0"/>
            </w:pPr>
            <w:r>
              <w:t>JR Policy 3.10</w:t>
            </w:r>
          </w:p>
          <w:p w14:paraId="21CB21D6" w14:textId="77777777" w:rsidR="007E1AE0" w:rsidRDefault="007E1AE0" w:rsidP="00D61EAB">
            <w:pPr>
              <w:pStyle w:val="TableText"/>
              <w:spacing w:before="0" w:after="0"/>
            </w:pPr>
            <w:r>
              <w:t>Assessing and Placing Youth in JR</w:t>
            </w:r>
          </w:p>
          <w:p w14:paraId="08DDE0F1" w14:textId="77777777" w:rsidR="007E1AE0" w:rsidRPr="00CD1826" w:rsidRDefault="007E1AE0" w:rsidP="00D61EAB">
            <w:pPr>
              <w:pStyle w:val="TableText"/>
              <w:spacing w:before="0" w:after="0"/>
            </w:pPr>
            <w:r>
              <w:t>(March 15, 2017)</w:t>
            </w:r>
          </w:p>
        </w:tc>
        <w:tc>
          <w:tcPr>
            <w:tcW w:w="877" w:type="pct"/>
          </w:tcPr>
          <w:p w14:paraId="430B3AFE" w14:textId="77777777" w:rsidR="007E1AE0" w:rsidRPr="00DB4E05" w:rsidRDefault="007E1AE0" w:rsidP="00D61EAB">
            <w:pPr>
              <w:pStyle w:val="TableText"/>
              <w:jc w:val="center"/>
              <w:rPr>
                <w:rStyle w:val="TableTextBold"/>
                <w:b w:val="0"/>
              </w:rPr>
            </w:pPr>
            <w:r w:rsidRPr="00DB4E05">
              <w:rPr>
                <w:rStyle w:val="TableTextBold"/>
                <w:b w:val="0"/>
              </w:rPr>
              <w:t>Assessment</w:t>
            </w:r>
          </w:p>
        </w:tc>
        <w:tc>
          <w:tcPr>
            <w:tcW w:w="2743" w:type="pct"/>
            <w:vAlign w:val="center"/>
          </w:tcPr>
          <w:p w14:paraId="20E2FA04" w14:textId="77777777" w:rsidR="007E1AE0" w:rsidRDefault="007E1AE0" w:rsidP="007E1AE0">
            <w:pPr>
              <w:pStyle w:val="TableBullet"/>
              <w:keepNext w:val="0"/>
              <w:ind w:left="216" w:hanging="216"/>
              <w:rPr>
                <w:rStyle w:val="TableTextBold"/>
                <w:b w:val="0"/>
              </w:rPr>
            </w:pPr>
            <w:r w:rsidRPr="00FA0679">
              <w:rPr>
                <w:rStyle w:val="TableTextBold"/>
              </w:rPr>
              <w:t xml:space="preserve">Initial intake must </w:t>
            </w:r>
            <w:r w:rsidR="00AA25E6" w:rsidRPr="00FA0679">
              <w:rPr>
                <w:rStyle w:val="TableTextBold"/>
              </w:rPr>
              <w:t>be</w:t>
            </w:r>
            <w:r w:rsidRPr="00FA0679">
              <w:rPr>
                <w:rStyle w:val="TableTextBold"/>
              </w:rPr>
              <w:t xml:space="preserve"> within the first hour of arrival</w:t>
            </w:r>
            <w:r w:rsidRPr="00B754EE">
              <w:rPr>
                <w:rStyle w:val="TableTextBold"/>
                <w:b w:val="0"/>
              </w:rPr>
              <w:t xml:space="preserve"> at the institution</w:t>
            </w:r>
          </w:p>
          <w:p w14:paraId="3E9E39D4" w14:textId="77777777" w:rsidR="007E1AE0" w:rsidRDefault="007E1AE0" w:rsidP="007E1AE0">
            <w:pPr>
              <w:pStyle w:val="TableBullet"/>
              <w:keepNext w:val="0"/>
              <w:ind w:left="216" w:hanging="216"/>
              <w:rPr>
                <w:rStyle w:val="TableTextBold"/>
                <w:b w:val="0"/>
              </w:rPr>
            </w:pPr>
            <w:r w:rsidRPr="00FA0679">
              <w:rPr>
                <w:rStyle w:val="TableTextBold"/>
                <w:b w:val="0"/>
              </w:rPr>
              <w:t>Screens and assessments that must be completed include: Youth interview; Suicide/Self-Harm Screen (SSS); Mental Health and Substance Abuse Screen (GAIN-SS); Intake Client Health Screen; PREA Youth Intake Form; Consent for Release of Records</w:t>
            </w:r>
          </w:p>
          <w:p w14:paraId="571D53B4" w14:textId="77777777" w:rsidR="007E1AE0" w:rsidRDefault="007E1AE0" w:rsidP="007E1AE0">
            <w:pPr>
              <w:pStyle w:val="TableBullet"/>
              <w:keepNext w:val="0"/>
              <w:ind w:left="216" w:hanging="216"/>
              <w:rPr>
                <w:rStyle w:val="TableTextBold"/>
                <w:b w:val="0"/>
              </w:rPr>
            </w:pPr>
            <w:r w:rsidRPr="00FA0679">
              <w:rPr>
                <w:rStyle w:val="TableTextBold"/>
              </w:rPr>
              <w:t>Within 72 hours</w:t>
            </w:r>
            <w:r>
              <w:rPr>
                <w:rStyle w:val="TableTextBold"/>
                <w:b w:val="0"/>
              </w:rPr>
              <w:t xml:space="preserve"> of arrival at the JR facility complete the Assessing Sexually Aggressive or Vulnerable Youth (SAVY)</w:t>
            </w:r>
          </w:p>
          <w:p w14:paraId="1B210A7E" w14:textId="77777777" w:rsidR="007E1AE0" w:rsidRDefault="007E1AE0" w:rsidP="007E1AE0">
            <w:pPr>
              <w:pStyle w:val="TableBullet"/>
              <w:keepNext w:val="0"/>
              <w:ind w:left="216" w:hanging="216"/>
              <w:rPr>
                <w:rStyle w:val="TableTextBold"/>
              </w:rPr>
            </w:pPr>
            <w:r>
              <w:rPr>
                <w:rStyle w:val="TableTextBold"/>
              </w:rPr>
              <w:t xml:space="preserve">Within 7 days of intake </w:t>
            </w:r>
            <w:r>
              <w:rPr>
                <w:rStyle w:val="TableTextBold"/>
                <w:b w:val="0"/>
              </w:rPr>
              <w:t xml:space="preserve">make collateral contacts with family </w:t>
            </w:r>
            <w:r w:rsidR="00385326">
              <w:rPr>
                <w:rStyle w:val="TableTextBold"/>
                <w:b w:val="0"/>
              </w:rPr>
              <w:t>and</w:t>
            </w:r>
            <w:r w:rsidR="00385326">
              <w:rPr>
                <w:rStyle w:val="TableTextBold"/>
              </w:rPr>
              <w:t xml:space="preserve"> </w:t>
            </w:r>
            <w:r w:rsidR="00385326" w:rsidRPr="00385326">
              <w:rPr>
                <w:rStyle w:val="TableTextBold"/>
                <w:b w:val="0"/>
              </w:rPr>
              <w:t>other</w:t>
            </w:r>
            <w:r w:rsidR="00385326">
              <w:rPr>
                <w:rStyle w:val="TableTextBold"/>
              </w:rPr>
              <w:t xml:space="preserve"> </w:t>
            </w:r>
            <w:r>
              <w:rPr>
                <w:rStyle w:val="TableTextBold"/>
                <w:b w:val="0"/>
              </w:rPr>
              <w:t xml:space="preserve">natural reports, collect records form other treatment or services providers or law enforcement; notify youth of legal requirements, complete the Indian Heritage Assessment and Notice to Tribes; review registration requirements for youth who are required to register for felony firearm or registerable sexual offenses; </w:t>
            </w:r>
            <w:r w:rsidRPr="00FA0679">
              <w:rPr>
                <w:rStyle w:val="TableTextBold"/>
              </w:rPr>
              <w:t>complete the Integrated Treatment Assessment (ITA)</w:t>
            </w:r>
          </w:p>
          <w:p w14:paraId="5D9C3F0A" w14:textId="77777777" w:rsidR="007E1AE0" w:rsidRDefault="007E1AE0" w:rsidP="007E1AE0">
            <w:pPr>
              <w:pStyle w:val="TableBullet"/>
              <w:keepNext w:val="0"/>
              <w:ind w:left="216" w:hanging="216"/>
              <w:rPr>
                <w:rStyle w:val="TableTextBold"/>
                <w:b w:val="0"/>
              </w:rPr>
            </w:pPr>
            <w:r>
              <w:rPr>
                <w:rStyle w:val="TableTextBold"/>
              </w:rPr>
              <w:t xml:space="preserve">Within 14 days of intake </w:t>
            </w:r>
            <w:r w:rsidRPr="00166F93">
              <w:rPr>
                <w:rStyle w:val="TableTextBold"/>
                <w:b w:val="0"/>
              </w:rPr>
              <w:t>prepare the Initial Client Information report; review and update the Risk Assessment Institution; complete the Client Behavior Assessment</w:t>
            </w:r>
          </w:p>
          <w:p w14:paraId="4E2B5679" w14:textId="77777777" w:rsidR="007E1AE0" w:rsidRPr="00CD7ED1" w:rsidRDefault="007E1AE0" w:rsidP="007E1AE0">
            <w:pPr>
              <w:pStyle w:val="TableBullet"/>
              <w:keepNext w:val="0"/>
              <w:ind w:left="216" w:hanging="216"/>
              <w:rPr>
                <w:rStyle w:val="TableTextBold"/>
                <w:b w:val="0"/>
              </w:rPr>
            </w:pPr>
            <w:r>
              <w:rPr>
                <w:rStyle w:val="TableTextBold"/>
              </w:rPr>
              <w:t xml:space="preserve">At 30 days at </w:t>
            </w:r>
            <w:r w:rsidRPr="00CD7ED1">
              <w:rPr>
                <w:rStyle w:val="TableTextBold"/>
                <w:b w:val="0"/>
              </w:rPr>
              <w:t>post-admission</w:t>
            </w:r>
            <w:r>
              <w:rPr>
                <w:rStyle w:val="TableTextBold"/>
              </w:rPr>
              <w:t xml:space="preserve">, </w:t>
            </w:r>
            <w:r w:rsidRPr="00CD7ED1">
              <w:rPr>
                <w:rStyle w:val="TableTextBold"/>
                <w:b w:val="0"/>
              </w:rPr>
              <w:t xml:space="preserve">the </w:t>
            </w:r>
            <w:r>
              <w:rPr>
                <w:rStyle w:val="TableTextBold"/>
              </w:rPr>
              <w:t xml:space="preserve">Integrated Treatment Plan (ITM) </w:t>
            </w:r>
            <w:r>
              <w:rPr>
                <w:rStyle w:val="TableTextBold"/>
                <w:b w:val="0"/>
              </w:rPr>
              <w:t xml:space="preserve">must be completed </w:t>
            </w:r>
          </w:p>
        </w:tc>
      </w:tr>
      <w:tr w:rsidR="007E1AE0" w:rsidRPr="006D322C" w14:paraId="769696D1" w14:textId="77777777" w:rsidTr="00D61EAB">
        <w:tc>
          <w:tcPr>
            <w:tcW w:w="1380" w:type="pct"/>
          </w:tcPr>
          <w:p w14:paraId="1624E4F1" w14:textId="77777777" w:rsidR="007E1AE0" w:rsidRDefault="007E1AE0" w:rsidP="00D61EAB">
            <w:pPr>
              <w:pStyle w:val="TableBullet"/>
              <w:keepNext w:val="0"/>
              <w:numPr>
                <w:ilvl w:val="0"/>
                <w:numId w:val="0"/>
              </w:numPr>
              <w:ind w:left="216" w:hanging="216"/>
            </w:pPr>
            <w:r>
              <w:t>JR Policy 4.10</w:t>
            </w:r>
          </w:p>
          <w:p w14:paraId="206FA853" w14:textId="77777777" w:rsidR="007E1AE0" w:rsidRDefault="007E1AE0" w:rsidP="00D61EAB">
            <w:pPr>
              <w:pStyle w:val="TableBullet"/>
              <w:keepNext w:val="0"/>
              <w:numPr>
                <w:ilvl w:val="0"/>
                <w:numId w:val="0"/>
              </w:numPr>
            </w:pPr>
            <w:r>
              <w:t>Developing Youth and Their Families</w:t>
            </w:r>
          </w:p>
          <w:p w14:paraId="76994985" w14:textId="77777777" w:rsidR="007E1AE0" w:rsidRPr="00CD1826" w:rsidRDefault="007E1AE0" w:rsidP="00D61EAB">
            <w:pPr>
              <w:pStyle w:val="TableBullet"/>
              <w:keepNext w:val="0"/>
              <w:numPr>
                <w:ilvl w:val="0"/>
                <w:numId w:val="0"/>
              </w:numPr>
              <w:ind w:left="216" w:hanging="216"/>
            </w:pPr>
            <w:r>
              <w:t>(January 1, 2017)</w:t>
            </w:r>
          </w:p>
        </w:tc>
        <w:tc>
          <w:tcPr>
            <w:tcW w:w="877" w:type="pct"/>
          </w:tcPr>
          <w:p w14:paraId="71A67D8E" w14:textId="77777777" w:rsidR="007E1AE0" w:rsidRDefault="007E1AE0" w:rsidP="00D61EAB">
            <w:pPr>
              <w:pStyle w:val="tabletextcenter"/>
            </w:pPr>
          </w:p>
          <w:p w14:paraId="1B2BB5BC" w14:textId="77777777" w:rsidR="007E1AE0" w:rsidRPr="006D322C" w:rsidRDefault="007E1AE0" w:rsidP="00D61EAB">
            <w:pPr>
              <w:pStyle w:val="tabletextcenter"/>
            </w:pPr>
            <w:r>
              <w:t>Case Management</w:t>
            </w:r>
          </w:p>
        </w:tc>
        <w:tc>
          <w:tcPr>
            <w:tcW w:w="2743" w:type="pct"/>
          </w:tcPr>
          <w:p w14:paraId="76E7BE97" w14:textId="77777777" w:rsidR="007E1AE0" w:rsidRDefault="007E1AE0" w:rsidP="00316E8F">
            <w:pPr>
              <w:pStyle w:val="TableBullet"/>
              <w:keepNext w:val="0"/>
              <w:ind w:left="216" w:hanging="216"/>
            </w:pPr>
            <w:r>
              <w:t>Youth will be assigned a case manager upon intake to an institution, transfer to a community facility, and release to parole</w:t>
            </w:r>
          </w:p>
          <w:p w14:paraId="3387AA22" w14:textId="77777777" w:rsidR="007E1AE0" w:rsidRPr="006D322C" w:rsidRDefault="007E1AE0" w:rsidP="00316E8F">
            <w:pPr>
              <w:pStyle w:val="TableBullet"/>
              <w:keepNext w:val="0"/>
              <w:ind w:left="216" w:hanging="216"/>
            </w:pPr>
            <w:r>
              <w:t>Assigned case managers will identify and coordinate services for youth on their caseload, as instructed by JR training</w:t>
            </w:r>
          </w:p>
        </w:tc>
      </w:tr>
      <w:tr w:rsidR="007E1AE0" w:rsidRPr="00CD1826" w14:paraId="454F8DC0"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0A24C02C" w14:textId="77777777" w:rsidR="007E1AE0" w:rsidRDefault="007E1AE0" w:rsidP="00D61EAB">
            <w:pPr>
              <w:pStyle w:val="TableBullet"/>
              <w:keepNext w:val="0"/>
              <w:numPr>
                <w:ilvl w:val="0"/>
                <w:numId w:val="0"/>
              </w:numPr>
              <w:ind w:left="216" w:hanging="216"/>
            </w:pPr>
            <w:r>
              <w:t>JR Policy 4.10</w:t>
            </w:r>
          </w:p>
          <w:p w14:paraId="3EED0F5B" w14:textId="77777777" w:rsidR="007E1AE0" w:rsidRDefault="007E1AE0" w:rsidP="00D61EAB">
            <w:pPr>
              <w:pStyle w:val="TableBullet"/>
              <w:keepNext w:val="0"/>
              <w:numPr>
                <w:ilvl w:val="0"/>
                <w:numId w:val="0"/>
              </w:numPr>
            </w:pPr>
            <w:r>
              <w:t>Developing Youth and Their Families</w:t>
            </w:r>
          </w:p>
          <w:p w14:paraId="2772F8D1" w14:textId="77777777" w:rsidR="007E1AE0" w:rsidRPr="00CD1826" w:rsidRDefault="007E1AE0" w:rsidP="00D61EAB">
            <w:pPr>
              <w:pStyle w:val="TableText"/>
            </w:pPr>
            <w:r>
              <w:t>(January 1, 2017)</w:t>
            </w:r>
          </w:p>
        </w:tc>
        <w:tc>
          <w:tcPr>
            <w:tcW w:w="877" w:type="pct"/>
          </w:tcPr>
          <w:p w14:paraId="00C02CD7" w14:textId="77777777" w:rsidR="007E1AE0" w:rsidRPr="00AA244B" w:rsidRDefault="007E1AE0" w:rsidP="00D61EAB">
            <w:pPr>
              <w:pStyle w:val="TableTextBoldCentered"/>
              <w:rPr>
                <w:b w:val="0"/>
              </w:rPr>
            </w:pPr>
            <w:r w:rsidRPr="00AA244B">
              <w:rPr>
                <w:b w:val="0"/>
              </w:rPr>
              <w:t>Treatment</w:t>
            </w:r>
          </w:p>
        </w:tc>
        <w:tc>
          <w:tcPr>
            <w:tcW w:w="2743" w:type="pct"/>
          </w:tcPr>
          <w:p w14:paraId="6784EF72" w14:textId="77777777" w:rsidR="007E1AE0" w:rsidRDefault="007E1AE0" w:rsidP="00316E8F">
            <w:pPr>
              <w:pStyle w:val="TableBullet"/>
              <w:keepNext w:val="0"/>
              <w:ind w:left="216" w:hanging="216"/>
            </w:pPr>
            <w:r>
              <w:t>JR practitioners will provide treatment services consistent with the five functions of treatment in JR and the principles and strategies of the ITM in alignment with the 5 DBT Standards:</w:t>
            </w:r>
          </w:p>
          <w:p w14:paraId="71E2E338" w14:textId="77777777" w:rsidR="007E1AE0" w:rsidRDefault="007E1AE0" w:rsidP="00316E8F">
            <w:pPr>
              <w:pStyle w:val="TableBullet"/>
              <w:keepNext w:val="0"/>
              <w:numPr>
                <w:ilvl w:val="1"/>
                <w:numId w:val="9"/>
              </w:numPr>
              <w:ind w:left="432" w:hanging="270"/>
            </w:pPr>
            <w:r>
              <w:t>Motivation and Engagement and Youth and their Families (DBT Standard 01)</w:t>
            </w:r>
          </w:p>
          <w:p w14:paraId="2833DBD9" w14:textId="77777777" w:rsidR="007E1AE0" w:rsidRDefault="007E1AE0" w:rsidP="00316E8F">
            <w:pPr>
              <w:pStyle w:val="TableBullet"/>
              <w:keepNext w:val="0"/>
              <w:numPr>
                <w:ilvl w:val="1"/>
                <w:numId w:val="9"/>
              </w:numPr>
              <w:ind w:left="432" w:hanging="270"/>
            </w:pPr>
            <w:r>
              <w:t>Motivation and Engagement of Staff and Other Treatment Providers (DBT Standard 02)</w:t>
            </w:r>
          </w:p>
          <w:p w14:paraId="6885DB16" w14:textId="77777777" w:rsidR="007E1AE0" w:rsidRDefault="007E1AE0" w:rsidP="00316E8F">
            <w:pPr>
              <w:pStyle w:val="TableBullet"/>
              <w:keepNext w:val="0"/>
              <w:numPr>
                <w:ilvl w:val="1"/>
                <w:numId w:val="9"/>
              </w:numPr>
              <w:ind w:left="432" w:hanging="270"/>
            </w:pPr>
            <w:r>
              <w:t>Structuring the Environment (DBT Standard 03)</w:t>
            </w:r>
          </w:p>
          <w:p w14:paraId="7232D13A" w14:textId="77777777" w:rsidR="007E1AE0" w:rsidRDefault="007E1AE0" w:rsidP="00316E8F">
            <w:pPr>
              <w:pStyle w:val="TableBullet"/>
              <w:keepNext w:val="0"/>
              <w:numPr>
                <w:ilvl w:val="1"/>
                <w:numId w:val="9"/>
              </w:numPr>
              <w:ind w:left="432" w:hanging="270"/>
            </w:pPr>
            <w:r>
              <w:t>Skill Acquisition (DBT Standard 04)</w:t>
            </w:r>
          </w:p>
          <w:p w14:paraId="2291900A" w14:textId="77777777" w:rsidR="007E1AE0" w:rsidRPr="00CD1826" w:rsidRDefault="007E1AE0" w:rsidP="00316E8F">
            <w:pPr>
              <w:pStyle w:val="TableBullet"/>
              <w:keepNext w:val="0"/>
              <w:numPr>
                <w:ilvl w:val="1"/>
                <w:numId w:val="9"/>
              </w:numPr>
              <w:ind w:left="432" w:hanging="270"/>
            </w:pPr>
            <w:r>
              <w:t>Skill Generalization (DBT Standard 05)</w:t>
            </w:r>
          </w:p>
        </w:tc>
      </w:tr>
      <w:tr w:rsidR="007E1AE0" w14:paraId="5FF39F2A" w14:textId="77777777" w:rsidTr="00D61EAB">
        <w:tc>
          <w:tcPr>
            <w:tcW w:w="1380" w:type="pct"/>
          </w:tcPr>
          <w:p w14:paraId="17FDC87B" w14:textId="77777777" w:rsidR="007E1AE0" w:rsidRDefault="007E1AE0" w:rsidP="00D61EAB">
            <w:pPr>
              <w:pStyle w:val="TableBullet"/>
              <w:keepNext w:val="0"/>
              <w:numPr>
                <w:ilvl w:val="0"/>
                <w:numId w:val="0"/>
              </w:numPr>
              <w:ind w:left="216" w:hanging="216"/>
            </w:pPr>
            <w:r>
              <w:t>JR Policy 4.10</w:t>
            </w:r>
          </w:p>
          <w:p w14:paraId="7E00E654" w14:textId="77777777" w:rsidR="007E1AE0" w:rsidRDefault="007E1AE0" w:rsidP="00D61EAB">
            <w:pPr>
              <w:pStyle w:val="TableBullet"/>
              <w:keepNext w:val="0"/>
              <w:numPr>
                <w:ilvl w:val="0"/>
                <w:numId w:val="0"/>
              </w:numPr>
            </w:pPr>
            <w:r>
              <w:t>Developing Youth and Their Families</w:t>
            </w:r>
          </w:p>
          <w:p w14:paraId="039127F2" w14:textId="77777777" w:rsidR="007E1AE0" w:rsidRDefault="007E1AE0" w:rsidP="00D61EAB">
            <w:pPr>
              <w:pStyle w:val="TableBullet"/>
              <w:keepNext w:val="0"/>
              <w:numPr>
                <w:ilvl w:val="0"/>
                <w:numId w:val="0"/>
              </w:numPr>
              <w:ind w:left="216" w:hanging="216"/>
            </w:pPr>
            <w:r>
              <w:t>(January 1, 2017)</w:t>
            </w:r>
          </w:p>
        </w:tc>
        <w:tc>
          <w:tcPr>
            <w:tcW w:w="877" w:type="pct"/>
          </w:tcPr>
          <w:p w14:paraId="72B6131A" w14:textId="77777777" w:rsidR="007E1AE0" w:rsidRPr="00AA244B" w:rsidRDefault="007E1AE0" w:rsidP="00D61EAB">
            <w:pPr>
              <w:pStyle w:val="TableTextBoldCentered"/>
              <w:rPr>
                <w:b w:val="0"/>
              </w:rPr>
            </w:pPr>
            <w:r>
              <w:rPr>
                <w:b w:val="0"/>
              </w:rPr>
              <w:t>Specialized Treatment</w:t>
            </w:r>
          </w:p>
        </w:tc>
        <w:tc>
          <w:tcPr>
            <w:tcW w:w="2743" w:type="pct"/>
          </w:tcPr>
          <w:p w14:paraId="4E07C262" w14:textId="77777777" w:rsidR="007E1AE0" w:rsidRDefault="007E1AE0" w:rsidP="00316E8F">
            <w:pPr>
              <w:pStyle w:val="TableBullet"/>
              <w:keepNext w:val="0"/>
              <w:ind w:left="216" w:hanging="216"/>
            </w:pPr>
            <w:r>
              <w:t>JR practitioners will provide additional, specialized treatment services based on identified needs including, but not limited to:</w:t>
            </w:r>
          </w:p>
          <w:p w14:paraId="1AB8FFD9" w14:textId="77777777" w:rsidR="007E1AE0" w:rsidRDefault="007E1AE0" w:rsidP="00316E8F">
            <w:pPr>
              <w:pStyle w:val="TableBullet"/>
              <w:keepNext w:val="0"/>
              <w:numPr>
                <w:ilvl w:val="1"/>
                <w:numId w:val="9"/>
              </w:numPr>
              <w:ind w:left="432" w:hanging="270"/>
            </w:pPr>
            <w:r>
              <w:t>Mental health treatment</w:t>
            </w:r>
          </w:p>
          <w:p w14:paraId="463BDDEE" w14:textId="77777777" w:rsidR="007E1AE0" w:rsidRDefault="007E1AE0" w:rsidP="00316E8F">
            <w:pPr>
              <w:pStyle w:val="TableBullet"/>
              <w:keepNext w:val="0"/>
              <w:numPr>
                <w:ilvl w:val="1"/>
                <w:numId w:val="9"/>
              </w:numPr>
              <w:ind w:left="432" w:hanging="270"/>
            </w:pPr>
            <w:r>
              <w:t>Substance abuse treatment</w:t>
            </w:r>
          </w:p>
          <w:p w14:paraId="01BDD2D9" w14:textId="77777777" w:rsidR="007E1AE0" w:rsidRDefault="007E1AE0" w:rsidP="00316E8F">
            <w:pPr>
              <w:pStyle w:val="TableBullet"/>
              <w:keepNext w:val="0"/>
              <w:numPr>
                <w:ilvl w:val="1"/>
                <w:numId w:val="9"/>
              </w:numPr>
              <w:ind w:left="432" w:hanging="270"/>
            </w:pPr>
            <w:r>
              <w:t>Sexual behavior treatment</w:t>
            </w:r>
          </w:p>
          <w:p w14:paraId="6A4E8B12" w14:textId="77777777" w:rsidR="007E1AE0" w:rsidRDefault="007E1AE0" w:rsidP="00316E8F">
            <w:pPr>
              <w:pStyle w:val="TableBullet"/>
              <w:keepNext w:val="0"/>
              <w:numPr>
                <w:ilvl w:val="1"/>
                <w:numId w:val="9"/>
              </w:numPr>
              <w:ind w:left="432" w:hanging="270"/>
            </w:pPr>
            <w:r>
              <w:t>Aggression Replacement Training (ART)</w:t>
            </w:r>
          </w:p>
          <w:p w14:paraId="623A333E" w14:textId="77777777" w:rsidR="007E1AE0" w:rsidRDefault="007E1AE0" w:rsidP="00316E8F">
            <w:pPr>
              <w:pStyle w:val="TableBullet"/>
              <w:keepNext w:val="0"/>
              <w:numPr>
                <w:ilvl w:val="1"/>
                <w:numId w:val="9"/>
              </w:numPr>
              <w:ind w:left="432" w:hanging="270"/>
            </w:pPr>
            <w:r>
              <w:t>Functional Family Therapy (FFT)</w:t>
            </w:r>
          </w:p>
          <w:p w14:paraId="6DCCAC1C" w14:textId="77777777" w:rsidR="007E1AE0" w:rsidRDefault="007E1AE0" w:rsidP="00316E8F">
            <w:pPr>
              <w:pStyle w:val="TableBullet"/>
              <w:keepNext w:val="0"/>
              <w:numPr>
                <w:ilvl w:val="1"/>
                <w:numId w:val="9"/>
              </w:numPr>
              <w:ind w:left="432" w:hanging="270"/>
            </w:pPr>
            <w:r>
              <w:lastRenderedPageBreak/>
              <w:t>Family Integrated Transitions (FIT) for youth in the community with co-occurring substance and mental health needs</w:t>
            </w:r>
          </w:p>
        </w:tc>
      </w:tr>
      <w:tr w:rsidR="007E1AE0" w14:paraId="43EE68D4"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202DE4CD" w14:textId="77777777" w:rsidR="007E1AE0" w:rsidRDefault="007E1AE0" w:rsidP="00D61EAB">
            <w:pPr>
              <w:pStyle w:val="TableBullet"/>
              <w:keepNext w:val="0"/>
              <w:numPr>
                <w:ilvl w:val="0"/>
                <w:numId w:val="0"/>
              </w:numPr>
              <w:ind w:left="216" w:hanging="216"/>
            </w:pPr>
            <w:r>
              <w:lastRenderedPageBreak/>
              <w:t>JR Policy 4.10</w:t>
            </w:r>
          </w:p>
          <w:p w14:paraId="1BAF5E72" w14:textId="77777777" w:rsidR="007E1AE0" w:rsidRDefault="007E1AE0" w:rsidP="00D61EAB">
            <w:pPr>
              <w:pStyle w:val="TableBullet"/>
              <w:keepNext w:val="0"/>
              <w:numPr>
                <w:ilvl w:val="0"/>
                <w:numId w:val="0"/>
              </w:numPr>
            </w:pPr>
            <w:r>
              <w:t>Developing Youth and Their Families</w:t>
            </w:r>
          </w:p>
          <w:p w14:paraId="31C70A51" w14:textId="77777777" w:rsidR="007E1AE0" w:rsidRDefault="007E1AE0" w:rsidP="00D61EAB">
            <w:pPr>
              <w:pStyle w:val="TableBullet"/>
              <w:keepNext w:val="0"/>
              <w:numPr>
                <w:ilvl w:val="0"/>
                <w:numId w:val="0"/>
              </w:numPr>
              <w:ind w:left="216" w:hanging="216"/>
            </w:pPr>
            <w:r>
              <w:t>(January 1, 2017)</w:t>
            </w:r>
          </w:p>
        </w:tc>
        <w:tc>
          <w:tcPr>
            <w:tcW w:w="877" w:type="pct"/>
          </w:tcPr>
          <w:p w14:paraId="3BE3832B" w14:textId="77777777" w:rsidR="007E1AE0" w:rsidRDefault="007E1AE0" w:rsidP="00D61EAB">
            <w:pPr>
              <w:pStyle w:val="TableTextBoldCentered"/>
              <w:rPr>
                <w:b w:val="0"/>
              </w:rPr>
            </w:pPr>
            <w:r>
              <w:rPr>
                <w:b w:val="0"/>
              </w:rPr>
              <w:t>Core Programs</w:t>
            </w:r>
          </w:p>
        </w:tc>
        <w:tc>
          <w:tcPr>
            <w:tcW w:w="2743" w:type="pct"/>
          </w:tcPr>
          <w:p w14:paraId="222BD5E0" w14:textId="77777777" w:rsidR="007E1AE0" w:rsidRDefault="007E1AE0" w:rsidP="00316E8F">
            <w:pPr>
              <w:pStyle w:val="TableBullet"/>
              <w:keepNext w:val="0"/>
              <w:ind w:left="216" w:hanging="216"/>
            </w:pPr>
            <w:r>
              <w:t>Core services include but are not limited to:</w:t>
            </w:r>
          </w:p>
          <w:p w14:paraId="06B8B045" w14:textId="77777777" w:rsidR="007E1AE0" w:rsidRDefault="007E1AE0" w:rsidP="00316E8F">
            <w:pPr>
              <w:pStyle w:val="TableBullet"/>
              <w:keepNext w:val="0"/>
              <w:numPr>
                <w:ilvl w:val="1"/>
                <w:numId w:val="9"/>
              </w:numPr>
              <w:ind w:left="432" w:hanging="270"/>
            </w:pPr>
            <w:r>
              <w:t>Family visitation</w:t>
            </w:r>
          </w:p>
          <w:p w14:paraId="764EFBE3" w14:textId="77777777" w:rsidR="007E1AE0" w:rsidRDefault="007E1AE0" w:rsidP="00316E8F">
            <w:pPr>
              <w:pStyle w:val="TableBullet"/>
              <w:keepNext w:val="0"/>
              <w:numPr>
                <w:ilvl w:val="1"/>
                <w:numId w:val="9"/>
              </w:numPr>
              <w:ind w:left="432" w:hanging="270"/>
            </w:pPr>
            <w:r>
              <w:t>Education</w:t>
            </w:r>
          </w:p>
          <w:p w14:paraId="4F2235D7" w14:textId="77777777" w:rsidR="007E1AE0" w:rsidRDefault="007E1AE0" w:rsidP="00316E8F">
            <w:pPr>
              <w:pStyle w:val="TableBullet"/>
              <w:keepNext w:val="0"/>
              <w:numPr>
                <w:ilvl w:val="1"/>
                <w:numId w:val="9"/>
              </w:numPr>
              <w:ind w:left="432" w:hanging="270"/>
            </w:pPr>
            <w:r>
              <w:t>Vocational training</w:t>
            </w:r>
          </w:p>
          <w:p w14:paraId="6E78550A" w14:textId="77777777" w:rsidR="007E1AE0" w:rsidRDefault="007E1AE0" w:rsidP="00316E8F">
            <w:pPr>
              <w:pStyle w:val="TableBullet"/>
              <w:keepNext w:val="0"/>
              <w:numPr>
                <w:ilvl w:val="1"/>
                <w:numId w:val="9"/>
              </w:numPr>
              <w:ind w:left="432" w:hanging="270"/>
            </w:pPr>
            <w:r>
              <w:t>Mentoring</w:t>
            </w:r>
          </w:p>
          <w:p w14:paraId="19635BF8" w14:textId="77777777" w:rsidR="007E1AE0" w:rsidRDefault="007E1AE0" w:rsidP="00316E8F">
            <w:pPr>
              <w:pStyle w:val="TableBullet"/>
              <w:keepNext w:val="0"/>
              <w:numPr>
                <w:ilvl w:val="1"/>
                <w:numId w:val="9"/>
              </w:numPr>
              <w:ind w:left="432" w:hanging="270"/>
            </w:pPr>
            <w:r>
              <w:t>Health care services and health education</w:t>
            </w:r>
          </w:p>
          <w:p w14:paraId="13CBEBF9" w14:textId="77777777" w:rsidR="007E1AE0" w:rsidRDefault="007E1AE0" w:rsidP="00316E8F">
            <w:pPr>
              <w:pStyle w:val="TableBullet"/>
              <w:keepNext w:val="0"/>
              <w:numPr>
                <w:ilvl w:val="1"/>
                <w:numId w:val="9"/>
              </w:numPr>
              <w:ind w:left="432" w:hanging="270"/>
            </w:pPr>
            <w:r>
              <w:t>Recreation opportunities</w:t>
            </w:r>
          </w:p>
          <w:p w14:paraId="11286FC0" w14:textId="77777777" w:rsidR="007E1AE0" w:rsidRDefault="007E1AE0" w:rsidP="00316E8F">
            <w:pPr>
              <w:pStyle w:val="TableBullet"/>
              <w:keepNext w:val="0"/>
              <w:numPr>
                <w:ilvl w:val="1"/>
                <w:numId w:val="9"/>
              </w:numPr>
              <w:ind w:left="432" w:hanging="270"/>
            </w:pPr>
            <w:r>
              <w:t>Access to cultural programs</w:t>
            </w:r>
          </w:p>
          <w:p w14:paraId="5753C661" w14:textId="77777777" w:rsidR="007E1AE0" w:rsidRDefault="007E1AE0" w:rsidP="00316E8F">
            <w:pPr>
              <w:pStyle w:val="TableBullet"/>
              <w:keepNext w:val="0"/>
              <w:numPr>
                <w:ilvl w:val="1"/>
                <w:numId w:val="9"/>
              </w:numPr>
              <w:ind w:left="432" w:hanging="270"/>
            </w:pPr>
            <w:r>
              <w:t>Opportunities for community service</w:t>
            </w:r>
          </w:p>
        </w:tc>
      </w:tr>
      <w:tr w:rsidR="007E1AE0" w14:paraId="680F2429" w14:textId="77777777" w:rsidTr="00D61EAB">
        <w:tc>
          <w:tcPr>
            <w:tcW w:w="1380" w:type="pct"/>
          </w:tcPr>
          <w:p w14:paraId="2C3874F1" w14:textId="77777777" w:rsidR="007E1AE0" w:rsidRDefault="007E1AE0" w:rsidP="00D61EAB">
            <w:pPr>
              <w:pStyle w:val="TableBullet"/>
              <w:keepNext w:val="0"/>
              <w:numPr>
                <w:ilvl w:val="0"/>
                <w:numId w:val="0"/>
              </w:numPr>
              <w:ind w:left="216" w:hanging="216"/>
            </w:pPr>
            <w:r>
              <w:t>JR Policy 4.10</w:t>
            </w:r>
          </w:p>
          <w:p w14:paraId="0CEB18EC" w14:textId="77777777" w:rsidR="007E1AE0" w:rsidRDefault="007E1AE0" w:rsidP="00D61EAB">
            <w:pPr>
              <w:pStyle w:val="TableBullet"/>
              <w:keepNext w:val="0"/>
              <w:numPr>
                <w:ilvl w:val="0"/>
                <w:numId w:val="0"/>
              </w:numPr>
            </w:pPr>
            <w:r>
              <w:t>Developing Youth and Their Families</w:t>
            </w:r>
          </w:p>
          <w:p w14:paraId="3227C145" w14:textId="77777777" w:rsidR="007E1AE0" w:rsidRDefault="007E1AE0" w:rsidP="00D61EAB">
            <w:pPr>
              <w:pStyle w:val="TableBullet"/>
              <w:keepNext w:val="0"/>
              <w:numPr>
                <w:ilvl w:val="0"/>
                <w:numId w:val="0"/>
              </w:numPr>
              <w:ind w:left="216" w:hanging="216"/>
            </w:pPr>
            <w:r>
              <w:t>(January 1, 2017)</w:t>
            </w:r>
          </w:p>
        </w:tc>
        <w:tc>
          <w:tcPr>
            <w:tcW w:w="877" w:type="pct"/>
          </w:tcPr>
          <w:p w14:paraId="3A2E3C00" w14:textId="77777777" w:rsidR="007E1AE0" w:rsidRDefault="007E1AE0" w:rsidP="00D61EAB">
            <w:pPr>
              <w:pStyle w:val="TableTextBoldCentered"/>
              <w:rPr>
                <w:b w:val="0"/>
              </w:rPr>
            </w:pPr>
            <w:r>
              <w:rPr>
                <w:b w:val="0"/>
              </w:rPr>
              <w:t>Reentry Planning</w:t>
            </w:r>
          </w:p>
        </w:tc>
        <w:tc>
          <w:tcPr>
            <w:tcW w:w="2743" w:type="pct"/>
          </w:tcPr>
          <w:p w14:paraId="1AC08DDD" w14:textId="77777777" w:rsidR="007E1AE0" w:rsidRDefault="007E1AE0" w:rsidP="00316E8F">
            <w:pPr>
              <w:pStyle w:val="TableBullet"/>
              <w:keepNext w:val="0"/>
              <w:ind w:left="216" w:hanging="216"/>
            </w:pPr>
            <w:r>
              <w:t>Case managers will engage youth and their families, natural supports, community providers, and relevant JR practitioners in the reentry planning process as provided through JR-approved training</w:t>
            </w:r>
          </w:p>
        </w:tc>
      </w:tr>
      <w:tr w:rsidR="007E1AE0" w14:paraId="094851E5"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27EB20AC" w14:textId="77777777" w:rsidR="007E1AE0" w:rsidRDefault="007E1AE0" w:rsidP="00D61EAB">
            <w:pPr>
              <w:pStyle w:val="TableBullet"/>
              <w:keepNext w:val="0"/>
              <w:numPr>
                <w:ilvl w:val="0"/>
                <w:numId w:val="0"/>
              </w:numPr>
              <w:ind w:left="216" w:hanging="216"/>
            </w:pPr>
            <w:r>
              <w:t>JR Policy 4.10</w:t>
            </w:r>
          </w:p>
          <w:p w14:paraId="02512FEB" w14:textId="77777777" w:rsidR="007E1AE0" w:rsidRDefault="007E1AE0" w:rsidP="00D61EAB">
            <w:pPr>
              <w:pStyle w:val="TableBullet"/>
              <w:keepNext w:val="0"/>
              <w:numPr>
                <w:ilvl w:val="0"/>
                <w:numId w:val="0"/>
              </w:numPr>
            </w:pPr>
            <w:r>
              <w:t>Developing Youth and Their Families</w:t>
            </w:r>
          </w:p>
          <w:p w14:paraId="7FA7FE25" w14:textId="77777777" w:rsidR="007E1AE0" w:rsidRDefault="007E1AE0" w:rsidP="00D61EAB">
            <w:pPr>
              <w:pStyle w:val="TableBullet"/>
              <w:keepNext w:val="0"/>
              <w:numPr>
                <w:ilvl w:val="0"/>
                <w:numId w:val="0"/>
              </w:numPr>
              <w:ind w:left="216" w:hanging="216"/>
            </w:pPr>
            <w:r>
              <w:t>(January 1, 2017)</w:t>
            </w:r>
          </w:p>
        </w:tc>
        <w:tc>
          <w:tcPr>
            <w:tcW w:w="877" w:type="pct"/>
          </w:tcPr>
          <w:p w14:paraId="6ACDBEFD" w14:textId="77777777" w:rsidR="007E1AE0" w:rsidRDefault="007E1AE0" w:rsidP="00D61EAB">
            <w:pPr>
              <w:pStyle w:val="TableTextBoldCentered"/>
              <w:rPr>
                <w:b w:val="0"/>
              </w:rPr>
            </w:pPr>
            <w:r>
              <w:rPr>
                <w:b w:val="0"/>
              </w:rPr>
              <w:t>Family Engagement</w:t>
            </w:r>
          </w:p>
        </w:tc>
        <w:tc>
          <w:tcPr>
            <w:tcW w:w="2743" w:type="pct"/>
          </w:tcPr>
          <w:p w14:paraId="7224CFE4" w14:textId="77777777" w:rsidR="007E1AE0" w:rsidRDefault="007E1AE0" w:rsidP="00316E8F">
            <w:pPr>
              <w:pStyle w:val="TableBullet"/>
              <w:keepNext w:val="0"/>
              <w:ind w:left="216" w:hanging="216"/>
            </w:pPr>
            <w:r>
              <w:t>Support and facilitate the engagement of families of JR youth to develop, strengthen, and maintain family and pro-social relationships that promote successful reentry to the family and community</w:t>
            </w:r>
          </w:p>
        </w:tc>
      </w:tr>
      <w:tr w:rsidR="007E1AE0" w14:paraId="79819B5C" w14:textId="77777777" w:rsidTr="00D61EAB">
        <w:tc>
          <w:tcPr>
            <w:tcW w:w="1380" w:type="pct"/>
          </w:tcPr>
          <w:p w14:paraId="367A7F9B" w14:textId="77777777" w:rsidR="007E1AE0" w:rsidRDefault="007E1AE0" w:rsidP="00D61EAB">
            <w:pPr>
              <w:pStyle w:val="TableBullet"/>
              <w:keepNext w:val="0"/>
              <w:numPr>
                <w:ilvl w:val="0"/>
                <w:numId w:val="0"/>
              </w:numPr>
              <w:ind w:left="216" w:hanging="216"/>
            </w:pPr>
            <w:r>
              <w:t>Policy 4.30</w:t>
            </w:r>
          </w:p>
          <w:p w14:paraId="147E26BE" w14:textId="77777777" w:rsidR="007E1AE0" w:rsidRDefault="007E1AE0" w:rsidP="00D61EAB">
            <w:pPr>
              <w:pStyle w:val="TableBullet"/>
              <w:keepNext w:val="0"/>
              <w:numPr>
                <w:ilvl w:val="0"/>
                <w:numId w:val="0"/>
              </w:numPr>
              <w:ind w:left="216" w:hanging="216"/>
            </w:pPr>
            <w:r>
              <w:t>Providing Health Care for JR</w:t>
            </w:r>
          </w:p>
          <w:p w14:paraId="46A0FACC" w14:textId="77777777" w:rsidR="007E1AE0" w:rsidRDefault="007E1AE0" w:rsidP="00D61EAB">
            <w:pPr>
              <w:pStyle w:val="TableBullet"/>
              <w:keepNext w:val="0"/>
              <w:numPr>
                <w:ilvl w:val="0"/>
                <w:numId w:val="0"/>
              </w:numPr>
              <w:ind w:left="216" w:hanging="216"/>
            </w:pPr>
            <w:r>
              <w:t>Youth</w:t>
            </w:r>
          </w:p>
          <w:p w14:paraId="28C251A8" w14:textId="77777777" w:rsidR="007E1AE0" w:rsidRDefault="007E1AE0" w:rsidP="00D61EAB">
            <w:pPr>
              <w:pStyle w:val="TableBullet"/>
              <w:keepNext w:val="0"/>
              <w:numPr>
                <w:ilvl w:val="0"/>
                <w:numId w:val="0"/>
              </w:numPr>
              <w:ind w:left="216" w:hanging="216"/>
            </w:pPr>
            <w:r>
              <w:t>(March 10, 2017)</w:t>
            </w:r>
          </w:p>
        </w:tc>
        <w:tc>
          <w:tcPr>
            <w:tcW w:w="877" w:type="pct"/>
          </w:tcPr>
          <w:p w14:paraId="41C362F0" w14:textId="77777777" w:rsidR="007E1AE0" w:rsidRDefault="007E1AE0" w:rsidP="00D61EAB">
            <w:pPr>
              <w:pStyle w:val="TableTextBoldCentered"/>
              <w:rPr>
                <w:b w:val="0"/>
              </w:rPr>
            </w:pPr>
            <w:r>
              <w:rPr>
                <w:b w:val="0"/>
              </w:rPr>
              <w:t>Health Care</w:t>
            </w:r>
          </w:p>
        </w:tc>
        <w:tc>
          <w:tcPr>
            <w:tcW w:w="2743" w:type="pct"/>
          </w:tcPr>
          <w:p w14:paraId="7FB760E8" w14:textId="77777777" w:rsidR="007E1AE0" w:rsidRDefault="007E1AE0" w:rsidP="00316E8F">
            <w:pPr>
              <w:pStyle w:val="TableBullet"/>
              <w:keepNext w:val="0"/>
              <w:ind w:left="216" w:hanging="216"/>
            </w:pPr>
            <w:r>
              <w:t xml:space="preserve">JR must conduct a health screening </w:t>
            </w:r>
            <w:r w:rsidRPr="005B51E2">
              <w:rPr>
                <w:b/>
              </w:rPr>
              <w:t>within one hour of intake for youth entering institution</w:t>
            </w:r>
            <w:r>
              <w:t xml:space="preserve"> placement. (PbS Standard H2, NCCHC Y-E-02). </w:t>
            </w:r>
          </w:p>
          <w:p w14:paraId="390DAEAD" w14:textId="77777777" w:rsidR="007E1AE0" w:rsidRDefault="007E1AE0" w:rsidP="00316E8F">
            <w:pPr>
              <w:pStyle w:val="TableBullet"/>
              <w:keepNext w:val="0"/>
              <w:ind w:left="216" w:hanging="216"/>
            </w:pPr>
            <w:r>
              <w:t>JR may provide health education and preventive are that reasonably responds to a youth’s health care needs</w:t>
            </w:r>
          </w:p>
          <w:p w14:paraId="5CF2E934" w14:textId="77777777" w:rsidR="007E1AE0" w:rsidRDefault="007E1AE0" w:rsidP="00316E8F">
            <w:pPr>
              <w:pStyle w:val="TableBullet"/>
              <w:keepNext w:val="0"/>
              <w:ind w:left="216" w:hanging="216"/>
            </w:pPr>
            <w:r>
              <w:t>Youth will receive annual physical and dental examinations</w:t>
            </w:r>
          </w:p>
          <w:p w14:paraId="6DE95F3B" w14:textId="77777777" w:rsidR="007E1AE0" w:rsidRDefault="007E1AE0" w:rsidP="00316E8F">
            <w:pPr>
              <w:pStyle w:val="TableBullet"/>
              <w:keepNext w:val="0"/>
              <w:ind w:left="216" w:hanging="216"/>
            </w:pPr>
            <w:r>
              <w:t>JR must verify, provide and document required immunizations for youth attending school</w:t>
            </w:r>
          </w:p>
          <w:p w14:paraId="2CF7577E" w14:textId="77777777" w:rsidR="007E1AE0" w:rsidRDefault="007E1AE0" w:rsidP="00316E8F">
            <w:pPr>
              <w:pStyle w:val="TableBullet"/>
              <w:keepNext w:val="0"/>
              <w:ind w:left="216" w:hanging="216"/>
            </w:pPr>
            <w:r>
              <w:t>JR must provide emergency health care</w:t>
            </w:r>
          </w:p>
          <w:p w14:paraId="27E43665" w14:textId="77777777" w:rsidR="007E1AE0" w:rsidRPr="00767BF3" w:rsidRDefault="007E1AE0" w:rsidP="00316E8F">
            <w:pPr>
              <w:pStyle w:val="TableBullet"/>
              <w:keepNext w:val="0"/>
              <w:ind w:left="216" w:hanging="216"/>
            </w:pPr>
            <w:r>
              <w:t xml:space="preserve">Staff will use parent orientation letter to notify parents or legal </w:t>
            </w:r>
            <w:r w:rsidRPr="00767BF3">
              <w:t>guardians of JR’s authority and responsibility to provide basic health care</w:t>
            </w:r>
          </w:p>
          <w:p w14:paraId="79078E50" w14:textId="77777777" w:rsidR="007E1AE0" w:rsidRPr="00767BF3" w:rsidRDefault="007E1AE0" w:rsidP="00316E8F">
            <w:pPr>
              <w:pStyle w:val="TableBullet"/>
              <w:keepNext w:val="0"/>
              <w:ind w:left="216" w:hanging="216"/>
            </w:pPr>
            <w:r w:rsidRPr="00767BF3">
              <w:t>Notify parents if a youth has a significant health condition (within 4 hrs.) requires emergency medical care (within 4 hrs.) and decisions regarding requests for supplemental health care</w:t>
            </w:r>
          </w:p>
          <w:p w14:paraId="31EB9A29" w14:textId="77777777" w:rsidR="007E1AE0" w:rsidRPr="00767BF3" w:rsidRDefault="007E1AE0" w:rsidP="00316E8F">
            <w:pPr>
              <w:pStyle w:val="TableBullet"/>
              <w:keepNext w:val="0"/>
              <w:ind w:left="216" w:hanging="216"/>
            </w:pPr>
            <w:r w:rsidRPr="00767BF3">
              <w:rPr>
                <w:bCs/>
              </w:rPr>
              <w:t xml:space="preserve">Staff who distribute medication must: </w:t>
            </w:r>
            <w:r w:rsidRPr="00767BF3">
              <w:t>monitor youth taking medication; record medications offered according to orders in the medical record; document acceptance or refusal.</w:t>
            </w:r>
          </w:p>
          <w:p w14:paraId="3685DD8E" w14:textId="77777777" w:rsidR="007E1AE0" w:rsidRPr="00767BF3" w:rsidRDefault="007E1AE0" w:rsidP="00316E8F">
            <w:pPr>
              <w:pStyle w:val="TableBullet"/>
              <w:keepNext w:val="0"/>
              <w:ind w:left="216" w:hanging="216"/>
            </w:pPr>
            <w:r w:rsidRPr="00767BF3">
              <w:rPr>
                <w:bCs/>
              </w:rPr>
              <w:t xml:space="preserve">Documentation of health care will be maintained in the ACT Medical Database in compliance with </w:t>
            </w:r>
            <w:r w:rsidRPr="00767BF3">
              <w:rPr>
                <w:bCs/>
                <w:color w:val="212121"/>
                <w:shd w:val="clear" w:color="auto" w:fill="FFFFFF"/>
              </w:rPr>
              <w:t>Health Insurance Portability and Accountability Act (H</w:t>
            </w:r>
            <w:r w:rsidRPr="00767BF3">
              <w:rPr>
                <w:bCs/>
              </w:rPr>
              <w:t xml:space="preserve">IPAA) and the State Uniform Health Care Information ACT (RCW 70.02). Medical information will be managed by those trained in pertinent parts of HIPAA. </w:t>
            </w:r>
          </w:p>
          <w:p w14:paraId="48914F13" w14:textId="77777777" w:rsidR="007E1AE0" w:rsidRPr="00767BF3" w:rsidRDefault="007E1AE0" w:rsidP="00316E8F">
            <w:pPr>
              <w:pStyle w:val="TableBullet"/>
              <w:keepNext w:val="0"/>
              <w:ind w:left="216" w:hanging="216"/>
            </w:pPr>
            <w:r w:rsidRPr="00767BF3">
              <w:rPr>
                <w:b/>
                <w:bCs/>
              </w:rPr>
              <w:t>Each community facility will designate a staff member who will serve as a Health Care Liaison</w:t>
            </w:r>
            <w:r w:rsidRPr="00767BF3">
              <w:rPr>
                <w:bCs/>
              </w:rPr>
              <w:t xml:space="preserve"> to support and document health care for youth who are accessing medical care in the community (NCCHC Y-C-08). Health care l</w:t>
            </w:r>
            <w:r w:rsidRPr="00767BF3">
              <w:t xml:space="preserve">iaisons will document the following in medical progress: appointments in the community, ER visits, changes to prescribed medication or dosage, results of lab studies </w:t>
            </w:r>
          </w:p>
          <w:p w14:paraId="0993787A" w14:textId="77777777" w:rsidR="007E1AE0" w:rsidRDefault="007E1AE0" w:rsidP="00316E8F">
            <w:pPr>
              <w:pStyle w:val="TableBullet"/>
              <w:keepNext w:val="0"/>
              <w:ind w:left="216" w:hanging="216"/>
            </w:pPr>
            <w:r w:rsidRPr="00767BF3">
              <w:lastRenderedPageBreak/>
              <w:t xml:space="preserve"> Health Care Liaisons will scan and upload any documents from community providers using ACT Document Uploader into the medical or mental health sections. </w:t>
            </w:r>
          </w:p>
        </w:tc>
      </w:tr>
      <w:tr w:rsidR="007E1AE0" w14:paraId="1A7E2CE0"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7C321DB7" w14:textId="77777777" w:rsidR="007E1AE0" w:rsidRDefault="007E1AE0" w:rsidP="00D61EAB">
            <w:pPr>
              <w:pStyle w:val="TableBullet"/>
              <w:keepNext w:val="0"/>
              <w:numPr>
                <w:ilvl w:val="0"/>
                <w:numId w:val="0"/>
              </w:numPr>
              <w:ind w:left="216" w:hanging="216"/>
            </w:pPr>
            <w:r>
              <w:lastRenderedPageBreak/>
              <w:t>JR Policy 2.30</w:t>
            </w:r>
          </w:p>
          <w:p w14:paraId="29AAFB14" w14:textId="77777777" w:rsidR="007E1AE0" w:rsidRDefault="007E1AE0" w:rsidP="00D61EAB">
            <w:pPr>
              <w:pStyle w:val="TableBullet"/>
              <w:keepNext w:val="0"/>
              <w:numPr>
                <w:ilvl w:val="0"/>
                <w:numId w:val="0"/>
              </w:numPr>
              <w:ind w:left="13" w:hanging="13"/>
            </w:pPr>
            <w:r>
              <w:t>Managing Youth Property and Residential Accounts</w:t>
            </w:r>
          </w:p>
          <w:p w14:paraId="1F6F0303" w14:textId="77777777" w:rsidR="007E1AE0" w:rsidRDefault="007E1AE0" w:rsidP="00D61EAB">
            <w:pPr>
              <w:pStyle w:val="TableBullet"/>
              <w:keepNext w:val="0"/>
              <w:numPr>
                <w:ilvl w:val="0"/>
                <w:numId w:val="0"/>
              </w:numPr>
              <w:ind w:left="13" w:hanging="13"/>
            </w:pPr>
            <w:r>
              <w:t>(March 10, 2017)</w:t>
            </w:r>
          </w:p>
        </w:tc>
        <w:tc>
          <w:tcPr>
            <w:tcW w:w="877" w:type="pct"/>
          </w:tcPr>
          <w:p w14:paraId="00D34E47" w14:textId="77777777" w:rsidR="007E1AE0" w:rsidRDefault="007E1AE0" w:rsidP="00D61EAB">
            <w:pPr>
              <w:pStyle w:val="TableTextBoldCentered"/>
              <w:rPr>
                <w:b w:val="0"/>
              </w:rPr>
            </w:pPr>
            <w:r>
              <w:rPr>
                <w:b w:val="0"/>
              </w:rPr>
              <w:t>Property &amp; Money Management</w:t>
            </w:r>
          </w:p>
        </w:tc>
        <w:tc>
          <w:tcPr>
            <w:tcW w:w="2743" w:type="pct"/>
          </w:tcPr>
          <w:p w14:paraId="456EB882" w14:textId="77777777" w:rsidR="007E1AE0" w:rsidRDefault="007E1AE0" w:rsidP="00316E8F">
            <w:pPr>
              <w:pStyle w:val="TableBullet"/>
              <w:keepNext w:val="0"/>
              <w:ind w:left="216" w:hanging="216"/>
            </w:pPr>
            <w:r>
              <w:t>Provide youth with an orientation concerning personal property and residential accounts</w:t>
            </w:r>
          </w:p>
          <w:p w14:paraId="43A92E57" w14:textId="77777777" w:rsidR="007E1AE0" w:rsidRDefault="007E1AE0" w:rsidP="00316E8F">
            <w:pPr>
              <w:pStyle w:val="TableBullet"/>
              <w:keepNext w:val="0"/>
              <w:ind w:left="216" w:hanging="216"/>
            </w:pPr>
            <w:r>
              <w:t>Staff will use proper management and accounting procedures for residential youth accounts</w:t>
            </w:r>
          </w:p>
          <w:p w14:paraId="4C63A01D" w14:textId="77777777" w:rsidR="007E1AE0" w:rsidRDefault="007E1AE0" w:rsidP="00316E8F">
            <w:pPr>
              <w:pStyle w:val="TableBullet"/>
              <w:keepNext w:val="0"/>
              <w:ind w:left="216" w:hanging="216"/>
            </w:pPr>
            <w:r>
              <w:t>Community facility staff must also comply with Community Facility Standard 2,Fiscal Management</w:t>
            </w:r>
          </w:p>
          <w:p w14:paraId="25025094" w14:textId="77777777" w:rsidR="007E1AE0" w:rsidRDefault="007E1AE0" w:rsidP="00316E8F">
            <w:pPr>
              <w:pStyle w:val="TableBullet"/>
              <w:keepNext w:val="0"/>
              <w:ind w:left="216" w:hanging="216"/>
            </w:pPr>
            <w:r>
              <w:t>Youth accounts must be reconciled at least monthly</w:t>
            </w:r>
          </w:p>
          <w:p w14:paraId="64DA01A6" w14:textId="77777777" w:rsidR="007E1AE0" w:rsidRDefault="007E1AE0" w:rsidP="00316E8F">
            <w:pPr>
              <w:pStyle w:val="TableBullet"/>
              <w:keepNext w:val="0"/>
              <w:ind w:left="216" w:hanging="216"/>
            </w:pPr>
            <w:r>
              <w:t>Staff will inventory property at intake, prior to a living transfer within the institution prior to a facility transfer, in the event of an escape, at release</w:t>
            </w:r>
          </w:p>
        </w:tc>
      </w:tr>
      <w:tr w:rsidR="007E1AE0" w14:paraId="51A488DC" w14:textId="77777777" w:rsidTr="00D61EAB">
        <w:tc>
          <w:tcPr>
            <w:tcW w:w="1380" w:type="pct"/>
          </w:tcPr>
          <w:p w14:paraId="758C529B" w14:textId="77777777" w:rsidR="007E1AE0" w:rsidRDefault="007E1AE0" w:rsidP="00D61EAB">
            <w:pPr>
              <w:pStyle w:val="TableBullet"/>
              <w:keepNext w:val="0"/>
              <w:numPr>
                <w:ilvl w:val="0"/>
                <w:numId w:val="0"/>
              </w:numPr>
              <w:ind w:left="216" w:hanging="216"/>
            </w:pPr>
            <w:r>
              <w:t xml:space="preserve">JR Policy 6.20 </w:t>
            </w:r>
          </w:p>
          <w:p w14:paraId="2349FE38" w14:textId="77777777" w:rsidR="007E1AE0" w:rsidRDefault="007E1AE0" w:rsidP="00D61EAB">
            <w:pPr>
              <w:pStyle w:val="TableBullet"/>
              <w:keepNext w:val="0"/>
              <w:numPr>
                <w:ilvl w:val="0"/>
                <w:numId w:val="0"/>
              </w:numPr>
              <w:ind w:left="216" w:hanging="216"/>
            </w:pPr>
            <w:r>
              <w:t>Managing Residential Youth</w:t>
            </w:r>
          </w:p>
          <w:p w14:paraId="68AA7233" w14:textId="77777777" w:rsidR="007E1AE0" w:rsidRDefault="007E1AE0" w:rsidP="00D61EAB">
            <w:pPr>
              <w:pStyle w:val="TableBullet"/>
              <w:keepNext w:val="0"/>
              <w:numPr>
                <w:ilvl w:val="0"/>
                <w:numId w:val="0"/>
              </w:numPr>
              <w:ind w:left="216" w:hanging="216"/>
            </w:pPr>
            <w:r>
              <w:t>Communications</w:t>
            </w:r>
          </w:p>
          <w:p w14:paraId="6DEBEFC8" w14:textId="77777777" w:rsidR="007E1AE0" w:rsidRDefault="007E1AE0" w:rsidP="00D61EAB">
            <w:pPr>
              <w:pStyle w:val="TableBullet"/>
              <w:keepNext w:val="0"/>
              <w:numPr>
                <w:ilvl w:val="0"/>
                <w:numId w:val="0"/>
              </w:numPr>
              <w:ind w:left="216" w:hanging="216"/>
            </w:pPr>
            <w:r>
              <w:t>(November 1, 2016)</w:t>
            </w:r>
          </w:p>
        </w:tc>
        <w:tc>
          <w:tcPr>
            <w:tcW w:w="877" w:type="pct"/>
          </w:tcPr>
          <w:p w14:paraId="0F5AC305" w14:textId="77777777" w:rsidR="007E1AE0" w:rsidRDefault="007E1AE0" w:rsidP="00D61EAB">
            <w:pPr>
              <w:pStyle w:val="TableTextBoldCentered"/>
              <w:rPr>
                <w:b w:val="0"/>
              </w:rPr>
            </w:pPr>
            <w:r>
              <w:rPr>
                <w:b w:val="0"/>
              </w:rPr>
              <w:t>Youth Communications</w:t>
            </w:r>
          </w:p>
        </w:tc>
        <w:tc>
          <w:tcPr>
            <w:tcW w:w="2743" w:type="pct"/>
          </w:tcPr>
          <w:p w14:paraId="27F857EE" w14:textId="77777777" w:rsidR="007E1AE0" w:rsidRDefault="007E1AE0" w:rsidP="00316E8F">
            <w:pPr>
              <w:pStyle w:val="TableBullet"/>
              <w:keepNext w:val="0"/>
              <w:ind w:left="216" w:hanging="216"/>
            </w:pPr>
            <w:r w:rsidRPr="0074149F">
              <w:t xml:space="preserve">Expectations </w:t>
            </w:r>
            <w:r>
              <w:t xml:space="preserve">regarding youth communication will be provided to youth in writing and will be mailed to the </w:t>
            </w:r>
            <w:r w:rsidR="00AA25E6">
              <w:t>youth’s</w:t>
            </w:r>
            <w:r>
              <w:t xml:space="preserve"> family with 24 hours of intake to a JR facility</w:t>
            </w:r>
          </w:p>
          <w:p w14:paraId="7D521961" w14:textId="77777777" w:rsidR="007E1AE0" w:rsidRDefault="007E1AE0" w:rsidP="00316E8F">
            <w:pPr>
              <w:pStyle w:val="TableBullet"/>
              <w:keepNext w:val="0"/>
              <w:ind w:left="216" w:hanging="216"/>
            </w:pPr>
            <w:r>
              <w:t>Facilitate communication with approved contacts</w:t>
            </w:r>
          </w:p>
        </w:tc>
      </w:tr>
      <w:tr w:rsidR="007E1AE0" w:rsidRPr="0074149F" w14:paraId="18A2EA51"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30234C0B" w14:textId="77777777" w:rsidR="007E1AE0" w:rsidRDefault="007E1AE0" w:rsidP="00D61EAB">
            <w:pPr>
              <w:pStyle w:val="TableBullet"/>
              <w:keepNext w:val="0"/>
              <w:numPr>
                <w:ilvl w:val="0"/>
                <w:numId w:val="0"/>
              </w:numPr>
              <w:ind w:left="216" w:hanging="216"/>
            </w:pPr>
            <w:r>
              <w:t>JR Policy 6.40 Earning</w:t>
            </w:r>
          </w:p>
          <w:p w14:paraId="55291FF5" w14:textId="77777777" w:rsidR="007E1AE0" w:rsidRDefault="007E1AE0" w:rsidP="00D61EAB">
            <w:pPr>
              <w:pStyle w:val="TableBullet"/>
              <w:keepNext w:val="0"/>
              <w:numPr>
                <w:ilvl w:val="0"/>
                <w:numId w:val="0"/>
              </w:numPr>
              <w:ind w:left="216" w:hanging="216"/>
            </w:pPr>
            <w:r>
              <w:t>Authorized Leaves and</w:t>
            </w:r>
          </w:p>
          <w:p w14:paraId="25BBCB4E" w14:textId="77777777" w:rsidR="007E1AE0" w:rsidRDefault="007E1AE0" w:rsidP="00D61EAB">
            <w:pPr>
              <w:pStyle w:val="TableBullet"/>
              <w:keepNext w:val="0"/>
              <w:numPr>
                <w:ilvl w:val="0"/>
                <w:numId w:val="0"/>
              </w:numPr>
            </w:pPr>
            <w:r>
              <w:t>Community Involvement Passes</w:t>
            </w:r>
          </w:p>
          <w:p w14:paraId="307325E3" w14:textId="77777777" w:rsidR="007E1AE0" w:rsidRDefault="007E1AE0" w:rsidP="00D61EAB">
            <w:pPr>
              <w:pStyle w:val="TableBullet"/>
              <w:keepNext w:val="0"/>
              <w:numPr>
                <w:ilvl w:val="0"/>
                <w:numId w:val="0"/>
              </w:numPr>
              <w:ind w:left="216" w:hanging="216"/>
            </w:pPr>
            <w:r>
              <w:t>(June 25, 2014)</w:t>
            </w:r>
          </w:p>
          <w:p w14:paraId="4C8131EE" w14:textId="77777777" w:rsidR="007E1AE0" w:rsidRDefault="007E1AE0" w:rsidP="00D61EAB">
            <w:pPr>
              <w:pStyle w:val="TableBullet"/>
              <w:keepNext w:val="0"/>
              <w:numPr>
                <w:ilvl w:val="0"/>
                <w:numId w:val="0"/>
              </w:numPr>
              <w:ind w:left="216" w:hanging="216"/>
            </w:pPr>
          </w:p>
        </w:tc>
        <w:tc>
          <w:tcPr>
            <w:tcW w:w="877" w:type="pct"/>
          </w:tcPr>
          <w:p w14:paraId="136567B5" w14:textId="77777777" w:rsidR="007E1AE0" w:rsidRDefault="007E1AE0" w:rsidP="00D61EAB">
            <w:pPr>
              <w:pStyle w:val="TableTextBoldCentered"/>
              <w:rPr>
                <w:b w:val="0"/>
              </w:rPr>
            </w:pPr>
            <w:r>
              <w:rPr>
                <w:b w:val="0"/>
              </w:rPr>
              <w:t>Facilitate Authorized Leave &amp; Community Involvement Passes (CIP)</w:t>
            </w:r>
          </w:p>
        </w:tc>
        <w:tc>
          <w:tcPr>
            <w:tcW w:w="2743" w:type="pct"/>
          </w:tcPr>
          <w:p w14:paraId="344841FA" w14:textId="77777777" w:rsidR="007E1AE0" w:rsidRDefault="007E1AE0" w:rsidP="00316E8F">
            <w:pPr>
              <w:pStyle w:val="TableBullet"/>
              <w:keepNext w:val="0"/>
              <w:ind w:left="216" w:hanging="216"/>
            </w:pPr>
            <w:r>
              <w:t>JRCCs or designee from region where leave will occur shall conduct an Authorized Leave Investigation</w:t>
            </w:r>
          </w:p>
          <w:p w14:paraId="5317E8A3" w14:textId="77777777" w:rsidR="007E1AE0" w:rsidRDefault="007E1AE0" w:rsidP="00316E8F">
            <w:pPr>
              <w:pStyle w:val="TableBullet"/>
              <w:keepNext w:val="0"/>
              <w:ind w:left="216" w:hanging="216"/>
            </w:pPr>
            <w:r>
              <w:t>Provide appropriate notifications for youth with violent, kidnapping, stalking, or sex offenses by distribution of the Authorized Leave order at least 7 days in advance to chief of police, sheriff, Tribal law enforcement, court of commitment, JR regional office of assignment, JR regional office where leave will occur, Victim/Witness program</w:t>
            </w:r>
          </w:p>
          <w:p w14:paraId="5744A6BB" w14:textId="77777777" w:rsidR="007E1AE0" w:rsidRDefault="007E1AE0" w:rsidP="00316E8F">
            <w:pPr>
              <w:pStyle w:val="TableBullet"/>
              <w:keepNext w:val="0"/>
              <w:ind w:left="216" w:hanging="216"/>
            </w:pPr>
            <w:r>
              <w:t>Youth at institution minimum or minimum</w:t>
            </w:r>
            <w:r w:rsidR="00316E8F">
              <w:t>-</w:t>
            </w:r>
            <w:r>
              <w:t>security classification may participate in work, education, community service, or treatment programs in the community for up to 12 hours per day</w:t>
            </w:r>
            <w:r w:rsidR="004C75A6">
              <w:t xml:space="preserve">. </w:t>
            </w:r>
          </w:p>
          <w:p w14:paraId="7FBD34E3" w14:textId="77777777" w:rsidR="007E1AE0" w:rsidRPr="0074149F" w:rsidRDefault="007E1AE0" w:rsidP="00316E8F">
            <w:pPr>
              <w:pStyle w:val="TableBullet"/>
              <w:keepNext w:val="0"/>
              <w:ind w:left="216" w:hanging="216"/>
            </w:pPr>
            <w:r>
              <w:t>A community access plan establishing supervision by employers, school/treatment personnel, or other responsible adults</w:t>
            </w:r>
          </w:p>
        </w:tc>
      </w:tr>
      <w:tr w:rsidR="007E1AE0" w14:paraId="4C07A4E5" w14:textId="77777777" w:rsidTr="00D61EAB">
        <w:tc>
          <w:tcPr>
            <w:tcW w:w="1380" w:type="pct"/>
          </w:tcPr>
          <w:p w14:paraId="3D03F706" w14:textId="77777777" w:rsidR="007E1AE0" w:rsidRDefault="007E1AE0" w:rsidP="00D61EAB">
            <w:pPr>
              <w:pStyle w:val="TableBullet"/>
              <w:keepNext w:val="0"/>
              <w:numPr>
                <w:ilvl w:val="0"/>
                <w:numId w:val="0"/>
              </w:numPr>
              <w:ind w:left="216" w:hanging="216"/>
            </w:pPr>
            <w:r>
              <w:t>JR Policy 5.40</w:t>
            </w:r>
          </w:p>
          <w:p w14:paraId="5C287399" w14:textId="77777777" w:rsidR="007E1AE0" w:rsidRDefault="007E1AE0" w:rsidP="00D61EAB">
            <w:pPr>
              <w:pStyle w:val="TableBullet"/>
              <w:keepNext w:val="0"/>
              <w:numPr>
                <w:ilvl w:val="0"/>
                <w:numId w:val="0"/>
              </w:numPr>
              <w:ind w:left="216" w:hanging="216"/>
            </w:pPr>
            <w:r>
              <w:t>Transporting JR Youth</w:t>
            </w:r>
          </w:p>
          <w:p w14:paraId="16E7AD4B" w14:textId="77777777" w:rsidR="007E1AE0" w:rsidRDefault="007E1AE0" w:rsidP="00D61EAB">
            <w:pPr>
              <w:pStyle w:val="TableBullet"/>
              <w:keepNext w:val="0"/>
              <w:numPr>
                <w:ilvl w:val="0"/>
                <w:numId w:val="0"/>
              </w:numPr>
              <w:ind w:left="216" w:hanging="216"/>
            </w:pPr>
            <w:r>
              <w:t>(March 10, 2017)</w:t>
            </w:r>
          </w:p>
        </w:tc>
        <w:tc>
          <w:tcPr>
            <w:tcW w:w="877" w:type="pct"/>
          </w:tcPr>
          <w:p w14:paraId="50EFE1A0" w14:textId="77777777" w:rsidR="007E1AE0" w:rsidRDefault="007E1AE0" w:rsidP="00D61EAB">
            <w:pPr>
              <w:pStyle w:val="TableTextBoldCentered"/>
              <w:rPr>
                <w:b w:val="0"/>
              </w:rPr>
            </w:pPr>
            <w:r>
              <w:rPr>
                <w:b w:val="0"/>
              </w:rPr>
              <w:t>Transportation</w:t>
            </w:r>
          </w:p>
        </w:tc>
        <w:tc>
          <w:tcPr>
            <w:tcW w:w="2743" w:type="pct"/>
          </w:tcPr>
          <w:p w14:paraId="1DAF86A0" w14:textId="77777777" w:rsidR="007E1AE0" w:rsidRDefault="007E1AE0" w:rsidP="00316E8F">
            <w:pPr>
              <w:pStyle w:val="TableBullet"/>
              <w:keepNext w:val="0"/>
              <w:ind w:left="216" w:hanging="216"/>
            </w:pPr>
            <w:r>
              <w:t>Conduct secure transports</w:t>
            </w:r>
          </w:p>
          <w:p w14:paraId="71CC773F" w14:textId="77777777" w:rsidR="007E1AE0" w:rsidRDefault="007E1AE0" w:rsidP="00316E8F">
            <w:pPr>
              <w:pStyle w:val="TableBullet"/>
              <w:keepNext w:val="0"/>
              <w:ind w:left="216" w:hanging="216"/>
            </w:pPr>
            <w:r>
              <w:t>Provide transportation to employment, schools, or provider appointments</w:t>
            </w:r>
          </w:p>
        </w:tc>
      </w:tr>
      <w:tr w:rsidR="007E1AE0" w:rsidRPr="00223721" w14:paraId="17383C11" w14:textId="77777777" w:rsidTr="00D61EAB">
        <w:trPr>
          <w:cnfStyle w:val="000000100000" w:firstRow="0" w:lastRow="0" w:firstColumn="0" w:lastColumn="0" w:oddVBand="0" w:evenVBand="0" w:oddHBand="1" w:evenHBand="0" w:firstRowFirstColumn="0" w:firstRowLastColumn="0" w:lastRowFirstColumn="0" w:lastRowLastColumn="0"/>
        </w:trPr>
        <w:tc>
          <w:tcPr>
            <w:tcW w:w="1380" w:type="pct"/>
          </w:tcPr>
          <w:p w14:paraId="5C4DCC84" w14:textId="77777777" w:rsidR="007E1AE0" w:rsidRDefault="007E1AE0" w:rsidP="00D61EAB">
            <w:pPr>
              <w:pStyle w:val="TableBullet"/>
              <w:keepNext w:val="0"/>
              <w:numPr>
                <w:ilvl w:val="0"/>
                <w:numId w:val="0"/>
              </w:numPr>
              <w:ind w:left="13" w:hanging="13"/>
            </w:pPr>
            <w:r>
              <w:t>JR Policy 5.10 Using Physical Restraints with Youth</w:t>
            </w:r>
          </w:p>
          <w:p w14:paraId="2FABD04D" w14:textId="77777777" w:rsidR="007E1AE0" w:rsidRDefault="007E1AE0" w:rsidP="00D61EAB">
            <w:pPr>
              <w:pStyle w:val="TableBullet"/>
              <w:keepNext w:val="0"/>
              <w:numPr>
                <w:ilvl w:val="0"/>
                <w:numId w:val="0"/>
              </w:numPr>
              <w:ind w:left="13" w:hanging="13"/>
            </w:pPr>
            <w:r>
              <w:t>(June 1, 2016)</w:t>
            </w:r>
          </w:p>
          <w:p w14:paraId="6D62E679" w14:textId="77777777" w:rsidR="007E1AE0" w:rsidRDefault="007E1AE0" w:rsidP="00D61EAB">
            <w:pPr>
              <w:pStyle w:val="TableBullet"/>
              <w:keepNext w:val="0"/>
              <w:numPr>
                <w:ilvl w:val="0"/>
                <w:numId w:val="0"/>
              </w:numPr>
              <w:ind w:left="13" w:hanging="13"/>
            </w:pPr>
          </w:p>
        </w:tc>
        <w:tc>
          <w:tcPr>
            <w:tcW w:w="877" w:type="pct"/>
          </w:tcPr>
          <w:p w14:paraId="06309B42" w14:textId="77777777" w:rsidR="007E1AE0" w:rsidRDefault="007E1AE0" w:rsidP="00D61EAB">
            <w:pPr>
              <w:pStyle w:val="TableTextBoldCentered"/>
              <w:rPr>
                <w:b w:val="0"/>
              </w:rPr>
            </w:pPr>
            <w:r>
              <w:rPr>
                <w:b w:val="0"/>
              </w:rPr>
              <w:t>Safety and Security</w:t>
            </w:r>
          </w:p>
        </w:tc>
        <w:tc>
          <w:tcPr>
            <w:tcW w:w="2743" w:type="pct"/>
          </w:tcPr>
          <w:p w14:paraId="11C0EAA7" w14:textId="77777777" w:rsidR="007E1AE0" w:rsidRDefault="007E1AE0" w:rsidP="00316E8F">
            <w:pPr>
              <w:pStyle w:val="TableBullet"/>
              <w:keepNext w:val="0"/>
              <w:ind w:left="216" w:hanging="216"/>
            </w:pPr>
            <w:r>
              <w:t>Staff will take reasonable precautions to prevent physically dangerous situations</w:t>
            </w:r>
          </w:p>
          <w:p w14:paraId="30F6BA92" w14:textId="77777777" w:rsidR="007E1AE0" w:rsidRPr="00223721" w:rsidRDefault="007E1AE0" w:rsidP="00316E8F">
            <w:pPr>
              <w:pStyle w:val="TableBullet"/>
              <w:keepNext w:val="0"/>
              <w:ind w:left="216" w:hanging="216"/>
            </w:pPr>
            <w:r w:rsidRPr="00223721">
              <w:t>Staff must use non-physical interventions and de-escalating techniques prior to physical restraints, unless there is an imminent risk of harm to self or others.</w:t>
            </w:r>
            <w:r w:rsidRPr="00223721">
              <w:br/>
              <w:t>(PbS Standard SaP20, ACA 4F-2A-29</w:t>
            </w:r>
            <w:r>
              <w:rPr>
                <w:rFonts w:ascii="Cambria" w:hAnsi="Cambria"/>
                <w:sz w:val="22"/>
                <w:szCs w:val="22"/>
              </w:rPr>
              <w:t xml:space="preserve">) </w:t>
            </w:r>
          </w:p>
          <w:p w14:paraId="04604BD5" w14:textId="77777777" w:rsidR="007E1AE0" w:rsidRPr="00223721" w:rsidRDefault="007E1AE0" w:rsidP="00316E8F">
            <w:pPr>
              <w:pStyle w:val="TableBullet"/>
              <w:keepNext w:val="0"/>
              <w:ind w:left="216" w:hanging="216"/>
              <w:rPr>
                <w:b/>
              </w:rPr>
            </w:pPr>
            <w:r w:rsidRPr="00223721">
              <w:rPr>
                <w:bCs/>
              </w:rPr>
              <w:t xml:space="preserve">Staff must maintain constant and direct visual observation of a youth who has been </w:t>
            </w:r>
            <w:r>
              <w:rPr>
                <w:bCs/>
              </w:rPr>
              <w:t xml:space="preserve">placed in mechanical restraints; staff will </w:t>
            </w:r>
            <w:r w:rsidRPr="00223721">
              <w:rPr>
                <w:b/>
                <w:bCs/>
              </w:rPr>
              <w:t xml:space="preserve">document observations every 5 minutes </w:t>
            </w:r>
          </w:p>
          <w:p w14:paraId="7D49E738" w14:textId="77777777" w:rsidR="007E1AE0" w:rsidRPr="00223721" w:rsidRDefault="007E1AE0" w:rsidP="00316E8F">
            <w:pPr>
              <w:pStyle w:val="TableBullet"/>
              <w:keepNext w:val="0"/>
              <w:ind w:left="216" w:hanging="216"/>
              <w:rPr>
                <w:b/>
              </w:rPr>
            </w:pPr>
            <w:r w:rsidRPr="00223721">
              <w:rPr>
                <w:bCs/>
              </w:rPr>
              <w:t xml:space="preserve">Use of physical or mechanical restraints must be documented </w:t>
            </w:r>
            <w:r>
              <w:rPr>
                <w:bCs/>
              </w:rPr>
              <w:t xml:space="preserve">in an Incident Report </w:t>
            </w:r>
            <w:r w:rsidRPr="00223721">
              <w:rPr>
                <w:bCs/>
              </w:rPr>
              <w:t xml:space="preserve">in the Automated Client Tracking (ACT) system </w:t>
            </w:r>
            <w:r w:rsidRPr="00223721">
              <w:rPr>
                <w:b/>
                <w:bCs/>
              </w:rPr>
              <w:t xml:space="preserve">immediately or before the </w:t>
            </w:r>
            <w:r>
              <w:rPr>
                <w:b/>
                <w:bCs/>
              </w:rPr>
              <w:t>involved staff leave shift</w:t>
            </w:r>
          </w:p>
        </w:tc>
      </w:tr>
    </w:tbl>
    <w:p w14:paraId="6365213B" w14:textId="77777777" w:rsidR="007E1AE0" w:rsidRDefault="007E1AE0" w:rsidP="007E1AE0"/>
    <w:p w14:paraId="39B8B218" w14:textId="77777777" w:rsidR="007E1AE0" w:rsidRDefault="007E1AE0" w:rsidP="007E1AE0"/>
    <w:p w14:paraId="5CC02842" w14:textId="77777777" w:rsidR="00BE5090" w:rsidRPr="005B0FD8" w:rsidRDefault="00BE5090" w:rsidP="009B6DDA">
      <w:pPr>
        <w:pStyle w:val="Heading1"/>
        <w:numPr>
          <w:ilvl w:val="0"/>
          <w:numId w:val="0"/>
        </w:numPr>
      </w:pPr>
    </w:p>
    <w:sectPr w:rsidR="00BE5090" w:rsidRPr="005B0FD8" w:rsidSect="00993C2C">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E28B" w14:textId="77777777" w:rsidR="00320DFB" w:rsidRPr="003E5CEE" w:rsidRDefault="00320DFB" w:rsidP="00B132BB">
      <w:r>
        <w:separator/>
      </w:r>
    </w:p>
    <w:p w14:paraId="7D85F091" w14:textId="77777777" w:rsidR="00320DFB" w:rsidRDefault="00320DFB" w:rsidP="00B132BB"/>
    <w:p w14:paraId="166AF778" w14:textId="77777777" w:rsidR="00320DFB" w:rsidRDefault="00320DFB"/>
  </w:endnote>
  <w:endnote w:type="continuationSeparator" w:id="0">
    <w:p w14:paraId="60467209" w14:textId="77777777" w:rsidR="00320DFB" w:rsidRPr="003E5CEE" w:rsidRDefault="00320DFB" w:rsidP="00B132BB">
      <w:r>
        <w:continuationSeparator/>
      </w:r>
    </w:p>
    <w:p w14:paraId="0991A5F4" w14:textId="77777777" w:rsidR="00320DFB" w:rsidRDefault="00320DFB" w:rsidP="00B132BB"/>
    <w:p w14:paraId="33983D96" w14:textId="77777777" w:rsidR="00320DFB" w:rsidRDefault="00320DFB"/>
  </w:endnote>
  <w:endnote w:type="continuationNotice" w:id="1">
    <w:p w14:paraId="1C042513" w14:textId="77777777" w:rsidR="00320DFB" w:rsidRDefault="00320DFB">
      <w:pPr>
        <w:spacing w:before="0" w:after="0"/>
      </w:pPr>
    </w:p>
    <w:p w14:paraId="660F1C3F" w14:textId="77777777" w:rsidR="00320DFB" w:rsidRDefault="0032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B0604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Times New Roman">
    <w:altName w:val="Arial Narrow"/>
    <w:panose1 w:val="020B0604020202020204"/>
    <w:charset w:val="00"/>
    <w:family w:val="roman"/>
    <w:notTrueType/>
    <w:pitch w:val="default"/>
  </w:font>
  <w:font w:name="Arial Narrow,Arial">
    <w:altName w:val="Arial Narrow"/>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D1483" w14:textId="77777777" w:rsidR="00BE1373" w:rsidRPr="00F85559" w:rsidRDefault="00BE1373" w:rsidP="00352126">
    <w:pPr>
      <w:pStyle w:val="Footer"/>
      <w:pBdr>
        <w:top w:val="single" w:sz="24" w:space="1" w:color="0046AC"/>
      </w:pBdr>
      <w:spacing w:after="0"/>
      <w:rPr>
        <w:i w:val="0"/>
      </w:rPr>
    </w:pPr>
    <w:r>
      <w:rPr>
        <w:i w:val="0"/>
      </w:rPr>
      <w:t xml:space="preserve"> </w:t>
    </w:r>
    <w:r>
      <w:rPr>
        <w:i w:val="0"/>
      </w:rPr>
      <w:tab/>
    </w:r>
    <w:r>
      <w:rPr>
        <w:i w:val="0"/>
      </w:rPr>
      <w:ptab w:relativeTo="margin" w:alignment="center" w:leader="none"/>
    </w:r>
    <w:r>
      <w:rPr>
        <w:i w:val="0"/>
      </w:rPr>
      <w:tab/>
    </w:r>
    <w:r w:rsidRPr="00AA1FFB">
      <w:rPr>
        <w:i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9038" w14:textId="13937BA4" w:rsidR="00BE1373" w:rsidRPr="00723799" w:rsidRDefault="00BE1373" w:rsidP="00DD4F6B">
    <w:pPr>
      <w:pStyle w:val="Footer"/>
      <w:tabs>
        <w:tab w:val="left" w:pos="4961"/>
      </w:tabs>
    </w:pPr>
    <w:r w:rsidRPr="00B5156D">
      <w:rPr>
        <w:i w:val="0"/>
        <w:noProof/>
      </w:rPr>
      <w:drawing>
        <wp:anchor distT="0" distB="0" distL="114300" distR="114300" simplePos="0" relativeHeight="251656192" behindDoc="0" locked="0" layoutInCell="1" allowOverlap="1" wp14:anchorId="299E5C46" wp14:editId="3B46B4BC">
          <wp:simplePos x="0" y="0"/>
          <wp:positionH relativeFrom="column">
            <wp:posOffset>0</wp:posOffset>
          </wp:positionH>
          <wp:positionV relativeFrom="page">
            <wp:posOffset>9476105</wp:posOffset>
          </wp:positionV>
          <wp:extent cx="1111250" cy="107950"/>
          <wp:effectExtent l="0" t="0" r="0" b="6350"/>
          <wp:wrapNone/>
          <wp:docPr id="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10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56D">
      <w:rPr>
        <w:i w:val="0"/>
      </w:rPr>
      <w:tab/>
    </w:r>
    <w:r w:rsidRPr="00B5156D">
      <w:rPr>
        <w:i w:val="0"/>
        <w:noProof/>
      </w:rPr>
      <w:fldChar w:fldCharType="begin"/>
    </w:r>
    <w:r w:rsidRPr="00B5156D">
      <w:rPr>
        <w:i w:val="0"/>
      </w:rPr>
      <w:instrText xml:space="preserve"> PAGE   \* MERGEFORMAT </w:instrText>
    </w:r>
    <w:r w:rsidRPr="00B5156D">
      <w:rPr>
        <w:i w:val="0"/>
      </w:rPr>
      <w:fldChar w:fldCharType="separate"/>
    </w:r>
    <w:r w:rsidR="00C90209">
      <w:rPr>
        <w:i w:val="0"/>
        <w:noProof/>
      </w:rPr>
      <w:t>iv</w:t>
    </w:r>
    <w:r w:rsidRPr="00B5156D">
      <w:rPr>
        <w:i w:val="0"/>
        <w:noProof/>
      </w:rPr>
      <w:fldChar w:fldCharType="end"/>
    </w:r>
    <w:r w:rsidRPr="00B5156D">
      <w:rPr>
        <w:i w:val="0"/>
      </w:rPr>
      <w:tab/>
    </w:r>
    <w:r>
      <w:rPr>
        <w:i w:val="0"/>
      </w:rPr>
      <w:tab/>
      <w:t xml:space="preserve">November 7, </w:t>
    </w:r>
    <w:r w:rsidRPr="00B5156D">
      <w:rPr>
        <w:i w:val="0"/>
      </w:rPr>
      <w:t>2018</w:t>
    </w:r>
    <w:r>
      <w:rPr>
        <w:i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8E50" w14:textId="77777777" w:rsidR="00320DFB" w:rsidRPr="003E5CEE" w:rsidRDefault="00320DFB" w:rsidP="00B132BB">
      <w:r>
        <w:separator/>
      </w:r>
    </w:p>
  </w:footnote>
  <w:footnote w:type="continuationSeparator" w:id="0">
    <w:p w14:paraId="003EF72D" w14:textId="77777777" w:rsidR="00320DFB" w:rsidRPr="003E5CEE" w:rsidRDefault="00320DFB" w:rsidP="00B132BB">
      <w:r>
        <w:continuationSeparator/>
      </w:r>
    </w:p>
  </w:footnote>
  <w:footnote w:type="continuationNotice" w:id="1">
    <w:p w14:paraId="4BE43FC8" w14:textId="77777777" w:rsidR="00320DFB" w:rsidRPr="00E61736" w:rsidRDefault="00320DFB" w:rsidP="00E61736">
      <w:pPr>
        <w:pStyle w:val="Footer"/>
      </w:pPr>
    </w:p>
  </w:footnote>
  <w:footnote w:id="2">
    <w:p w14:paraId="22906FD5" w14:textId="77777777" w:rsidR="00BE1373" w:rsidRPr="00461DCF" w:rsidRDefault="00BE1373">
      <w:pPr>
        <w:pStyle w:val="FootnoteText"/>
        <w:rPr>
          <w:sz w:val="16"/>
          <w:szCs w:val="16"/>
        </w:rPr>
      </w:pPr>
      <w:r w:rsidRPr="00461DCF">
        <w:rPr>
          <w:rStyle w:val="FootnoteReference"/>
          <w:sz w:val="16"/>
          <w:szCs w:val="16"/>
        </w:rPr>
        <w:footnoteRef/>
      </w:r>
      <w:r w:rsidRPr="00461DCF">
        <w:rPr>
          <w:sz w:val="16"/>
          <w:szCs w:val="16"/>
        </w:rPr>
        <w:t xml:space="preserve"> RCW 72.05.460.</w:t>
      </w:r>
    </w:p>
  </w:footnote>
  <w:footnote w:id="3">
    <w:p w14:paraId="1A1F0890" w14:textId="77777777" w:rsidR="00BE1373" w:rsidRPr="00461DCF" w:rsidRDefault="00BE1373" w:rsidP="002323A9">
      <w:pPr>
        <w:pStyle w:val="FootnoteText"/>
        <w:rPr>
          <w:i/>
          <w:sz w:val="16"/>
          <w:szCs w:val="16"/>
        </w:rPr>
      </w:pPr>
      <w:r w:rsidRPr="00461DCF">
        <w:rPr>
          <w:rStyle w:val="FootnoteReference"/>
          <w:sz w:val="16"/>
          <w:szCs w:val="16"/>
        </w:rPr>
        <w:footnoteRef/>
      </w:r>
      <w:r w:rsidRPr="00461DCF">
        <w:rPr>
          <w:sz w:val="16"/>
          <w:szCs w:val="16"/>
        </w:rPr>
        <w:t xml:space="preserve"> Juvenile Rehabilitation Administration (n.d.). </w:t>
      </w:r>
      <w:r w:rsidRPr="00461DCF">
        <w:rPr>
          <w:i/>
          <w:sz w:val="16"/>
          <w:szCs w:val="16"/>
        </w:rPr>
        <w:t>Demographic/Characteristics of Population for Residential Admissions from July 1, 2017 to June 30, 2018.</w:t>
      </w:r>
    </w:p>
  </w:footnote>
  <w:footnote w:id="4">
    <w:p w14:paraId="3398290C" w14:textId="77777777" w:rsidR="00BE1373" w:rsidRPr="00566444" w:rsidRDefault="00BE1373">
      <w:pPr>
        <w:pStyle w:val="FootnoteText"/>
        <w:rPr>
          <w:sz w:val="16"/>
          <w:szCs w:val="16"/>
        </w:rPr>
      </w:pPr>
      <w:r w:rsidRPr="00461DCF">
        <w:rPr>
          <w:rStyle w:val="FootnoteReference"/>
          <w:sz w:val="16"/>
          <w:szCs w:val="16"/>
        </w:rPr>
        <w:footnoteRef/>
      </w:r>
      <w:r w:rsidRPr="00461DCF">
        <w:rPr>
          <w:sz w:val="16"/>
          <w:szCs w:val="16"/>
        </w:rPr>
        <w:t xml:space="preserve"> RCW 72.01.410.</w:t>
      </w:r>
    </w:p>
  </w:footnote>
  <w:footnote w:id="5">
    <w:p w14:paraId="6F6B75B1" w14:textId="77777777" w:rsidR="00BE1373" w:rsidRPr="000A5F2B" w:rsidRDefault="00BE1373">
      <w:pPr>
        <w:pStyle w:val="FootnoteText"/>
        <w:rPr>
          <w:i/>
          <w:sz w:val="16"/>
          <w:szCs w:val="16"/>
        </w:rPr>
      </w:pPr>
      <w:r w:rsidRPr="00566444">
        <w:rPr>
          <w:rStyle w:val="FootnoteReference"/>
          <w:sz w:val="16"/>
          <w:szCs w:val="16"/>
        </w:rPr>
        <w:footnoteRef/>
      </w:r>
      <w:r w:rsidRPr="00566444">
        <w:rPr>
          <w:sz w:val="16"/>
          <w:szCs w:val="16"/>
        </w:rPr>
        <w:t xml:space="preserve"> Juvenile Rehabilitation, </w:t>
      </w:r>
      <w:r w:rsidRPr="00566444">
        <w:rPr>
          <w:i/>
          <w:sz w:val="16"/>
          <w:szCs w:val="16"/>
        </w:rPr>
        <w:t>YOP</w:t>
      </w:r>
      <w:r w:rsidRPr="000A5F2B">
        <w:rPr>
          <w:i/>
          <w:sz w:val="16"/>
          <w:szCs w:val="16"/>
        </w:rPr>
        <w:t xml:space="preserve"> Length of Stay Data File</w:t>
      </w:r>
      <w:r>
        <w:rPr>
          <w:i/>
          <w:sz w:val="16"/>
          <w:szCs w:val="16"/>
        </w:rPr>
        <w:t xml:space="preserve"> </w:t>
      </w:r>
      <w:r w:rsidRPr="00566444">
        <w:rPr>
          <w:sz w:val="16"/>
          <w:szCs w:val="16"/>
        </w:rPr>
        <w:t>.Unpublished data.</w:t>
      </w:r>
    </w:p>
  </w:footnote>
  <w:footnote w:id="6">
    <w:p w14:paraId="088EFA52" w14:textId="77777777" w:rsidR="00BE1373" w:rsidRPr="00D52DED" w:rsidRDefault="00BE1373" w:rsidP="002323A9">
      <w:pPr>
        <w:pStyle w:val="FootnoteText"/>
        <w:contextualSpacing/>
        <w:rPr>
          <w:i/>
          <w:sz w:val="16"/>
          <w:szCs w:val="16"/>
        </w:rPr>
      </w:pPr>
      <w:r w:rsidRPr="00D52DED">
        <w:rPr>
          <w:rStyle w:val="FootnoteReference"/>
          <w:sz w:val="16"/>
          <w:szCs w:val="16"/>
        </w:rPr>
        <w:footnoteRef/>
      </w:r>
      <w:r w:rsidRPr="00D52DED">
        <w:rPr>
          <w:sz w:val="16"/>
          <w:szCs w:val="16"/>
        </w:rPr>
        <w:t xml:space="preserve"> Rehabilitation Administration (2018, June 14). </w:t>
      </w:r>
      <w:r w:rsidRPr="00D52DED">
        <w:rPr>
          <w:i/>
          <w:sz w:val="16"/>
          <w:szCs w:val="16"/>
        </w:rPr>
        <w:t>Staffing Analysis Project Kick-off Meeting.</w:t>
      </w:r>
    </w:p>
  </w:footnote>
  <w:footnote w:id="7">
    <w:p w14:paraId="7025C85E" w14:textId="77777777" w:rsidR="00BE1373" w:rsidRPr="00D52DED" w:rsidRDefault="00BE1373" w:rsidP="002323A9">
      <w:pPr>
        <w:pStyle w:val="FootnoteText"/>
        <w:contextualSpacing/>
        <w:rPr>
          <w:sz w:val="16"/>
          <w:szCs w:val="16"/>
          <w:highlight w:val="yellow"/>
        </w:rPr>
      </w:pPr>
      <w:r w:rsidRPr="00D52DED">
        <w:rPr>
          <w:rStyle w:val="FootnoteReference"/>
          <w:sz w:val="16"/>
          <w:szCs w:val="16"/>
        </w:rPr>
        <w:footnoteRef/>
      </w:r>
      <w:r w:rsidRPr="00D52DED">
        <w:rPr>
          <w:sz w:val="16"/>
          <w:szCs w:val="16"/>
        </w:rPr>
        <w:t xml:space="preserve"> S.B. 6160, Juvenile Court Jurisdiction, 65</w:t>
      </w:r>
      <w:r w:rsidRPr="00D52DED">
        <w:rPr>
          <w:sz w:val="16"/>
          <w:szCs w:val="16"/>
          <w:vertAlign w:val="superscript"/>
        </w:rPr>
        <w:t>th</w:t>
      </w:r>
      <w:r w:rsidRPr="00D52DED">
        <w:rPr>
          <w:sz w:val="16"/>
          <w:szCs w:val="16"/>
        </w:rPr>
        <w:t xml:space="preserve"> Legislature, 2018 Reg. Sess. (State of Washington, March 26, 2018). </w:t>
      </w:r>
    </w:p>
  </w:footnote>
  <w:footnote w:id="8">
    <w:p w14:paraId="7484C145" w14:textId="77777777" w:rsidR="00BE1373" w:rsidRPr="008D3708" w:rsidRDefault="00BE1373" w:rsidP="002323A9">
      <w:pPr>
        <w:pStyle w:val="FootnoteText"/>
        <w:contextualSpacing/>
        <w:rPr>
          <w:sz w:val="18"/>
          <w:szCs w:val="18"/>
        </w:rPr>
      </w:pPr>
      <w:r w:rsidRPr="00D52DED">
        <w:rPr>
          <w:rStyle w:val="FootnoteReference"/>
          <w:sz w:val="16"/>
          <w:szCs w:val="16"/>
        </w:rPr>
        <w:footnoteRef/>
      </w:r>
      <w:r w:rsidRPr="00D52DED">
        <w:rPr>
          <w:sz w:val="16"/>
          <w:szCs w:val="16"/>
        </w:rPr>
        <w:t xml:space="preserve"> H.B. 1661, 65</w:t>
      </w:r>
      <w:r w:rsidRPr="00D52DED">
        <w:rPr>
          <w:sz w:val="16"/>
          <w:szCs w:val="16"/>
          <w:vertAlign w:val="superscript"/>
        </w:rPr>
        <w:t>th</w:t>
      </w:r>
      <w:r w:rsidRPr="00D52DED">
        <w:rPr>
          <w:sz w:val="16"/>
          <w:szCs w:val="16"/>
        </w:rPr>
        <w:t xml:space="preserve"> Legislature, 2017 3</w:t>
      </w:r>
      <w:r w:rsidRPr="00D52DED">
        <w:rPr>
          <w:sz w:val="16"/>
          <w:szCs w:val="16"/>
          <w:vertAlign w:val="superscript"/>
        </w:rPr>
        <w:t>rd</w:t>
      </w:r>
      <w:r w:rsidRPr="00D52DED">
        <w:rPr>
          <w:sz w:val="16"/>
          <w:szCs w:val="16"/>
        </w:rPr>
        <w:t xml:space="preserve"> Special Session, (Stat</w:t>
      </w:r>
      <w:r>
        <w:rPr>
          <w:sz w:val="16"/>
          <w:szCs w:val="16"/>
        </w:rPr>
        <w:t>e of Washington, June 30, 2017);</w:t>
      </w:r>
      <w:r w:rsidRPr="00EB45B0">
        <w:rPr>
          <w:sz w:val="16"/>
          <w:szCs w:val="16"/>
        </w:rPr>
        <w:t xml:space="preserve"> </w:t>
      </w:r>
      <w:r w:rsidRPr="00470D83">
        <w:rPr>
          <w:sz w:val="16"/>
          <w:szCs w:val="16"/>
        </w:rPr>
        <w:t>Execu</w:t>
      </w:r>
      <w:r>
        <w:rPr>
          <w:sz w:val="16"/>
          <w:szCs w:val="16"/>
        </w:rPr>
        <w:t>tive Order 16-03</w:t>
      </w:r>
      <w:r w:rsidRPr="00EB45B0">
        <w:rPr>
          <w:sz w:val="16"/>
          <w:szCs w:val="16"/>
        </w:rPr>
        <w:t xml:space="preserve"> </w:t>
      </w:r>
      <w:r>
        <w:rPr>
          <w:sz w:val="16"/>
          <w:szCs w:val="16"/>
        </w:rPr>
        <w:t>(February 18, 2016</w:t>
      </w:r>
      <w:r w:rsidRPr="00470D83">
        <w:rPr>
          <w:sz w:val="16"/>
          <w:szCs w:val="16"/>
        </w:rPr>
        <w:t xml:space="preserve">).   </w:t>
      </w:r>
      <w:r w:rsidRPr="00EB45B0">
        <w:rPr>
          <w:i/>
          <w:sz w:val="16"/>
          <w:szCs w:val="16"/>
        </w:rPr>
        <w:t>Transforming Services for Children and Families in Washington State</w:t>
      </w:r>
      <w:r>
        <w:rPr>
          <w:sz w:val="16"/>
          <w:szCs w:val="16"/>
        </w:rPr>
        <w:t>.</w:t>
      </w:r>
    </w:p>
  </w:footnote>
  <w:footnote w:id="9">
    <w:p w14:paraId="23F76F7A" w14:textId="77777777" w:rsidR="00BE1373" w:rsidRPr="006B5B99" w:rsidRDefault="00BE1373" w:rsidP="002323A9">
      <w:pPr>
        <w:pStyle w:val="FootnoteText"/>
        <w:rPr>
          <w:sz w:val="16"/>
          <w:szCs w:val="16"/>
        </w:rPr>
      </w:pPr>
      <w:r w:rsidRPr="006B5B99">
        <w:rPr>
          <w:rStyle w:val="FootnoteReference"/>
          <w:sz w:val="16"/>
          <w:szCs w:val="16"/>
        </w:rPr>
        <w:footnoteRef/>
      </w:r>
      <w:r w:rsidRPr="006B5B99">
        <w:rPr>
          <w:sz w:val="16"/>
          <w:szCs w:val="16"/>
        </w:rPr>
        <w:t xml:space="preserve"> D. Landin, Behavioral Health Training Administrator, Juvenile Rehabilitation (personal communication, August 10, 2018).</w:t>
      </w:r>
    </w:p>
  </w:footnote>
  <w:footnote w:id="10">
    <w:p w14:paraId="667C5517" w14:textId="77777777" w:rsidR="00BE1373" w:rsidRPr="00F42D48" w:rsidRDefault="00BE1373" w:rsidP="002323A9">
      <w:pPr>
        <w:rPr>
          <w:sz w:val="16"/>
          <w:szCs w:val="16"/>
          <w:shd w:val="clear" w:color="auto" w:fill="FFFFFF"/>
        </w:rPr>
      </w:pPr>
      <w:r w:rsidRPr="00F42D48">
        <w:rPr>
          <w:rStyle w:val="FootnoteReference"/>
          <w:sz w:val="16"/>
          <w:szCs w:val="16"/>
        </w:rPr>
        <w:footnoteRef/>
      </w:r>
      <w:r w:rsidRPr="00F42D48">
        <w:rPr>
          <w:sz w:val="16"/>
          <w:szCs w:val="16"/>
        </w:rPr>
        <w:t xml:space="preserve"> </w:t>
      </w:r>
      <w:r w:rsidRPr="00F42D48">
        <w:rPr>
          <w:bCs/>
          <w:sz w:val="16"/>
          <w:szCs w:val="16"/>
        </w:rPr>
        <w:t>Minor, K.I, Wells, J.B, Angel, E. &amp; Matz, A.K. (2011) Predictors of early job turnover among juvenile correctional facility staff. </w:t>
      </w:r>
      <w:r w:rsidRPr="00F42D48">
        <w:rPr>
          <w:bCs/>
          <w:i/>
          <w:iCs/>
          <w:sz w:val="16"/>
          <w:szCs w:val="16"/>
        </w:rPr>
        <w:t>Criminal Justice Review</w:t>
      </w:r>
      <w:r w:rsidRPr="00F42D48">
        <w:rPr>
          <w:bCs/>
          <w:sz w:val="16"/>
          <w:szCs w:val="16"/>
        </w:rPr>
        <w:t>, 36(1), 58-75.</w:t>
      </w:r>
    </w:p>
    <w:p w14:paraId="4AD92EEB" w14:textId="77777777" w:rsidR="00BE1373" w:rsidRPr="00590507" w:rsidRDefault="00BE1373" w:rsidP="002323A9">
      <w:pPr>
        <w:pStyle w:val="FootnoteText"/>
        <w:rPr>
          <w:sz w:val="18"/>
          <w:szCs w:val="18"/>
        </w:rPr>
      </w:pPr>
    </w:p>
  </w:footnote>
  <w:footnote w:id="11">
    <w:p w14:paraId="08E9C5DD" w14:textId="77777777" w:rsidR="00BE1373" w:rsidRPr="00F42D48" w:rsidRDefault="00BE1373" w:rsidP="005801BB">
      <w:pPr>
        <w:spacing w:before="0" w:after="0"/>
        <w:contextualSpacing/>
        <w:rPr>
          <w:sz w:val="16"/>
          <w:szCs w:val="16"/>
        </w:rPr>
      </w:pPr>
      <w:r w:rsidRPr="00F42D48">
        <w:rPr>
          <w:rStyle w:val="FootnoteReference"/>
          <w:sz w:val="16"/>
          <w:szCs w:val="16"/>
        </w:rPr>
        <w:footnoteRef/>
      </w:r>
      <w:r w:rsidRPr="00F42D48">
        <w:rPr>
          <w:sz w:val="16"/>
          <w:szCs w:val="16"/>
        </w:rPr>
        <w:t xml:space="preserve"> Gibbs, J. Dwyer, J &amp; Vivekanda, K. &amp; Victoria Department of Human Services. Child Protection (2014). Leading practice: A resource guide for child protection leaders, second edition. Melborune: Child Protection, Department of Human Services. </w:t>
      </w:r>
    </w:p>
  </w:footnote>
  <w:footnote w:id="12">
    <w:p w14:paraId="0B58769F" w14:textId="77777777" w:rsidR="00BE1373" w:rsidRPr="00461DCF" w:rsidRDefault="00BE1373" w:rsidP="00461DCF">
      <w:pPr>
        <w:spacing w:before="0" w:after="0"/>
        <w:contextualSpacing/>
        <w:rPr>
          <w:sz w:val="16"/>
          <w:szCs w:val="16"/>
          <w:u w:val="single"/>
        </w:rPr>
      </w:pPr>
      <w:r w:rsidRPr="00F42D48">
        <w:rPr>
          <w:rStyle w:val="FootnoteReference"/>
          <w:sz w:val="16"/>
          <w:szCs w:val="16"/>
        </w:rPr>
        <w:footnoteRef/>
      </w:r>
      <w:r w:rsidRPr="00F42D48">
        <w:rPr>
          <w:sz w:val="16"/>
          <w:szCs w:val="16"/>
        </w:rPr>
        <w:t xml:space="preserve"> </w:t>
      </w:r>
      <w:r w:rsidRPr="00F42D48">
        <w:rPr>
          <w:rFonts w:eastAsia="Times New Roman"/>
          <w:bCs/>
          <w:color w:val="212121"/>
          <w:sz w:val="16"/>
          <w:szCs w:val="16"/>
        </w:rPr>
        <w:t xml:space="preserve">Mikytuck, A.M., Cleary, H, M.D. (2016). Factors associated with turnover decision making among juvenile justice employees: Comparing correctional and non-correctional staff, </w:t>
      </w:r>
      <w:r w:rsidRPr="00F42D48">
        <w:rPr>
          <w:rFonts w:eastAsia="Times New Roman"/>
          <w:bCs/>
          <w:i/>
          <w:color w:val="212121"/>
          <w:sz w:val="16"/>
          <w:szCs w:val="16"/>
        </w:rPr>
        <w:t>Journal of Juvenile Justice</w:t>
      </w:r>
      <w:r w:rsidRPr="00F42D48">
        <w:rPr>
          <w:rFonts w:eastAsia="Times New Roman"/>
          <w:bCs/>
          <w:color w:val="212121"/>
          <w:sz w:val="16"/>
          <w:szCs w:val="16"/>
        </w:rPr>
        <w:t>, 5(2), 50-67.</w:t>
      </w:r>
    </w:p>
  </w:footnote>
  <w:footnote w:id="13">
    <w:p w14:paraId="5BCB623D" w14:textId="77777777" w:rsidR="00BE1373" w:rsidRPr="00282ABA" w:rsidRDefault="00BE1373">
      <w:pPr>
        <w:pStyle w:val="FootnoteText"/>
        <w:rPr>
          <w:sz w:val="16"/>
          <w:szCs w:val="16"/>
        </w:rPr>
      </w:pPr>
      <w:r w:rsidRPr="00282ABA">
        <w:rPr>
          <w:rStyle w:val="FootnoteReference"/>
          <w:sz w:val="16"/>
          <w:szCs w:val="16"/>
        </w:rPr>
        <w:footnoteRef/>
      </w:r>
      <w:r w:rsidRPr="00282ABA">
        <w:rPr>
          <w:sz w:val="16"/>
          <w:szCs w:val="16"/>
        </w:rPr>
        <w:t xml:space="preserve"> RCW 13.40.460.</w:t>
      </w:r>
    </w:p>
  </w:footnote>
  <w:footnote w:id="14">
    <w:p w14:paraId="2484AC02" w14:textId="77777777" w:rsidR="00BE1373" w:rsidRPr="00282ABA" w:rsidRDefault="00BE1373" w:rsidP="00867868">
      <w:pPr>
        <w:pStyle w:val="FootnoteText"/>
        <w:contextualSpacing/>
        <w:rPr>
          <w:sz w:val="16"/>
          <w:szCs w:val="16"/>
        </w:rPr>
      </w:pPr>
      <w:r w:rsidRPr="00282ABA">
        <w:rPr>
          <w:rStyle w:val="FootnoteReference"/>
          <w:sz w:val="16"/>
          <w:szCs w:val="16"/>
        </w:rPr>
        <w:footnoteRef/>
      </w:r>
      <w:r w:rsidRPr="00282ABA">
        <w:rPr>
          <w:sz w:val="16"/>
          <w:szCs w:val="16"/>
        </w:rPr>
        <w:t xml:space="preserve"> RCW 72.05.460.</w:t>
      </w:r>
    </w:p>
  </w:footnote>
  <w:footnote w:id="15">
    <w:p w14:paraId="10C78725" w14:textId="77777777" w:rsidR="00BE1373" w:rsidRDefault="00BE1373">
      <w:pPr>
        <w:pStyle w:val="FootnoteText"/>
      </w:pPr>
      <w:r w:rsidRPr="00CE00B1">
        <w:rPr>
          <w:rStyle w:val="FootnoteReference"/>
          <w:sz w:val="16"/>
          <w:szCs w:val="16"/>
        </w:rPr>
        <w:footnoteRef/>
      </w:r>
      <w:r w:rsidRPr="00CE00B1">
        <w:rPr>
          <w:rStyle w:val="FootnoteReference"/>
          <w:sz w:val="16"/>
          <w:szCs w:val="16"/>
        </w:rPr>
        <w:t xml:space="preserve">  </w:t>
      </w:r>
      <w:r w:rsidRPr="00CE00B1">
        <w:rPr>
          <w:sz w:val="16"/>
          <w:szCs w:val="16"/>
        </w:rPr>
        <w:t>S.B. 6115, Tribal Youth – Residential Custody Services, 65</w:t>
      </w:r>
      <w:r w:rsidRPr="00CE00B1">
        <w:rPr>
          <w:sz w:val="16"/>
          <w:szCs w:val="16"/>
          <w:vertAlign w:val="superscript"/>
        </w:rPr>
        <w:t>th</w:t>
      </w:r>
      <w:r w:rsidRPr="00CE00B1">
        <w:rPr>
          <w:sz w:val="16"/>
          <w:szCs w:val="16"/>
        </w:rPr>
        <w:t xml:space="preserve"> Legislature, 2018 Reg. Sess. (State of Washington, February 27, 2018).</w:t>
      </w:r>
    </w:p>
  </w:footnote>
  <w:footnote w:id="16">
    <w:p w14:paraId="519855AE" w14:textId="77777777" w:rsidR="00BE1373" w:rsidRPr="00566444" w:rsidRDefault="00BE1373" w:rsidP="0057509C">
      <w:pPr>
        <w:pStyle w:val="FootnoteText"/>
        <w:rPr>
          <w:sz w:val="16"/>
          <w:szCs w:val="16"/>
        </w:rPr>
      </w:pPr>
      <w:r w:rsidRPr="00461DCF">
        <w:rPr>
          <w:rStyle w:val="FootnoteReference"/>
          <w:sz w:val="16"/>
          <w:szCs w:val="16"/>
        </w:rPr>
        <w:footnoteRef/>
      </w:r>
      <w:r w:rsidRPr="00461DCF">
        <w:rPr>
          <w:sz w:val="16"/>
          <w:szCs w:val="16"/>
        </w:rPr>
        <w:t xml:space="preserve"> RCW 72.01.410.</w:t>
      </w:r>
    </w:p>
  </w:footnote>
  <w:footnote w:id="17">
    <w:p w14:paraId="5C1BD9BD" w14:textId="77777777" w:rsidR="00BE1373" w:rsidRPr="000A5F2B" w:rsidRDefault="00BE1373" w:rsidP="0057509C">
      <w:pPr>
        <w:pStyle w:val="FootnoteText"/>
        <w:rPr>
          <w:i/>
          <w:sz w:val="16"/>
          <w:szCs w:val="16"/>
        </w:rPr>
      </w:pPr>
      <w:r w:rsidRPr="00566444">
        <w:rPr>
          <w:rStyle w:val="FootnoteReference"/>
          <w:sz w:val="16"/>
          <w:szCs w:val="16"/>
        </w:rPr>
        <w:footnoteRef/>
      </w:r>
      <w:r w:rsidRPr="00566444">
        <w:rPr>
          <w:sz w:val="16"/>
          <w:szCs w:val="16"/>
        </w:rPr>
        <w:t xml:space="preserve"> Juvenile Rehabilitation, </w:t>
      </w:r>
      <w:r w:rsidRPr="00566444">
        <w:rPr>
          <w:i/>
          <w:sz w:val="16"/>
          <w:szCs w:val="16"/>
        </w:rPr>
        <w:t>YOP</w:t>
      </w:r>
      <w:r w:rsidRPr="000A5F2B">
        <w:rPr>
          <w:i/>
          <w:sz w:val="16"/>
          <w:szCs w:val="16"/>
        </w:rPr>
        <w:t xml:space="preserve"> Length of Stay Data File</w:t>
      </w:r>
      <w:r>
        <w:rPr>
          <w:i/>
          <w:sz w:val="16"/>
          <w:szCs w:val="16"/>
        </w:rPr>
        <w:t xml:space="preserve"> </w:t>
      </w:r>
      <w:r w:rsidRPr="00566444">
        <w:rPr>
          <w:sz w:val="16"/>
          <w:szCs w:val="16"/>
        </w:rPr>
        <w:t>.Unpublished data.</w:t>
      </w:r>
    </w:p>
  </w:footnote>
  <w:footnote w:id="18">
    <w:p w14:paraId="337D0639" w14:textId="77777777" w:rsidR="00BE1373" w:rsidRPr="00867868" w:rsidRDefault="00BE1373" w:rsidP="00867868">
      <w:pPr>
        <w:pStyle w:val="ListBullet"/>
        <w:numPr>
          <w:ilvl w:val="0"/>
          <w:numId w:val="0"/>
        </w:numPr>
        <w:spacing w:before="0" w:after="0"/>
        <w:rPr>
          <w:color w:val="0000FF"/>
          <w:sz w:val="16"/>
          <w:szCs w:val="16"/>
        </w:rPr>
      </w:pPr>
      <w:r w:rsidRPr="00282ABA">
        <w:rPr>
          <w:rStyle w:val="FootnoteReference"/>
          <w:sz w:val="16"/>
          <w:szCs w:val="16"/>
        </w:rPr>
        <w:footnoteRef/>
      </w:r>
      <w:r w:rsidRPr="00282ABA">
        <w:rPr>
          <w:sz w:val="16"/>
          <w:szCs w:val="16"/>
        </w:rPr>
        <w:t xml:space="preserve"> Washington State Institute for Public Policy (November 14, 2017).  Inventory of Evidence-Based, Research-Based and Promising Practices for Prevention and Intervention Services for Children and Juveniles in Child Welfare, Juvenile Justice, and Mental Health Systems.</w:t>
      </w:r>
    </w:p>
  </w:footnote>
  <w:footnote w:id="19">
    <w:p w14:paraId="5E647506" w14:textId="77777777" w:rsidR="00BE1373" w:rsidRPr="00867868" w:rsidRDefault="00BE1373" w:rsidP="00867868">
      <w:pPr>
        <w:pStyle w:val="FootnoteText"/>
        <w:contextualSpacing/>
        <w:rPr>
          <w:sz w:val="16"/>
          <w:szCs w:val="16"/>
        </w:rPr>
      </w:pPr>
      <w:r w:rsidRPr="00867868">
        <w:rPr>
          <w:rStyle w:val="FootnoteReference"/>
          <w:sz w:val="16"/>
          <w:szCs w:val="16"/>
        </w:rPr>
        <w:footnoteRef/>
      </w:r>
      <w:r w:rsidRPr="00867868">
        <w:rPr>
          <w:sz w:val="16"/>
          <w:szCs w:val="16"/>
        </w:rPr>
        <w:t xml:space="preserve"> RCW 13.40.080.</w:t>
      </w:r>
    </w:p>
  </w:footnote>
  <w:footnote w:id="20">
    <w:p w14:paraId="4EEA497C" w14:textId="77777777" w:rsidR="00BE1373" w:rsidRPr="00C363FC" w:rsidRDefault="00BE1373" w:rsidP="00867868">
      <w:pPr>
        <w:pStyle w:val="FootnoteText"/>
        <w:contextualSpacing/>
        <w:rPr>
          <w:sz w:val="16"/>
          <w:szCs w:val="16"/>
        </w:rPr>
      </w:pPr>
      <w:r w:rsidRPr="00C363FC">
        <w:rPr>
          <w:rStyle w:val="FootnoteReference"/>
          <w:sz w:val="16"/>
          <w:szCs w:val="16"/>
        </w:rPr>
        <w:footnoteRef/>
      </w:r>
      <w:r w:rsidRPr="00C363FC">
        <w:rPr>
          <w:sz w:val="16"/>
          <w:szCs w:val="16"/>
        </w:rPr>
        <w:t xml:space="preserve"> RCW 13.40.0359; 13.40.160; 13.40.164; 13.40.167.</w:t>
      </w:r>
    </w:p>
  </w:footnote>
  <w:footnote w:id="21">
    <w:p w14:paraId="0D11FFE1" w14:textId="77777777" w:rsidR="00BE1373" w:rsidRPr="00C363FC" w:rsidRDefault="00BE1373" w:rsidP="00867868">
      <w:pPr>
        <w:pStyle w:val="FootnoteText"/>
        <w:contextualSpacing/>
        <w:rPr>
          <w:sz w:val="16"/>
          <w:szCs w:val="16"/>
        </w:rPr>
      </w:pPr>
      <w:r w:rsidRPr="00C363FC">
        <w:rPr>
          <w:rStyle w:val="FootnoteReference"/>
          <w:sz w:val="16"/>
          <w:szCs w:val="16"/>
        </w:rPr>
        <w:footnoteRef/>
      </w:r>
      <w:r w:rsidRPr="00C363FC">
        <w:rPr>
          <w:sz w:val="16"/>
          <w:szCs w:val="16"/>
        </w:rPr>
        <w:t xml:space="preserve"> RCW 13.40.460.</w:t>
      </w:r>
    </w:p>
  </w:footnote>
  <w:footnote w:id="22">
    <w:p w14:paraId="06920873" w14:textId="77777777" w:rsidR="00BE1373" w:rsidRPr="00C363FC" w:rsidRDefault="00BE1373" w:rsidP="00867868">
      <w:pPr>
        <w:pStyle w:val="FootnoteText"/>
        <w:contextualSpacing/>
        <w:rPr>
          <w:sz w:val="16"/>
          <w:szCs w:val="16"/>
        </w:rPr>
      </w:pPr>
      <w:r w:rsidRPr="00C363FC">
        <w:rPr>
          <w:rStyle w:val="FootnoteReference"/>
          <w:sz w:val="16"/>
          <w:szCs w:val="16"/>
        </w:rPr>
        <w:footnoteRef/>
      </w:r>
      <w:r w:rsidRPr="00C363FC">
        <w:rPr>
          <w:sz w:val="16"/>
          <w:szCs w:val="16"/>
        </w:rPr>
        <w:t xml:space="preserve"> 388 WAC §388-700-750.</w:t>
      </w:r>
    </w:p>
  </w:footnote>
  <w:footnote w:id="23">
    <w:p w14:paraId="2B5ACF9D" w14:textId="77777777" w:rsidR="00BE1373" w:rsidRPr="00C363FC" w:rsidRDefault="00BE1373" w:rsidP="00867868">
      <w:pPr>
        <w:pStyle w:val="FootnoteText"/>
        <w:contextualSpacing/>
        <w:rPr>
          <w:sz w:val="16"/>
          <w:szCs w:val="16"/>
        </w:rPr>
      </w:pPr>
      <w:r w:rsidRPr="00C363FC">
        <w:rPr>
          <w:rStyle w:val="FootnoteReference"/>
          <w:sz w:val="16"/>
          <w:szCs w:val="16"/>
        </w:rPr>
        <w:footnoteRef/>
      </w:r>
      <w:r w:rsidRPr="00C363FC">
        <w:rPr>
          <w:sz w:val="16"/>
          <w:szCs w:val="16"/>
        </w:rPr>
        <w:t xml:space="preserve"> Department of Social &amp; Health Services, Rehabilitation Administrations (October 2017</w:t>
      </w:r>
      <w:r w:rsidRPr="00C363FC">
        <w:rPr>
          <w:i/>
          <w:sz w:val="16"/>
          <w:szCs w:val="16"/>
        </w:rPr>
        <w:t>). Strategic Plan 2017-2019</w:t>
      </w:r>
      <w:r w:rsidRPr="00C363FC">
        <w:rPr>
          <w:sz w:val="16"/>
          <w:szCs w:val="16"/>
        </w:rPr>
        <w:t>.</w:t>
      </w:r>
    </w:p>
  </w:footnote>
  <w:footnote w:id="24">
    <w:p w14:paraId="55DB777A" w14:textId="77777777" w:rsidR="00BE1373" w:rsidRPr="00C363FC" w:rsidRDefault="00BE1373" w:rsidP="008D3708">
      <w:pPr>
        <w:pStyle w:val="FootnoteText"/>
        <w:contextualSpacing/>
        <w:rPr>
          <w:i/>
          <w:sz w:val="16"/>
          <w:szCs w:val="16"/>
        </w:rPr>
      </w:pPr>
      <w:r w:rsidRPr="00C363FC">
        <w:rPr>
          <w:rStyle w:val="FootnoteReference"/>
          <w:sz w:val="16"/>
          <w:szCs w:val="16"/>
        </w:rPr>
        <w:footnoteRef/>
      </w:r>
      <w:r w:rsidRPr="00C363FC">
        <w:rPr>
          <w:sz w:val="16"/>
          <w:szCs w:val="16"/>
        </w:rPr>
        <w:t xml:space="preserve"> Rehabilitation Administration (2018, June 14). </w:t>
      </w:r>
      <w:r w:rsidRPr="00C363FC">
        <w:rPr>
          <w:i/>
          <w:sz w:val="16"/>
          <w:szCs w:val="16"/>
        </w:rPr>
        <w:t>Staffing Analysis Project Kick-off Meeting.</w:t>
      </w:r>
    </w:p>
  </w:footnote>
  <w:footnote w:id="25">
    <w:p w14:paraId="5F835B0F" w14:textId="77777777" w:rsidR="00BE1373" w:rsidRPr="00C363FC" w:rsidRDefault="00BE1373" w:rsidP="006D11B3">
      <w:pPr>
        <w:pStyle w:val="FootnoteText"/>
        <w:contextualSpacing/>
        <w:rPr>
          <w:sz w:val="16"/>
          <w:szCs w:val="16"/>
          <w:highlight w:val="yellow"/>
        </w:rPr>
      </w:pPr>
      <w:r w:rsidRPr="00C363FC">
        <w:rPr>
          <w:rStyle w:val="FootnoteReference"/>
          <w:sz w:val="16"/>
          <w:szCs w:val="16"/>
        </w:rPr>
        <w:footnoteRef/>
      </w:r>
      <w:r w:rsidRPr="00C363FC">
        <w:rPr>
          <w:sz w:val="16"/>
          <w:szCs w:val="16"/>
        </w:rPr>
        <w:t xml:space="preserve"> S.B. 6160, Juvenile Court Jurisdiction, 65</w:t>
      </w:r>
      <w:r w:rsidRPr="00C363FC">
        <w:rPr>
          <w:sz w:val="16"/>
          <w:szCs w:val="16"/>
          <w:vertAlign w:val="superscript"/>
        </w:rPr>
        <w:t>th</w:t>
      </w:r>
      <w:r w:rsidRPr="00C363FC">
        <w:rPr>
          <w:sz w:val="16"/>
          <w:szCs w:val="16"/>
        </w:rPr>
        <w:t xml:space="preserve"> Legislature, 2018 Reg. Sess. (State of Washington, March 26, 2018). </w:t>
      </w:r>
    </w:p>
  </w:footnote>
  <w:footnote w:id="26">
    <w:p w14:paraId="4D494330" w14:textId="77777777" w:rsidR="00BE1373" w:rsidRPr="00C363FC" w:rsidRDefault="00BE1373" w:rsidP="006D11B3">
      <w:pPr>
        <w:pStyle w:val="FootnoteText"/>
        <w:contextualSpacing/>
        <w:rPr>
          <w:sz w:val="16"/>
          <w:szCs w:val="16"/>
        </w:rPr>
      </w:pPr>
      <w:r w:rsidRPr="00C363FC">
        <w:rPr>
          <w:rStyle w:val="FootnoteReference"/>
          <w:sz w:val="16"/>
          <w:szCs w:val="16"/>
        </w:rPr>
        <w:footnoteRef/>
      </w:r>
      <w:r w:rsidRPr="00C363FC">
        <w:rPr>
          <w:sz w:val="16"/>
          <w:szCs w:val="16"/>
        </w:rPr>
        <w:t xml:space="preserve"> H.B. 1661, 65</w:t>
      </w:r>
      <w:r w:rsidRPr="00C363FC">
        <w:rPr>
          <w:sz w:val="16"/>
          <w:szCs w:val="16"/>
          <w:vertAlign w:val="superscript"/>
        </w:rPr>
        <w:t>th</w:t>
      </w:r>
      <w:r w:rsidRPr="00C363FC">
        <w:rPr>
          <w:sz w:val="16"/>
          <w:szCs w:val="16"/>
        </w:rPr>
        <w:t xml:space="preserve"> Legislature, 2017 3</w:t>
      </w:r>
      <w:r w:rsidRPr="00C363FC">
        <w:rPr>
          <w:sz w:val="16"/>
          <w:szCs w:val="16"/>
          <w:vertAlign w:val="superscript"/>
        </w:rPr>
        <w:t>rd</w:t>
      </w:r>
      <w:r w:rsidRPr="00C363FC">
        <w:rPr>
          <w:sz w:val="16"/>
          <w:szCs w:val="16"/>
        </w:rPr>
        <w:t xml:space="preserve"> Special Session, (State of Washington, June 30, 2017).</w:t>
      </w:r>
    </w:p>
  </w:footnote>
  <w:footnote w:id="27">
    <w:p w14:paraId="0EA36221" w14:textId="77777777" w:rsidR="00BE1373" w:rsidRPr="00715E5F" w:rsidRDefault="00BE1373" w:rsidP="001F55E6">
      <w:pPr>
        <w:pStyle w:val="FootnoteText"/>
        <w:rPr>
          <w:sz w:val="16"/>
          <w:szCs w:val="16"/>
        </w:rPr>
      </w:pPr>
      <w:r w:rsidRPr="00C363FC">
        <w:rPr>
          <w:rStyle w:val="FootnoteReference"/>
          <w:sz w:val="16"/>
          <w:szCs w:val="16"/>
        </w:rPr>
        <w:footnoteRef/>
      </w:r>
      <w:r w:rsidRPr="00715E5F">
        <w:rPr>
          <w:sz w:val="16"/>
          <w:szCs w:val="16"/>
        </w:rPr>
        <w:t xml:space="preserve"> WAC 388.730.0015.</w:t>
      </w:r>
    </w:p>
  </w:footnote>
  <w:footnote w:id="28">
    <w:p w14:paraId="2CF84FBA" w14:textId="77777777" w:rsidR="00BE1373" w:rsidRPr="00715E5F" w:rsidRDefault="00BE1373">
      <w:pPr>
        <w:pStyle w:val="FootnoteText"/>
        <w:rPr>
          <w:sz w:val="16"/>
          <w:szCs w:val="16"/>
        </w:rPr>
      </w:pPr>
      <w:r w:rsidRPr="00C363FC">
        <w:rPr>
          <w:rStyle w:val="FootnoteReference"/>
          <w:sz w:val="16"/>
          <w:szCs w:val="16"/>
        </w:rPr>
        <w:footnoteRef/>
      </w:r>
      <w:r w:rsidRPr="00715E5F">
        <w:rPr>
          <w:sz w:val="16"/>
          <w:szCs w:val="16"/>
        </w:rPr>
        <w:t xml:space="preserve"> WAC 388.730.0060.</w:t>
      </w:r>
    </w:p>
  </w:footnote>
  <w:footnote w:id="29">
    <w:p w14:paraId="4D174DD7" w14:textId="77777777" w:rsidR="00BE1373" w:rsidRPr="00715E5F" w:rsidRDefault="00BE1373" w:rsidP="001F55E6">
      <w:pPr>
        <w:pStyle w:val="FootnoteText"/>
        <w:rPr>
          <w:sz w:val="16"/>
          <w:szCs w:val="16"/>
        </w:rPr>
      </w:pPr>
      <w:r w:rsidRPr="00C363FC">
        <w:rPr>
          <w:rStyle w:val="FootnoteReference"/>
          <w:sz w:val="16"/>
          <w:szCs w:val="16"/>
        </w:rPr>
        <w:footnoteRef/>
      </w:r>
      <w:r w:rsidRPr="00715E5F">
        <w:rPr>
          <w:sz w:val="16"/>
          <w:szCs w:val="16"/>
        </w:rPr>
        <w:t xml:space="preserve"> Ibid.</w:t>
      </w:r>
    </w:p>
  </w:footnote>
  <w:footnote w:id="30">
    <w:p w14:paraId="1211FE96" w14:textId="77777777" w:rsidR="00BE1373" w:rsidRPr="00715E5F" w:rsidRDefault="00BE1373">
      <w:pPr>
        <w:pStyle w:val="FootnoteText"/>
        <w:rPr>
          <w:sz w:val="16"/>
          <w:szCs w:val="16"/>
        </w:rPr>
      </w:pPr>
      <w:r w:rsidRPr="00C363FC">
        <w:rPr>
          <w:rStyle w:val="FootnoteReference"/>
          <w:sz w:val="16"/>
          <w:szCs w:val="16"/>
        </w:rPr>
        <w:footnoteRef/>
      </w:r>
      <w:r w:rsidRPr="00715E5F">
        <w:rPr>
          <w:sz w:val="16"/>
          <w:szCs w:val="16"/>
        </w:rPr>
        <w:t xml:space="preserve"> WAC 388.730.0015.</w:t>
      </w:r>
    </w:p>
  </w:footnote>
  <w:footnote w:id="31">
    <w:p w14:paraId="57606CEC" w14:textId="77777777" w:rsidR="00BE1373" w:rsidRPr="00715E5F" w:rsidRDefault="00BE1373">
      <w:pPr>
        <w:pStyle w:val="FootnoteText"/>
      </w:pPr>
      <w:r w:rsidRPr="001F55E6">
        <w:rPr>
          <w:rStyle w:val="FootnoteReference"/>
          <w:sz w:val="16"/>
          <w:szCs w:val="16"/>
        </w:rPr>
        <w:footnoteRef/>
      </w:r>
      <w:r w:rsidRPr="00715E5F">
        <w:rPr>
          <w:sz w:val="16"/>
          <w:szCs w:val="16"/>
        </w:rPr>
        <w:t xml:space="preserve"> WAC 388.730.0050.</w:t>
      </w:r>
    </w:p>
  </w:footnote>
  <w:footnote w:id="32">
    <w:p w14:paraId="293F8EED" w14:textId="77777777" w:rsidR="00BE1373" w:rsidRPr="00715E5F" w:rsidRDefault="00BE1373">
      <w:pPr>
        <w:pStyle w:val="FootnoteText"/>
        <w:rPr>
          <w:sz w:val="16"/>
          <w:szCs w:val="16"/>
        </w:rPr>
      </w:pPr>
      <w:r w:rsidRPr="00996837">
        <w:rPr>
          <w:rStyle w:val="FootnoteReference"/>
          <w:sz w:val="16"/>
          <w:szCs w:val="16"/>
        </w:rPr>
        <w:footnoteRef/>
      </w:r>
      <w:r w:rsidRPr="00715E5F">
        <w:rPr>
          <w:sz w:val="16"/>
          <w:szCs w:val="16"/>
        </w:rPr>
        <w:t xml:space="preserve"> RCW 13.40.215.</w:t>
      </w:r>
    </w:p>
  </w:footnote>
  <w:footnote w:id="33">
    <w:p w14:paraId="065AD0E0" w14:textId="77777777" w:rsidR="00BE1373" w:rsidRPr="00715E5F" w:rsidRDefault="00BE1373">
      <w:pPr>
        <w:pStyle w:val="FootnoteText"/>
        <w:rPr>
          <w:sz w:val="16"/>
          <w:szCs w:val="16"/>
        </w:rPr>
      </w:pPr>
      <w:r w:rsidRPr="00996837">
        <w:rPr>
          <w:rStyle w:val="FootnoteReference"/>
          <w:sz w:val="16"/>
          <w:szCs w:val="16"/>
        </w:rPr>
        <w:footnoteRef/>
      </w:r>
      <w:r w:rsidRPr="00715E5F">
        <w:rPr>
          <w:sz w:val="16"/>
          <w:szCs w:val="16"/>
        </w:rPr>
        <w:t xml:space="preserve"> WAC 388.730.0060.</w:t>
      </w:r>
    </w:p>
  </w:footnote>
  <w:footnote w:id="34">
    <w:p w14:paraId="650BCC62" w14:textId="77777777" w:rsidR="00BE1373" w:rsidRPr="00715E5F" w:rsidRDefault="00BE1373">
      <w:pPr>
        <w:pStyle w:val="FootnoteText"/>
        <w:rPr>
          <w:sz w:val="16"/>
          <w:szCs w:val="16"/>
        </w:rPr>
      </w:pPr>
      <w:r w:rsidRPr="00996837">
        <w:rPr>
          <w:rStyle w:val="FootnoteReference"/>
          <w:sz w:val="16"/>
          <w:szCs w:val="16"/>
        </w:rPr>
        <w:footnoteRef/>
      </w:r>
      <w:r w:rsidRPr="00715E5F">
        <w:rPr>
          <w:sz w:val="16"/>
          <w:szCs w:val="16"/>
        </w:rPr>
        <w:t xml:space="preserve"> RCW 72.05.405; WAC 388.730.0070.</w:t>
      </w:r>
    </w:p>
  </w:footnote>
  <w:footnote w:id="35">
    <w:p w14:paraId="10ACAF7C" w14:textId="77777777" w:rsidR="00BE1373" w:rsidRPr="00715E5F" w:rsidRDefault="00BE1373">
      <w:pPr>
        <w:pStyle w:val="FootnoteText"/>
      </w:pPr>
      <w:r w:rsidRPr="00661EC1">
        <w:rPr>
          <w:rStyle w:val="FootnoteReference"/>
          <w:sz w:val="16"/>
          <w:szCs w:val="16"/>
        </w:rPr>
        <w:footnoteRef/>
      </w:r>
      <w:r w:rsidRPr="00715E5F">
        <w:rPr>
          <w:sz w:val="16"/>
          <w:szCs w:val="16"/>
        </w:rPr>
        <w:t xml:space="preserve"> WAC 388.730.0070</w:t>
      </w:r>
    </w:p>
  </w:footnote>
  <w:footnote w:id="36">
    <w:p w14:paraId="4BD4E064" w14:textId="77777777" w:rsidR="00BE1373" w:rsidRPr="00661EC1" w:rsidRDefault="00BE1373">
      <w:pPr>
        <w:pStyle w:val="FootnoteText"/>
        <w:rPr>
          <w:sz w:val="16"/>
          <w:szCs w:val="16"/>
        </w:rPr>
      </w:pPr>
      <w:r w:rsidRPr="00661EC1">
        <w:rPr>
          <w:rStyle w:val="FootnoteReference"/>
          <w:sz w:val="16"/>
          <w:szCs w:val="16"/>
        </w:rPr>
        <w:footnoteRef/>
      </w:r>
      <w:r w:rsidRPr="00661EC1">
        <w:rPr>
          <w:sz w:val="16"/>
          <w:szCs w:val="16"/>
        </w:rPr>
        <w:t xml:space="preserve"> WAC 288.730.0080.</w:t>
      </w:r>
    </w:p>
  </w:footnote>
  <w:footnote w:id="37">
    <w:p w14:paraId="40B14CF2" w14:textId="77777777" w:rsidR="00BE1373" w:rsidRPr="006D11B3" w:rsidRDefault="00BE1373" w:rsidP="006D11B3">
      <w:pPr>
        <w:pStyle w:val="FootnoteText"/>
        <w:contextualSpacing/>
        <w:rPr>
          <w:sz w:val="16"/>
          <w:szCs w:val="16"/>
        </w:rPr>
      </w:pPr>
      <w:r w:rsidRPr="00661EC1">
        <w:rPr>
          <w:rStyle w:val="FootnoteReference"/>
          <w:sz w:val="16"/>
          <w:szCs w:val="16"/>
        </w:rPr>
        <w:footnoteRef/>
      </w:r>
      <w:r w:rsidRPr="00661EC1">
        <w:rPr>
          <w:sz w:val="16"/>
          <w:szCs w:val="16"/>
        </w:rPr>
        <w:t xml:space="preserve"> Washington State, Department of </w:t>
      </w:r>
      <w:r w:rsidRPr="006D11B3">
        <w:rPr>
          <w:sz w:val="16"/>
          <w:szCs w:val="16"/>
        </w:rPr>
        <w:t xml:space="preserve">Social &amp; Health Services, Competitive Solicitation #1834-681, </w:t>
      </w:r>
      <w:r w:rsidRPr="006D11B3">
        <w:rPr>
          <w:i/>
          <w:sz w:val="16"/>
          <w:szCs w:val="16"/>
        </w:rPr>
        <w:t>Staffing Analysis for the DSHS Rehabilitation Administration’s Juvenile Rehabilitation and Special Commitment Center.</w:t>
      </w:r>
    </w:p>
  </w:footnote>
  <w:footnote w:id="38">
    <w:p w14:paraId="6CE1B9FA" w14:textId="77777777" w:rsidR="00BE1373" w:rsidRPr="00FB5981" w:rsidRDefault="00BE1373" w:rsidP="00FF53C7">
      <w:pPr>
        <w:pStyle w:val="FootnoteText"/>
        <w:contextualSpacing/>
        <w:rPr>
          <w:sz w:val="16"/>
          <w:szCs w:val="16"/>
        </w:rPr>
      </w:pPr>
      <w:r w:rsidRPr="003C05D5">
        <w:rPr>
          <w:rStyle w:val="FootnoteReference"/>
          <w:sz w:val="16"/>
          <w:szCs w:val="16"/>
        </w:rPr>
        <w:footnoteRef/>
      </w:r>
      <w:r w:rsidRPr="003C05D5">
        <w:rPr>
          <w:sz w:val="16"/>
          <w:szCs w:val="16"/>
        </w:rPr>
        <w:t xml:space="preserve"> Department of Social &amp; Health Services, Rehabilitation Administration, Juvenile Rehabilitation (Proposed Policy Change). Policy 5.50 </w:t>
      </w:r>
      <w:r w:rsidRPr="003C05D5">
        <w:rPr>
          <w:i/>
          <w:sz w:val="16"/>
          <w:szCs w:val="16"/>
        </w:rPr>
        <w:t>Managing Room Confinement and Isolation</w:t>
      </w:r>
      <w:r w:rsidRPr="003C05D5">
        <w:rPr>
          <w:sz w:val="16"/>
          <w:szCs w:val="16"/>
        </w:rPr>
        <w:t>. This policy update has not yet been approved by the Directors but is under review and should be signed and in place shortly. Staff have been instructed to begin implementing the 13-hour programming scheduling now.</w:t>
      </w:r>
    </w:p>
  </w:footnote>
  <w:footnote w:id="39">
    <w:p w14:paraId="2AA89266" w14:textId="77777777" w:rsidR="00BE1373" w:rsidRPr="0060719D" w:rsidRDefault="00BE1373" w:rsidP="0060719D">
      <w:pPr>
        <w:pStyle w:val="ListBullet"/>
        <w:numPr>
          <w:ilvl w:val="0"/>
          <w:numId w:val="0"/>
        </w:numPr>
        <w:spacing w:before="0" w:after="0"/>
        <w:rPr>
          <w:i/>
          <w:sz w:val="16"/>
          <w:szCs w:val="16"/>
        </w:rPr>
      </w:pPr>
      <w:r w:rsidRPr="0060719D">
        <w:rPr>
          <w:rStyle w:val="FootnoteReference"/>
          <w:sz w:val="16"/>
          <w:szCs w:val="16"/>
        </w:rPr>
        <w:footnoteRef/>
      </w:r>
      <w:r w:rsidRPr="0060719D">
        <w:rPr>
          <w:sz w:val="16"/>
          <w:szCs w:val="16"/>
        </w:rPr>
        <w:t xml:space="preserve"> DSHS, Juvenile Rehabilitation Administration (September 2002). </w:t>
      </w:r>
      <w:r w:rsidRPr="0060719D">
        <w:rPr>
          <w:i/>
          <w:sz w:val="16"/>
          <w:szCs w:val="16"/>
        </w:rPr>
        <w:t>Integrated Treatment Model Report;</w:t>
      </w:r>
      <w:r w:rsidRPr="0060719D">
        <w:rPr>
          <w:sz w:val="16"/>
          <w:szCs w:val="16"/>
        </w:rPr>
        <w:t xml:space="preserve"> Washington State Institute for Public Policy (November 14, 2017). </w:t>
      </w:r>
      <w:r w:rsidRPr="0060719D">
        <w:rPr>
          <w:i/>
          <w:sz w:val="16"/>
          <w:szCs w:val="16"/>
        </w:rPr>
        <w:t>Inventory of Evidence-Based, Research-Based and Promising Practices for Prevention and Intervention Services for Children and Juveniles in Child Welfare, Juvenile Justice, and Mental Health Systems</w:t>
      </w:r>
      <w:r>
        <w:rPr>
          <w:sz w:val="16"/>
          <w:szCs w:val="16"/>
        </w:rPr>
        <w:t>.</w:t>
      </w:r>
    </w:p>
  </w:footnote>
  <w:footnote w:id="40">
    <w:p w14:paraId="20052028" w14:textId="77777777" w:rsidR="00BE1373" w:rsidRPr="003C05D5" w:rsidRDefault="00BE1373" w:rsidP="0060719D">
      <w:pPr>
        <w:pStyle w:val="FootnoteText"/>
        <w:contextualSpacing/>
        <w:rPr>
          <w:i/>
          <w:sz w:val="16"/>
          <w:szCs w:val="16"/>
        </w:rPr>
      </w:pPr>
      <w:r w:rsidRPr="003C05D5">
        <w:rPr>
          <w:rStyle w:val="FootnoteReference"/>
          <w:sz w:val="16"/>
          <w:szCs w:val="16"/>
        </w:rPr>
        <w:footnoteRef/>
      </w:r>
      <w:r w:rsidRPr="003C05D5">
        <w:rPr>
          <w:sz w:val="16"/>
          <w:szCs w:val="16"/>
        </w:rPr>
        <w:t xml:space="preserve"> DSHS (n.d.) Attachment F, </w:t>
      </w:r>
      <w:r w:rsidRPr="003C05D5">
        <w:rPr>
          <w:i/>
          <w:sz w:val="16"/>
          <w:szCs w:val="16"/>
        </w:rPr>
        <w:t>Description of Juvenile Rehabilitation and Special Commitment Center.</w:t>
      </w:r>
    </w:p>
  </w:footnote>
  <w:footnote w:id="41">
    <w:p w14:paraId="7FAF74D8" w14:textId="77777777" w:rsidR="00BE1373" w:rsidRPr="00466C30" w:rsidRDefault="00BE1373">
      <w:pPr>
        <w:pStyle w:val="FootnoteText"/>
        <w:rPr>
          <w:sz w:val="16"/>
          <w:szCs w:val="16"/>
        </w:rPr>
      </w:pPr>
      <w:r w:rsidRPr="00466C30">
        <w:rPr>
          <w:rStyle w:val="FootnoteReference"/>
          <w:sz w:val="16"/>
          <w:szCs w:val="16"/>
        </w:rPr>
        <w:footnoteRef/>
      </w:r>
      <w:r w:rsidRPr="00466C30">
        <w:rPr>
          <w:sz w:val="16"/>
          <w:szCs w:val="16"/>
        </w:rPr>
        <w:t xml:space="preserve"> RCW 13.40.460.</w:t>
      </w:r>
    </w:p>
  </w:footnote>
  <w:footnote w:id="42">
    <w:p w14:paraId="09228C44" w14:textId="77777777" w:rsidR="00BE1373" w:rsidRPr="006324BE" w:rsidRDefault="00BE1373">
      <w:pPr>
        <w:pStyle w:val="FootnoteText"/>
        <w:rPr>
          <w:color w:val="000000" w:themeColor="text1"/>
          <w:sz w:val="16"/>
          <w:szCs w:val="16"/>
        </w:rPr>
      </w:pPr>
      <w:r w:rsidRPr="006324BE">
        <w:rPr>
          <w:rStyle w:val="FootnoteReference"/>
          <w:color w:val="000000" w:themeColor="text1"/>
          <w:sz w:val="16"/>
          <w:szCs w:val="16"/>
        </w:rPr>
        <w:footnoteRef/>
      </w:r>
      <w:r w:rsidRPr="006324BE">
        <w:rPr>
          <w:color w:val="000000" w:themeColor="text1"/>
          <w:sz w:val="16"/>
          <w:szCs w:val="16"/>
        </w:rPr>
        <w:t xml:space="preserve"> Department of Social &amp; Health Services, Rehabilitation Administration, Juvenile Rehabilitation (2018). </w:t>
      </w:r>
      <w:r w:rsidRPr="006324BE">
        <w:rPr>
          <w:i/>
          <w:color w:val="000000" w:themeColor="text1"/>
          <w:sz w:val="16"/>
          <w:szCs w:val="16"/>
        </w:rPr>
        <w:t xml:space="preserve">Releases by Facility Type 2008-2017, </w:t>
      </w:r>
      <w:r w:rsidRPr="006324BE">
        <w:rPr>
          <w:color w:val="000000" w:themeColor="text1"/>
          <w:sz w:val="16"/>
          <w:szCs w:val="16"/>
        </w:rPr>
        <w:t>Unpublished data.</w:t>
      </w:r>
    </w:p>
  </w:footnote>
  <w:footnote w:id="43">
    <w:p w14:paraId="0D6BC1AE" w14:textId="77777777" w:rsidR="00BE1373" w:rsidRPr="00466C30" w:rsidRDefault="00BE1373">
      <w:pPr>
        <w:pStyle w:val="FootnoteText"/>
        <w:rPr>
          <w:sz w:val="16"/>
          <w:szCs w:val="16"/>
        </w:rPr>
      </w:pPr>
      <w:r w:rsidRPr="00466C30">
        <w:rPr>
          <w:rStyle w:val="FootnoteReference"/>
          <w:sz w:val="16"/>
          <w:szCs w:val="16"/>
        </w:rPr>
        <w:footnoteRef/>
      </w:r>
      <w:r w:rsidRPr="00466C30">
        <w:rPr>
          <w:sz w:val="16"/>
          <w:szCs w:val="16"/>
        </w:rPr>
        <w:t xml:space="preserve"> Juvenile Rehabilitation (2013). Juvenile Rehabilitation Youth Reentry Strategic Plan.</w:t>
      </w:r>
    </w:p>
  </w:footnote>
  <w:footnote w:id="44">
    <w:p w14:paraId="79F1F3CB" w14:textId="77777777" w:rsidR="00BE1373" w:rsidRPr="00466C30" w:rsidRDefault="00BE1373">
      <w:pPr>
        <w:pStyle w:val="FootnoteText"/>
        <w:rPr>
          <w:color w:val="0000FF"/>
          <w:sz w:val="16"/>
          <w:szCs w:val="16"/>
        </w:rPr>
      </w:pPr>
      <w:r w:rsidRPr="00466C30">
        <w:rPr>
          <w:rStyle w:val="FootnoteReference"/>
          <w:sz w:val="16"/>
          <w:szCs w:val="16"/>
        </w:rPr>
        <w:footnoteRef/>
      </w:r>
      <w:r w:rsidRPr="00466C30">
        <w:rPr>
          <w:sz w:val="16"/>
          <w:szCs w:val="16"/>
        </w:rPr>
        <w:t xml:space="preserve"> Ibid.</w:t>
      </w:r>
    </w:p>
  </w:footnote>
  <w:footnote w:id="45">
    <w:p w14:paraId="5222ACCE" w14:textId="77777777" w:rsidR="00BE1373" w:rsidRPr="00466C30" w:rsidRDefault="00BE1373" w:rsidP="003D492B">
      <w:pPr>
        <w:pStyle w:val="FootnoteText"/>
        <w:contextualSpacing/>
        <w:rPr>
          <w:sz w:val="16"/>
          <w:szCs w:val="16"/>
        </w:rPr>
      </w:pPr>
      <w:r w:rsidRPr="00466C30">
        <w:rPr>
          <w:rStyle w:val="FootnoteReference"/>
          <w:sz w:val="16"/>
          <w:szCs w:val="16"/>
        </w:rPr>
        <w:footnoteRef/>
      </w:r>
      <w:r w:rsidRPr="00466C30">
        <w:rPr>
          <w:sz w:val="16"/>
          <w:szCs w:val="16"/>
        </w:rPr>
        <w:t xml:space="preserve"> Executive Order 16-05 (April 26, 106).  Building Safe and Strong Communities Through Successful Reentry.</w:t>
      </w:r>
    </w:p>
  </w:footnote>
  <w:footnote w:id="46">
    <w:p w14:paraId="174C30A2" w14:textId="77777777" w:rsidR="00BE1373" w:rsidRPr="00466C30" w:rsidRDefault="00BE1373" w:rsidP="003D492B">
      <w:pPr>
        <w:pStyle w:val="FootnoteText"/>
        <w:contextualSpacing/>
        <w:rPr>
          <w:sz w:val="16"/>
          <w:szCs w:val="16"/>
        </w:rPr>
      </w:pPr>
      <w:r w:rsidRPr="00466C30">
        <w:rPr>
          <w:rStyle w:val="FootnoteReference"/>
          <w:sz w:val="16"/>
          <w:szCs w:val="16"/>
        </w:rPr>
        <w:footnoteRef/>
      </w:r>
      <w:r w:rsidRPr="00466C30">
        <w:rPr>
          <w:sz w:val="16"/>
          <w:szCs w:val="16"/>
        </w:rPr>
        <w:t xml:space="preserve"> Ibid.</w:t>
      </w:r>
    </w:p>
  </w:footnote>
  <w:footnote w:id="47">
    <w:p w14:paraId="60F26980" w14:textId="77777777" w:rsidR="00BE1373" w:rsidRPr="00470D83" w:rsidRDefault="00BE1373" w:rsidP="00F51077">
      <w:pPr>
        <w:pStyle w:val="FootnoteText"/>
        <w:contextualSpacing/>
        <w:rPr>
          <w:sz w:val="16"/>
          <w:szCs w:val="16"/>
        </w:rPr>
      </w:pPr>
      <w:r w:rsidRPr="00466C30">
        <w:rPr>
          <w:rStyle w:val="FootnoteReference"/>
          <w:sz w:val="16"/>
          <w:szCs w:val="16"/>
        </w:rPr>
        <w:footnoteRef/>
      </w:r>
      <w:r w:rsidRPr="00466C30">
        <w:rPr>
          <w:sz w:val="16"/>
          <w:szCs w:val="16"/>
        </w:rPr>
        <w:t xml:space="preserve"> Department of Social &amp; Health Services</w:t>
      </w:r>
      <w:r w:rsidRPr="00470D83">
        <w:rPr>
          <w:sz w:val="16"/>
          <w:szCs w:val="16"/>
        </w:rPr>
        <w:t xml:space="preserve">, Rehabilitation Administration (October 2017). </w:t>
      </w:r>
      <w:r w:rsidRPr="00470D83">
        <w:rPr>
          <w:i/>
          <w:sz w:val="16"/>
          <w:szCs w:val="16"/>
        </w:rPr>
        <w:t>Strategic Plan 2017-2019. Pgs. 13-14.</w:t>
      </w:r>
    </w:p>
  </w:footnote>
  <w:footnote w:id="48">
    <w:p w14:paraId="4EC64B9C" w14:textId="77777777" w:rsidR="00BE1373" w:rsidRPr="00E07FBD" w:rsidRDefault="00BE1373" w:rsidP="00F51077">
      <w:pPr>
        <w:pStyle w:val="FootnoteText"/>
        <w:contextualSpacing/>
        <w:rPr>
          <w:sz w:val="16"/>
          <w:szCs w:val="16"/>
          <w:highlight w:val="yellow"/>
        </w:rPr>
      </w:pPr>
      <w:r w:rsidRPr="00E07FBD">
        <w:rPr>
          <w:rStyle w:val="FootnoteReference"/>
          <w:sz w:val="16"/>
          <w:szCs w:val="16"/>
        </w:rPr>
        <w:footnoteRef/>
      </w:r>
      <w:r w:rsidRPr="00E07FBD">
        <w:rPr>
          <w:sz w:val="16"/>
          <w:szCs w:val="16"/>
        </w:rPr>
        <w:t xml:space="preserve"> S.B. 6560 65</w:t>
      </w:r>
      <w:r w:rsidRPr="00E07FBD">
        <w:rPr>
          <w:sz w:val="16"/>
          <w:szCs w:val="16"/>
          <w:vertAlign w:val="superscript"/>
        </w:rPr>
        <w:t>th</w:t>
      </w:r>
      <w:r w:rsidRPr="00E07FBD">
        <w:rPr>
          <w:sz w:val="16"/>
          <w:szCs w:val="16"/>
        </w:rPr>
        <w:t xml:space="preserve"> Legislature, 2018 Reg. Sess. (State of Washington, March 6, 2018). </w:t>
      </w:r>
    </w:p>
  </w:footnote>
  <w:footnote w:id="49">
    <w:p w14:paraId="284F8008" w14:textId="77777777" w:rsidR="00BE1373" w:rsidRPr="00470D83" w:rsidRDefault="00BE1373" w:rsidP="00F51077">
      <w:pPr>
        <w:pStyle w:val="FootnoteText"/>
        <w:contextualSpacing/>
        <w:rPr>
          <w:sz w:val="16"/>
          <w:szCs w:val="16"/>
        </w:rPr>
      </w:pPr>
      <w:r w:rsidRPr="00470D83">
        <w:rPr>
          <w:rStyle w:val="FootnoteReference"/>
          <w:sz w:val="16"/>
          <w:szCs w:val="16"/>
        </w:rPr>
        <w:footnoteRef/>
      </w:r>
      <w:r w:rsidRPr="00470D83">
        <w:rPr>
          <w:sz w:val="16"/>
          <w:szCs w:val="16"/>
        </w:rPr>
        <w:t xml:space="preserve"> Department of Social &amp; Health Services, Rehabilitation Administration (October 2017). </w:t>
      </w:r>
      <w:r w:rsidRPr="00470D83">
        <w:rPr>
          <w:i/>
          <w:sz w:val="16"/>
          <w:szCs w:val="16"/>
        </w:rPr>
        <w:t>Strategic Plan 2017-2019. Pgs. 13-14.</w:t>
      </w:r>
    </w:p>
  </w:footnote>
  <w:footnote w:id="50">
    <w:p w14:paraId="0CEF7D04" w14:textId="77777777" w:rsidR="00BE1373" w:rsidRPr="007E250F" w:rsidRDefault="00BE1373" w:rsidP="007E250F">
      <w:pPr>
        <w:pStyle w:val="FootnoteText"/>
        <w:contextualSpacing/>
        <w:rPr>
          <w:sz w:val="16"/>
          <w:szCs w:val="16"/>
        </w:rPr>
      </w:pPr>
      <w:r w:rsidRPr="007E250F">
        <w:rPr>
          <w:rStyle w:val="FootnoteReference"/>
          <w:sz w:val="16"/>
          <w:szCs w:val="16"/>
        </w:rPr>
        <w:footnoteRef/>
      </w:r>
      <w:r w:rsidRPr="007E250F">
        <w:rPr>
          <w:sz w:val="16"/>
          <w:szCs w:val="16"/>
        </w:rPr>
        <w:t xml:space="preserve"> Ibid. page 2.</w:t>
      </w:r>
    </w:p>
  </w:footnote>
  <w:footnote w:id="51">
    <w:p w14:paraId="5A9BA837" w14:textId="77777777" w:rsidR="00BE1373" w:rsidRPr="007E250F" w:rsidRDefault="00BE1373" w:rsidP="007E250F">
      <w:pPr>
        <w:pStyle w:val="FootnoteText"/>
        <w:contextualSpacing/>
        <w:rPr>
          <w:i/>
          <w:sz w:val="16"/>
          <w:szCs w:val="16"/>
        </w:rPr>
      </w:pPr>
      <w:r w:rsidRPr="007E250F">
        <w:rPr>
          <w:rStyle w:val="FootnoteReference"/>
          <w:sz w:val="16"/>
          <w:szCs w:val="16"/>
        </w:rPr>
        <w:footnoteRef/>
      </w:r>
      <w:r w:rsidRPr="007E250F">
        <w:rPr>
          <w:sz w:val="16"/>
          <w:szCs w:val="16"/>
        </w:rPr>
        <w:t xml:space="preserve"> Department of Social &amp; Health Services, Rehabilitation Administration, Juvenile Rehabilitation (2018). </w:t>
      </w:r>
      <w:r w:rsidRPr="007E250F">
        <w:rPr>
          <w:i/>
          <w:sz w:val="16"/>
          <w:szCs w:val="16"/>
        </w:rPr>
        <w:t xml:space="preserve">Demographic/Characteristics of Population for Residential Admissions from July 1, 2017 to June 30, 2018. </w:t>
      </w:r>
      <w:r w:rsidRPr="007E250F">
        <w:rPr>
          <w:sz w:val="16"/>
          <w:szCs w:val="16"/>
        </w:rPr>
        <w:t>Unpublished data</w:t>
      </w:r>
      <w:r w:rsidRPr="007E250F">
        <w:rPr>
          <w:i/>
          <w:sz w:val="16"/>
          <w:szCs w:val="16"/>
        </w:rPr>
        <w:t>.</w:t>
      </w:r>
    </w:p>
  </w:footnote>
  <w:footnote w:id="52">
    <w:p w14:paraId="209134CD" w14:textId="77777777" w:rsidR="00BE1373" w:rsidRPr="003D4E6D" w:rsidRDefault="00BE1373" w:rsidP="007B0A05">
      <w:pPr>
        <w:pStyle w:val="FootnoteText"/>
        <w:rPr>
          <w:sz w:val="16"/>
          <w:szCs w:val="16"/>
        </w:rPr>
      </w:pPr>
      <w:r w:rsidRPr="003D4E6D">
        <w:rPr>
          <w:rStyle w:val="FootnoteReference"/>
          <w:sz w:val="16"/>
          <w:szCs w:val="16"/>
        </w:rPr>
        <w:footnoteRef/>
      </w:r>
      <w:r w:rsidRPr="003D4E6D">
        <w:rPr>
          <w:sz w:val="16"/>
          <w:szCs w:val="16"/>
        </w:rPr>
        <w:t xml:space="preserve"> RCW 72.01.410.</w:t>
      </w:r>
    </w:p>
  </w:footnote>
  <w:footnote w:id="53">
    <w:p w14:paraId="7DA368BF" w14:textId="77777777" w:rsidR="00BE1373" w:rsidRPr="003D4E6D" w:rsidRDefault="00BE1373" w:rsidP="007B0A05">
      <w:pPr>
        <w:pStyle w:val="FootnoteText"/>
        <w:rPr>
          <w:sz w:val="16"/>
          <w:szCs w:val="16"/>
        </w:rPr>
      </w:pPr>
      <w:r w:rsidRPr="003D4E6D">
        <w:rPr>
          <w:rStyle w:val="FootnoteReference"/>
          <w:sz w:val="16"/>
          <w:szCs w:val="16"/>
        </w:rPr>
        <w:footnoteRef/>
      </w:r>
      <w:r w:rsidRPr="003D4E6D">
        <w:rPr>
          <w:sz w:val="16"/>
          <w:szCs w:val="16"/>
        </w:rPr>
        <w:t xml:space="preserve"> Juvenile Rehabilitation (February 12, 2018). </w:t>
      </w:r>
      <w:r w:rsidRPr="003D4E6D">
        <w:rPr>
          <w:i/>
          <w:sz w:val="16"/>
          <w:szCs w:val="16"/>
        </w:rPr>
        <w:t xml:space="preserve">YOP Length of Stay Data File. </w:t>
      </w:r>
      <w:r w:rsidRPr="003D4E6D">
        <w:rPr>
          <w:sz w:val="16"/>
          <w:szCs w:val="16"/>
        </w:rPr>
        <w:t>Unpublished Data.</w:t>
      </w:r>
    </w:p>
  </w:footnote>
  <w:footnote w:id="54">
    <w:p w14:paraId="00F66426" w14:textId="77777777" w:rsidR="00BE1373" w:rsidRPr="003D4E6D" w:rsidRDefault="00BE1373" w:rsidP="007B0A05">
      <w:pPr>
        <w:pStyle w:val="FootnoteText"/>
        <w:rPr>
          <w:sz w:val="16"/>
          <w:szCs w:val="16"/>
        </w:rPr>
      </w:pPr>
      <w:r w:rsidRPr="003D4E6D">
        <w:rPr>
          <w:rStyle w:val="FootnoteReference"/>
          <w:sz w:val="16"/>
          <w:szCs w:val="16"/>
        </w:rPr>
        <w:footnoteRef/>
      </w:r>
      <w:r w:rsidRPr="003D4E6D">
        <w:rPr>
          <w:sz w:val="16"/>
          <w:szCs w:val="16"/>
        </w:rPr>
        <w:t xml:space="preserve"> Department of Social &amp; Health Services, Rehabilitation Administration, Juvenile Rehabilitation (2018.). Demographic Report for Gang Affiliation, July 1, 2017, June 30, 2018. Unpublished data.</w:t>
      </w:r>
    </w:p>
  </w:footnote>
  <w:footnote w:id="55">
    <w:p w14:paraId="076CA38E" w14:textId="77777777" w:rsidR="00BE1373" w:rsidRPr="003D4E6D" w:rsidRDefault="00BE1373">
      <w:pPr>
        <w:pStyle w:val="FootnoteText"/>
        <w:rPr>
          <w:sz w:val="16"/>
          <w:szCs w:val="16"/>
        </w:rPr>
      </w:pPr>
      <w:r w:rsidRPr="003D4E6D">
        <w:rPr>
          <w:rStyle w:val="FootnoteReference"/>
          <w:sz w:val="16"/>
          <w:szCs w:val="16"/>
        </w:rPr>
        <w:footnoteRef/>
      </w:r>
      <w:r w:rsidRPr="003D4E6D">
        <w:rPr>
          <w:sz w:val="16"/>
          <w:szCs w:val="16"/>
        </w:rPr>
        <w:t xml:space="preserve"> Department of Social &amp; Health Services, Rehabilitation Administration, Juvenile Rehabilitation (2018). </w:t>
      </w:r>
      <w:r w:rsidRPr="003D4E6D">
        <w:rPr>
          <w:i/>
          <w:sz w:val="16"/>
          <w:szCs w:val="16"/>
        </w:rPr>
        <w:t>Needs of Youth, State Fiscal Year 2018</w:t>
      </w:r>
      <w:r w:rsidRPr="003D4E6D">
        <w:rPr>
          <w:sz w:val="16"/>
          <w:szCs w:val="16"/>
        </w:rPr>
        <w:t>. Unpublished data.</w:t>
      </w:r>
    </w:p>
  </w:footnote>
  <w:footnote w:id="56">
    <w:p w14:paraId="6DCB3655" w14:textId="77777777" w:rsidR="00BE1373" w:rsidRPr="003D4E6D" w:rsidRDefault="00BE1373">
      <w:pPr>
        <w:pStyle w:val="FootnoteText"/>
        <w:rPr>
          <w:sz w:val="16"/>
          <w:szCs w:val="16"/>
        </w:rPr>
      </w:pPr>
      <w:r w:rsidRPr="003D4E6D">
        <w:rPr>
          <w:rStyle w:val="FootnoteReference"/>
          <w:sz w:val="16"/>
          <w:szCs w:val="16"/>
        </w:rPr>
        <w:footnoteRef/>
      </w:r>
      <w:r w:rsidRPr="003D4E6D">
        <w:rPr>
          <w:sz w:val="16"/>
          <w:szCs w:val="16"/>
        </w:rPr>
        <w:t xml:space="preserve"> Ibid.</w:t>
      </w:r>
    </w:p>
  </w:footnote>
  <w:footnote w:id="57">
    <w:p w14:paraId="27F0459E" w14:textId="77777777" w:rsidR="00BE1373" w:rsidRPr="003D4E6D" w:rsidRDefault="00BE1373" w:rsidP="004E302C">
      <w:pPr>
        <w:pStyle w:val="FootnoteText"/>
        <w:rPr>
          <w:sz w:val="16"/>
          <w:szCs w:val="16"/>
        </w:rPr>
      </w:pPr>
      <w:r w:rsidRPr="003D4E6D">
        <w:rPr>
          <w:rStyle w:val="FootnoteReference"/>
          <w:sz w:val="16"/>
          <w:szCs w:val="16"/>
        </w:rPr>
        <w:footnoteRef/>
      </w:r>
      <w:r w:rsidRPr="003D4E6D">
        <w:rPr>
          <w:sz w:val="16"/>
          <w:szCs w:val="16"/>
        </w:rPr>
        <w:t xml:space="preserve"> Ibid.</w:t>
      </w:r>
    </w:p>
  </w:footnote>
  <w:footnote w:id="58">
    <w:p w14:paraId="47AB7B77" w14:textId="77777777" w:rsidR="00BE1373" w:rsidRPr="00BF222F" w:rsidRDefault="00BE1373">
      <w:pPr>
        <w:pStyle w:val="FootnoteText"/>
        <w:rPr>
          <w:sz w:val="18"/>
          <w:szCs w:val="18"/>
        </w:rPr>
      </w:pPr>
      <w:r w:rsidRPr="003D4E6D">
        <w:rPr>
          <w:rStyle w:val="FootnoteReference"/>
          <w:sz w:val="16"/>
          <w:szCs w:val="16"/>
        </w:rPr>
        <w:footnoteRef/>
      </w:r>
      <w:r w:rsidRPr="003D4E6D">
        <w:rPr>
          <w:sz w:val="16"/>
          <w:szCs w:val="16"/>
        </w:rPr>
        <w:t xml:space="preserve"> Ibid.</w:t>
      </w:r>
    </w:p>
  </w:footnote>
  <w:footnote w:id="59">
    <w:p w14:paraId="18AC5F7F" w14:textId="77777777" w:rsidR="00BE1373" w:rsidRPr="00113655" w:rsidRDefault="00BE1373" w:rsidP="00113655">
      <w:pPr>
        <w:pStyle w:val="FootnoteText"/>
        <w:contextualSpacing/>
        <w:rPr>
          <w:sz w:val="16"/>
          <w:szCs w:val="16"/>
        </w:rPr>
      </w:pPr>
      <w:r w:rsidRPr="00113655">
        <w:rPr>
          <w:rStyle w:val="FootnoteReference"/>
          <w:sz w:val="16"/>
          <w:szCs w:val="16"/>
        </w:rPr>
        <w:footnoteRef/>
      </w:r>
      <w:r w:rsidRPr="00113655">
        <w:rPr>
          <w:sz w:val="16"/>
          <w:szCs w:val="16"/>
        </w:rPr>
        <w:t xml:space="preserve"> Rehabilitation Administration (n.d.) Environmental Adherence (EA) Scores for JR Living Units, 2016-2018.</w:t>
      </w:r>
    </w:p>
  </w:footnote>
  <w:footnote w:id="60">
    <w:p w14:paraId="27D847C1" w14:textId="77777777" w:rsidR="00BE1373" w:rsidRPr="00113655" w:rsidRDefault="00BE1373" w:rsidP="00113655">
      <w:pPr>
        <w:pStyle w:val="FootnoteText"/>
        <w:contextualSpacing/>
        <w:rPr>
          <w:sz w:val="16"/>
          <w:szCs w:val="16"/>
        </w:rPr>
      </w:pPr>
      <w:r w:rsidRPr="00113655">
        <w:rPr>
          <w:rStyle w:val="FootnoteReference"/>
          <w:sz w:val="16"/>
          <w:szCs w:val="16"/>
        </w:rPr>
        <w:footnoteRef/>
      </w:r>
      <w:r w:rsidRPr="00113655">
        <w:rPr>
          <w:sz w:val="16"/>
          <w:szCs w:val="16"/>
        </w:rPr>
        <w:t xml:space="preserve"> Ryle, T. (2018</w:t>
      </w:r>
      <w:r>
        <w:rPr>
          <w:sz w:val="16"/>
          <w:szCs w:val="16"/>
        </w:rPr>
        <w:t>, July 24). Personal interview.</w:t>
      </w:r>
    </w:p>
  </w:footnote>
  <w:footnote w:id="61">
    <w:p w14:paraId="2F458EEE" w14:textId="77777777" w:rsidR="00BE1373" w:rsidRPr="00113655" w:rsidRDefault="00BE1373" w:rsidP="00113655">
      <w:pPr>
        <w:pStyle w:val="FootnoteText"/>
        <w:contextualSpacing/>
        <w:rPr>
          <w:i/>
          <w:sz w:val="16"/>
          <w:szCs w:val="16"/>
        </w:rPr>
      </w:pPr>
      <w:r w:rsidRPr="00113655">
        <w:rPr>
          <w:rStyle w:val="FootnoteReference"/>
          <w:sz w:val="16"/>
          <w:szCs w:val="16"/>
        </w:rPr>
        <w:footnoteRef/>
      </w:r>
      <w:r w:rsidRPr="00113655">
        <w:rPr>
          <w:sz w:val="16"/>
          <w:szCs w:val="16"/>
        </w:rPr>
        <w:t xml:space="preserve"> Washington State Institute for Public Policy (July 2006). </w:t>
      </w:r>
      <w:r w:rsidRPr="00113655">
        <w:rPr>
          <w:i/>
          <w:sz w:val="16"/>
          <w:szCs w:val="16"/>
        </w:rPr>
        <w:t>Recidivism Findings for the Juvenile Rehabilitation.</w:t>
      </w:r>
    </w:p>
  </w:footnote>
  <w:footnote w:id="62">
    <w:p w14:paraId="1A8915CF" w14:textId="77777777" w:rsidR="00BE1373" w:rsidRPr="00F41C07" w:rsidRDefault="00BE1373" w:rsidP="00A11DF6">
      <w:pPr>
        <w:pStyle w:val="FootnoteText"/>
        <w:contextualSpacing/>
        <w:rPr>
          <w:i/>
          <w:sz w:val="18"/>
          <w:szCs w:val="18"/>
        </w:rPr>
      </w:pPr>
      <w:r w:rsidRPr="00470D83">
        <w:rPr>
          <w:rStyle w:val="FootnoteReference"/>
          <w:sz w:val="16"/>
          <w:szCs w:val="16"/>
        </w:rPr>
        <w:footnoteRef/>
      </w:r>
      <w:r w:rsidRPr="00470D83">
        <w:rPr>
          <w:sz w:val="16"/>
          <w:szCs w:val="16"/>
        </w:rPr>
        <w:t xml:space="preserve"> Rehabilitation Administration (January</w:t>
      </w:r>
      <w:r w:rsidRPr="00F42D48">
        <w:rPr>
          <w:sz w:val="16"/>
          <w:szCs w:val="16"/>
        </w:rPr>
        <w:t xml:space="preserve"> 1, 2017). </w:t>
      </w:r>
      <w:r w:rsidRPr="00F42D48">
        <w:rPr>
          <w:i/>
          <w:sz w:val="16"/>
          <w:szCs w:val="16"/>
        </w:rPr>
        <w:t>Policy 4.10 Developing Youth and Their Families.</w:t>
      </w:r>
    </w:p>
  </w:footnote>
  <w:footnote w:id="63">
    <w:p w14:paraId="18165568" w14:textId="77777777" w:rsidR="00BE1373" w:rsidRPr="002E29D1" w:rsidRDefault="00BE1373">
      <w:pPr>
        <w:pStyle w:val="FootnoteText"/>
        <w:rPr>
          <w:i/>
          <w:sz w:val="16"/>
          <w:szCs w:val="16"/>
        </w:rPr>
      </w:pPr>
      <w:r w:rsidRPr="00F71490">
        <w:rPr>
          <w:rStyle w:val="FootnoteReference"/>
          <w:sz w:val="16"/>
          <w:szCs w:val="16"/>
        </w:rPr>
        <w:footnoteRef/>
      </w:r>
      <w:r w:rsidRPr="00F71490">
        <w:rPr>
          <w:sz w:val="16"/>
          <w:szCs w:val="16"/>
        </w:rPr>
        <w:t xml:space="preserve"> American Correctional Association (February 2003</w:t>
      </w:r>
      <w:r w:rsidRPr="002E29D1">
        <w:rPr>
          <w:sz w:val="16"/>
          <w:szCs w:val="16"/>
        </w:rPr>
        <w:t xml:space="preserve">). </w:t>
      </w:r>
      <w:r w:rsidRPr="002E29D1">
        <w:rPr>
          <w:i/>
          <w:sz w:val="16"/>
          <w:szCs w:val="16"/>
        </w:rPr>
        <w:t>Standards for Juvenile Correctional Facilities.</w:t>
      </w:r>
    </w:p>
  </w:footnote>
  <w:footnote w:id="64">
    <w:p w14:paraId="2BD73AE5" w14:textId="77777777" w:rsidR="00BE1373" w:rsidRPr="00A11DF6" w:rsidRDefault="00BE1373">
      <w:pPr>
        <w:pStyle w:val="FootnoteText"/>
        <w:rPr>
          <w:sz w:val="16"/>
          <w:szCs w:val="16"/>
        </w:rPr>
      </w:pPr>
      <w:r w:rsidRPr="00A11DF6">
        <w:rPr>
          <w:rStyle w:val="FootnoteReference"/>
          <w:sz w:val="16"/>
          <w:szCs w:val="16"/>
        </w:rPr>
        <w:footnoteRef/>
      </w:r>
      <w:r w:rsidRPr="00A11DF6">
        <w:rPr>
          <w:sz w:val="16"/>
          <w:szCs w:val="16"/>
        </w:rPr>
        <w:t xml:space="preserve"> 42 U.S.C. §147 et. seq</w:t>
      </w:r>
      <w:r>
        <w:rPr>
          <w:sz w:val="16"/>
          <w:szCs w:val="16"/>
        </w:rPr>
        <w:t>.</w:t>
      </w:r>
    </w:p>
  </w:footnote>
  <w:footnote w:id="65">
    <w:p w14:paraId="7AFB1AEF" w14:textId="77777777" w:rsidR="00BE1373" w:rsidRPr="006B5B99" w:rsidRDefault="00BE1373" w:rsidP="00A11DF6">
      <w:pPr>
        <w:pStyle w:val="FootnoteText"/>
        <w:rPr>
          <w:sz w:val="16"/>
          <w:szCs w:val="16"/>
        </w:rPr>
      </w:pPr>
      <w:r w:rsidRPr="006B5B99">
        <w:rPr>
          <w:rStyle w:val="FootnoteReference"/>
          <w:sz w:val="16"/>
          <w:szCs w:val="16"/>
        </w:rPr>
        <w:footnoteRef/>
      </w:r>
      <w:r>
        <w:rPr>
          <w:sz w:val="16"/>
          <w:szCs w:val="16"/>
        </w:rPr>
        <w:t xml:space="preserve"> </w:t>
      </w:r>
      <w:r w:rsidRPr="006B5B99">
        <w:rPr>
          <w:sz w:val="16"/>
          <w:szCs w:val="16"/>
        </w:rPr>
        <w:t>28 C.F.R §115.313 (c) (2012).</w:t>
      </w:r>
    </w:p>
  </w:footnote>
  <w:footnote w:id="66">
    <w:p w14:paraId="0E45486D" w14:textId="77777777" w:rsidR="00BE1373" w:rsidRPr="002E29D1" w:rsidRDefault="00BE1373" w:rsidP="00D23945">
      <w:pPr>
        <w:pStyle w:val="FootnoteText"/>
        <w:rPr>
          <w:sz w:val="16"/>
          <w:szCs w:val="16"/>
        </w:rPr>
      </w:pPr>
      <w:r w:rsidRPr="002E29D1">
        <w:rPr>
          <w:rStyle w:val="FootnoteReference"/>
          <w:sz w:val="16"/>
          <w:szCs w:val="16"/>
        </w:rPr>
        <w:footnoteRef/>
      </w:r>
      <w:r w:rsidRPr="002E29D1">
        <w:rPr>
          <w:sz w:val="16"/>
          <w:szCs w:val="16"/>
        </w:rPr>
        <w:t xml:space="preserve"> Green Hill School has seven academic school class periods per school day. Staff move youth to and from the school building before and after each class period. Two staff are required to supervise youth when moving a wing of 16 youth. Not all residents are in school during every class period requiring staff to also be on the units to supervise these youth.</w:t>
      </w:r>
    </w:p>
  </w:footnote>
  <w:footnote w:id="67">
    <w:p w14:paraId="12F82BFB" w14:textId="77777777" w:rsidR="00BE1373" w:rsidRPr="002E29D1" w:rsidRDefault="00BE1373" w:rsidP="009D586B">
      <w:pPr>
        <w:pStyle w:val="FootnoteText"/>
        <w:rPr>
          <w:i/>
          <w:sz w:val="16"/>
          <w:szCs w:val="16"/>
        </w:rPr>
      </w:pPr>
      <w:r w:rsidRPr="002E29D1">
        <w:rPr>
          <w:rStyle w:val="FootnoteReference"/>
          <w:sz w:val="16"/>
          <w:szCs w:val="16"/>
        </w:rPr>
        <w:footnoteRef/>
      </w:r>
      <w:r w:rsidRPr="002E29D1">
        <w:rPr>
          <w:sz w:val="16"/>
          <w:szCs w:val="16"/>
        </w:rPr>
        <w:t xml:space="preserve"> DSHS/RA (September 2004). Staffing Model—</w:t>
      </w:r>
      <w:r w:rsidRPr="002E29D1">
        <w:rPr>
          <w:i/>
          <w:sz w:val="16"/>
          <w:szCs w:val="16"/>
        </w:rPr>
        <w:t>Residential Program Staff 40 Room “Prototype” Living Units.</w:t>
      </w:r>
    </w:p>
  </w:footnote>
  <w:footnote w:id="68">
    <w:p w14:paraId="55BC005E" w14:textId="77777777" w:rsidR="00BE1373" w:rsidRPr="006B5B99" w:rsidRDefault="00BE1373" w:rsidP="00D23945">
      <w:pPr>
        <w:pStyle w:val="xmsonormal"/>
        <w:spacing w:before="0" w:beforeAutospacing="0" w:after="0" w:afterAutospacing="0"/>
        <w:rPr>
          <w:rFonts w:ascii="Times New Roman" w:hAnsi="Times New Roman"/>
          <w:color w:val="212121"/>
          <w:sz w:val="16"/>
          <w:szCs w:val="16"/>
        </w:rPr>
      </w:pPr>
      <w:r w:rsidRPr="006B5B99">
        <w:rPr>
          <w:rStyle w:val="FootnoteReference"/>
          <w:rFonts w:ascii="Times New Roman" w:hAnsi="Times New Roman"/>
          <w:sz w:val="16"/>
          <w:szCs w:val="16"/>
        </w:rPr>
        <w:footnoteRef/>
      </w:r>
      <w:r w:rsidRPr="006B5B99">
        <w:rPr>
          <w:rFonts w:ascii="Times New Roman" w:hAnsi="Times New Roman"/>
          <w:sz w:val="16"/>
          <w:szCs w:val="16"/>
        </w:rPr>
        <w:t xml:space="preserve"> </w:t>
      </w:r>
      <w:r w:rsidRPr="006B5B99">
        <w:rPr>
          <w:rFonts w:ascii="Times New Roman" w:hAnsi="Times New Roman"/>
          <w:color w:val="212121"/>
          <w:sz w:val="16"/>
          <w:szCs w:val="16"/>
        </w:rPr>
        <w:t>DSHS, Juvenile Rehabilitation Administration (Spring 2017). </w:t>
      </w:r>
      <w:r w:rsidRPr="006B5B99">
        <w:rPr>
          <w:rFonts w:ascii="Times New Roman" w:hAnsi="Times New Roman"/>
          <w:i/>
          <w:iCs/>
          <w:color w:val="212121"/>
          <w:sz w:val="16"/>
          <w:szCs w:val="16"/>
        </w:rPr>
        <w:t>Case Management: Reducing Risk Factors &amp; Shaping Skillful Behavior with High Risk Youth</w:t>
      </w:r>
      <w:r>
        <w:rPr>
          <w:rFonts w:ascii="Times New Roman" w:hAnsi="Times New Roman"/>
          <w:i/>
          <w:iCs/>
          <w:color w:val="212121"/>
          <w:sz w:val="16"/>
          <w:szCs w:val="16"/>
        </w:rPr>
        <w:t>.</w:t>
      </w:r>
    </w:p>
    <w:p w14:paraId="2866FB3A" w14:textId="77777777" w:rsidR="00BE1373" w:rsidRDefault="00BE1373" w:rsidP="001E363A">
      <w:pPr>
        <w:spacing w:before="0" w:after="0"/>
      </w:pPr>
      <w:r w:rsidRPr="006B5B99">
        <w:rPr>
          <w:rFonts w:ascii="Calibri" w:hAnsi="Calibri"/>
          <w:color w:val="212121"/>
          <w:sz w:val="22"/>
          <w:szCs w:val="22"/>
        </w:rPr>
        <w:t> </w:t>
      </w:r>
    </w:p>
  </w:footnote>
  <w:footnote w:id="69">
    <w:p w14:paraId="11C0BB30" w14:textId="77777777" w:rsidR="00BE1373" w:rsidRPr="00021344" w:rsidRDefault="00BE1373">
      <w:pPr>
        <w:pStyle w:val="FootnoteText"/>
        <w:rPr>
          <w:color w:val="0000FF"/>
          <w:sz w:val="16"/>
          <w:szCs w:val="16"/>
        </w:rPr>
      </w:pPr>
      <w:r w:rsidRPr="001F55E6">
        <w:rPr>
          <w:rStyle w:val="FootnoteReference"/>
          <w:sz w:val="16"/>
          <w:szCs w:val="16"/>
        </w:rPr>
        <w:footnoteRef/>
      </w:r>
      <w:r w:rsidRPr="001F55E6">
        <w:rPr>
          <w:sz w:val="16"/>
          <w:szCs w:val="16"/>
        </w:rPr>
        <w:t xml:space="preserve"> RCW. 72.05.430</w:t>
      </w:r>
    </w:p>
  </w:footnote>
  <w:footnote w:id="70">
    <w:p w14:paraId="29D9CF1F" w14:textId="77777777" w:rsidR="00BE1373" w:rsidRPr="00420FA2" w:rsidRDefault="00BE1373" w:rsidP="00420FA2">
      <w:pPr>
        <w:pStyle w:val="FootnoteText"/>
        <w:contextualSpacing/>
        <w:rPr>
          <w:sz w:val="16"/>
          <w:szCs w:val="16"/>
        </w:rPr>
      </w:pPr>
      <w:r w:rsidRPr="00420FA2">
        <w:rPr>
          <w:rStyle w:val="FootnoteReference"/>
          <w:sz w:val="16"/>
          <w:szCs w:val="16"/>
        </w:rPr>
        <w:footnoteRef/>
      </w:r>
      <w:r w:rsidRPr="00420FA2">
        <w:rPr>
          <w:sz w:val="16"/>
          <w:szCs w:val="16"/>
        </w:rPr>
        <w:t xml:space="preserve"> RCW 49.36.210.</w:t>
      </w:r>
    </w:p>
  </w:footnote>
  <w:footnote w:id="71">
    <w:p w14:paraId="23EB91F5" w14:textId="77777777" w:rsidR="00BE1373" w:rsidRPr="00420FA2" w:rsidRDefault="00BE1373" w:rsidP="00420FA2">
      <w:pPr>
        <w:pStyle w:val="FootnoteText"/>
        <w:contextualSpacing/>
        <w:rPr>
          <w:sz w:val="16"/>
          <w:szCs w:val="16"/>
        </w:rPr>
      </w:pPr>
      <w:r w:rsidRPr="00420FA2">
        <w:rPr>
          <w:rStyle w:val="FootnoteReference"/>
          <w:sz w:val="16"/>
          <w:szCs w:val="16"/>
        </w:rPr>
        <w:footnoteRef/>
      </w:r>
      <w:r w:rsidRPr="00420FA2">
        <w:rPr>
          <w:sz w:val="16"/>
          <w:szCs w:val="16"/>
        </w:rPr>
        <w:t xml:space="preserve"> Washington Department of Social and Health Services (December 19, 2017). </w:t>
      </w:r>
      <w:r w:rsidRPr="00420FA2">
        <w:rPr>
          <w:i/>
          <w:sz w:val="16"/>
          <w:szCs w:val="16"/>
        </w:rPr>
        <w:t>Paid Sick Leave Law: Initiative</w:t>
      </w:r>
      <w:r>
        <w:rPr>
          <w:i/>
          <w:sz w:val="16"/>
          <w:szCs w:val="16"/>
        </w:rPr>
        <w:t xml:space="preserve"> 1433, What do I Need to K</w:t>
      </w:r>
      <w:r w:rsidRPr="00420FA2">
        <w:rPr>
          <w:i/>
          <w:sz w:val="16"/>
          <w:szCs w:val="16"/>
        </w:rPr>
        <w:t>now?</w:t>
      </w:r>
    </w:p>
  </w:footnote>
  <w:footnote w:id="72">
    <w:p w14:paraId="1F4B389A" w14:textId="77777777" w:rsidR="00BE1373" w:rsidRDefault="00BE1373" w:rsidP="00654AC7">
      <w:pPr>
        <w:pStyle w:val="FootnoteText"/>
      </w:pPr>
      <w:r w:rsidRPr="00AB69C6">
        <w:rPr>
          <w:rStyle w:val="FootnoteReference"/>
          <w:sz w:val="16"/>
          <w:szCs w:val="16"/>
        </w:rPr>
        <w:footnoteRef/>
      </w:r>
      <w:r w:rsidRPr="00AB69C6">
        <w:rPr>
          <w:sz w:val="16"/>
          <w:szCs w:val="16"/>
        </w:rPr>
        <w:t xml:space="preserve"> Collective Bargaining Agreement, the State of Washington and Washington Federation of State Employees, Effective July 1, 2017 through June 30, 2019, p. 54.</w:t>
      </w:r>
    </w:p>
  </w:footnote>
  <w:footnote w:id="73">
    <w:p w14:paraId="23C72232" w14:textId="77777777" w:rsidR="00BE1373" w:rsidRPr="00620569" w:rsidRDefault="00BE1373" w:rsidP="004378CD">
      <w:pPr>
        <w:pStyle w:val="NumberedList"/>
        <w:numPr>
          <w:ilvl w:val="0"/>
          <w:numId w:val="0"/>
        </w:numPr>
        <w:rPr>
          <w:sz w:val="16"/>
          <w:szCs w:val="16"/>
        </w:rPr>
      </w:pPr>
      <w:r w:rsidRPr="00620569">
        <w:rPr>
          <w:rStyle w:val="FootnoteReference"/>
          <w:sz w:val="16"/>
          <w:szCs w:val="16"/>
        </w:rPr>
        <w:footnoteRef/>
      </w:r>
      <w:r w:rsidRPr="00620569">
        <w:rPr>
          <w:sz w:val="16"/>
          <w:szCs w:val="16"/>
        </w:rPr>
        <w:t xml:space="preserve"> DSHS/RA (12/11/17). </w:t>
      </w:r>
      <w:r w:rsidRPr="00620569">
        <w:rPr>
          <w:i/>
          <w:sz w:val="16"/>
          <w:szCs w:val="16"/>
        </w:rPr>
        <w:t xml:space="preserve">Community Facility Standard 03: Personnel and Volunteers; </w:t>
      </w:r>
      <w:r w:rsidRPr="00620569">
        <w:rPr>
          <w:sz w:val="16"/>
          <w:szCs w:val="16"/>
        </w:rPr>
        <w:t xml:space="preserve">DSHS/RA (n.d.). </w:t>
      </w:r>
      <w:r w:rsidRPr="00620569">
        <w:rPr>
          <w:i/>
          <w:sz w:val="16"/>
          <w:szCs w:val="16"/>
        </w:rPr>
        <w:t>Guidelines for Protected Time Off the Floor</w:t>
      </w:r>
      <w:r>
        <w:rPr>
          <w:i/>
          <w:sz w:val="16"/>
          <w:szCs w:val="16"/>
        </w:rPr>
        <w:t>.</w:t>
      </w:r>
    </w:p>
  </w:footnote>
  <w:footnote w:id="74">
    <w:p w14:paraId="29779F1F" w14:textId="77777777" w:rsidR="00BE1373" w:rsidRPr="002804F7" w:rsidRDefault="00BE1373" w:rsidP="000B3AD8">
      <w:pPr>
        <w:pStyle w:val="FootnoteText"/>
        <w:rPr>
          <w:sz w:val="16"/>
          <w:szCs w:val="16"/>
        </w:rPr>
      </w:pPr>
      <w:r w:rsidRPr="002804F7">
        <w:rPr>
          <w:rStyle w:val="FootnoteReference"/>
          <w:sz w:val="16"/>
          <w:szCs w:val="16"/>
        </w:rPr>
        <w:footnoteRef/>
      </w:r>
      <w:r w:rsidRPr="002804F7">
        <w:rPr>
          <w:sz w:val="16"/>
          <w:szCs w:val="16"/>
        </w:rPr>
        <w:t xml:space="preserve"> DSHS, Juvenile Rehabilitation Administration (January 1997). </w:t>
      </w:r>
      <w:r w:rsidRPr="002804F7">
        <w:rPr>
          <w:i/>
          <w:sz w:val="16"/>
          <w:szCs w:val="16"/>
        </w:rPr>
        <w:t>Custody Staffing Standards</w:t>
      </w:r>
      <w:r w:rsidRPr="002804F7">
        <w:rPr>
          <w:sz w:val="16"/>
          <w:szCs w:val="16"/>
        </w:rPr>
        <w:t>.</w:t>
      </w:r>
    </w:p>
  </w:footnote>
  <w:footnote w:id="75">
    <w:p w14:paraId="6D20429F" w14:textId="77777777" w:rsidR="00BE1373" w:rsidRDefault="00BE1373" w:rsidP="000B3AD8">
      <w:pPr>
        <w:pStyle w:val="FootnoteText"/>
      </w:pPr>
      <w:r w:rsidRPr="002804F7">
        <w:rPr>
          <w:rStyle w:val="FootnoteReference"/>
          <w:sz w:val="16"/>
          <w:szCs w:val="16"/>
        </w:rPr>
        <w:footnoteRef/>
      </w:r>
      <w:r w:rsidRPr="002804F7">
        <w:rPr>
          <w:sz w:val="16"/>
          <w:szCs w:val="16"/>
        </w:rPr>
        <w:t xml:space="preserve"> State of Washington Class Specification (n.d.) </w:t>
      </w:r>
      <w:r w:rsidRPr="002804F7">
        <w:rPr>
          <w:i/>
          <w:sz w:val="16"/>
          <w:szCs w:val="16"/>
        </w:rPr>
        <w:t>Juvenile Rehabilitation Counselor Assistant</w:t>
      </w:r>
      <w:r>
        <w:rPr>
          <w:i/>
          <w:sz w:val="16"/>
          <w:szCs w:val="16"/>
        </w:rPr>
        <w:t>.</w:t>
      </w:r>
    </w:p>
  </w:footnote>
  <w:footnote w:id="76">
    <w:p w14:paraId="09A8D037" w14:textId="77777777" w:rsidR="00BE1373" w:rsidRPr="00CD3F9A" w:rsidRDefault="00BE1373" w:rsidP="00CD3F9A">
      <w:pPr>
        <w:pStyle w:val="FootnoteText"/>
        <w:contextualSpacing/>
        <w:rPr>
          <w:sz w:val="16"/>
          <w:szCs w:val="16"/>
        </w:rPr>
      </w:pPr>
      <w:r w:rsidRPr="00CD3F9A">
        <w:rPr>
          <w:rStyle w:val="FootnoteReference"/>
          <w:sz w:val="16"/>
          <w:szCs w:val="16"/>
        </w:rPr>
        <w:footnoteRef/>
      </w:r>
      <w:r w:rsidRPr="00CD3F9A">
        <w:rPr>
          <w:sz w:val="16"/>
          <w:szCs w:val="16"/>
        </w:rPr>
        <w:t xml:space="preserve"> Munson, S. (2006). Components of an effective child welfare workforce to improve outcomes for children and families. What does the research tell us? Retrieved from the Children’s Defense Fund website: </w:t>
      </w:r>
      <w:hyperlink r:id="rId1" w:history="1">
        <w:r w:rsidRPr="00CD3F9A">
          <w:rPr>
            <w:rStyle w:val="Hyperlink"/>
            <w:sz w:val="16"/>
            <w:szCs w:val="16"/>
          </w:rPr>
          <w:t>http://www.childrensdefense.org/library/data/components-of-an-effective-child-welfare-workforce.pdf</w:t>
        </w:r>
      </w:hyperlink>
      <w:r w:rsidRPr="00CD3F9A">
        <w:rPr>
          <w:sz w:val="16"/>
          <w:szCs w:val="16"/>
        </w:rPr>
        <w:t>.</w:t>
      </w:r>
    </w:p>
  </w:footnote>
  <w:footnote w:id="77">
    <w:p w14:paraId="2C488A99" w14:textId="77777777" w:rsidR="00BE1373" w:rsidRPr="00CD3F9A" w:rsidRDefault="00BE1373" w:rsidP="00CD3F9A">
      <w:pPr>
        <w:pStyle w:val="FootnoteText"/>
        <w:contextualSpacing/>
        <w:rPr>
          <w:sz w:val="16"/>
          <w:szCs w:val="16"/>
        </w:rPr>
      </w:pPr>
      <w:r w:rsidRPr="00CD3F9A">
        <w:rPr>
          <w:rStyle w:val="FootnoteReference"/>
          <w:sz w:val="16"/>
          <w:szCs w:val="16"/>
        </w:rPr>
        <w:footnoteRef/>
      </w:r>
      <w:r w:rsidRPr="00CD3F9A">
        <w:rPr>
          <w:sz w:val="16"/>
          <w:szCs w:val="16"/>
        </w:rPr>
        <w:t xml:space="preserve"> Department of Social &amp; Health Services, Rehabilitation Administration, Juvenile Rehabilitation (February 1, 2018). </w:t>
      </w:r>
      <w:r w:rsidRPr="00CD3F9A">
        <w:rPr>
          <w:i/>
          <w:sz w:val="16"/>
          <w:szCs w:val="16"/>
        </w:rPr>
        <w:t>Integrated Treatment Model (ITM) Standard 2: Supervision</w:t>
      </w:r>
      <w:r w:rsidRPr="00CD3F9A">
        <w:rPr>
          <w:sz w:val="16"/>
          <w:szCs w:val="16"/>
        </w:rPr>
        <w:t>.</w:t>
      </w:r>
    </w:p>
  </w:footnote>
  <w:footnote w:id="78">
    <w:p w14:paraId="75F9E765" w14:textId="77777777" w:rsidR="00BE1373" w:rsidRPr="006B5B99" w:rsidRDefault="00BE1373">
      <w:pPr>
        <w:pStyle w:val="FootnoteText"/>
        <w:rPr>
          <w:sz w:val="16"/>
          <w:szCs w:val="16"/>
        </w:rPr>
      </w:pPr>
      <w:r w:rsidRPr="006B5B99">
        <w:rPr>
          <w:rStyle w:val="FootnoteReference"/>
          <w:sz w:val="16"/>
          <w:szCs w:val="16"/>
        </w:rPr>
        <w:footnoteRef/>
      </w:r>
      <w:r w:rsidRPr="006B5B99">
        <w:rPr>
          <w:sz w:val="16"/>
          <w:szCs w:val="16"/>
        </w:rPr>
        <w:t xml:space="preserve"> D. Landin, Behavioral Health Training Administrator, Juvenile Rehabilitation (personal communication, August 10, 2018).</w:t>
      </w:r>
    </w:p>
  </w:footnote>
  <w:footnote w:id="79">
    <w:p w14:paraId="0F2F0967" w14:textId="77777777" w:rsidR="00BE1373" w:rsidRPr="006B5B99" w:rsidRDefault="00BE1373" w:rsidP="000B3AD8">
      <w:pPr>
        <w:pStyle w:val="FootnoteText"/>
        <w:rPr>
          <w:sz w:val="16"/>
          <w:szCs w:val="16"/>
        </w:rPr>
      </w:pPr>
      <w:r w:rsidRPr="006B5B99">
        <w:rPr>
          <w:rStyle w:val="FootnoteReference"/>
          <w:sz w:val="16"/>
          <w:szCs w:val="16"/>
        </w:rPr>
        <w:footnoteRef/>
      </w:r>
      <w:r w:rsidRPr="006B5B99">
        <w:rPr>
          <w:sz w:val="16"/>
          <w:szCs w:val="16"/>
        </w:rPr>
        <w:t xml:space="preserve"> Ryle, T. (2018, July 24). Personal interview.</w:t>
      </w:r>
    </w:p>
  </w:footnote>
  <w:footnote w:id="80">
    <w:p w14:paraId="1A8863B3" w14:textId="77777777" w:rsidR="00BE1373" w:rsidRPr="006B5B99" w:rsidRDefault="00BE1373" w:rsidP="000B3AD8">
      <w:pPr>
        <w:pStyle w:val="FootnoteText"/>
        <w:rPr>
          <w:sz w:val="16"/>
          <w:szCs w:val="16"/>
        </w:rPr>
      </w:pPr>
      <w:r w:rsidRPr="006B5B99">
        <w:rPr>
          <w:rStyle w:val="FootnoteReference"/>
          <w:sz w:val="16"/>
          <w:szCs w:val="16"/>
        </w:rPr>
        <w:footnoteRef/>
      </w:r>
      <w:r w:rsidRPr="006B5B99">
        <w:rPr>
          <w:sz w:val="16"/>
          <w:szCs w:val="16"/>
        </w:rPr>
        <w:t xml:space="preserve"> Ibid.</w:t>
      </w:r>
    </w:p>
  </w:footnote>
  <w:footnote w:id="81">
    <w:p w14:paraId="7D65951A" w14:textId="77777777" w:rsidR="00BE1373" w:rsidRPr="006B5B99" w:rsidRDefault="00BE1373" w:rsidP="00800135">
      <w:pPr>
        <w:pStyle w:val="FootnoteText"/>
        <w:rPr>
          <w:sz w:val="16"/>
          <w:szCs w:val="16"/>
        </w:rPr>
      </w:pPr>
      <w:r w:rsidRPr="006B5B99">
        <w:rPr>
          <w:rStyle w:val="FootnoteReference"/>
          <w:sz w:val="16"/>
          <w:szCs w:val="16"/>
        </w:rPr>
        <w:footnoteRef/>
      </w:r>
      <w:r w:rsidRPr="006B5B99">
        <w:rPr>
          <w:sz w:val="16"/>
          <w:szCs w:val="16"/>
        </w:rPr>
        <w:t xml:space="preserve"> 42 U.S.C. §147 et. seq.</w:t>
      </w:r>
    </w:p>
  </w:footnote>
  <w:footnote w:id="82">
    <w:p w14:paraId="3D1606CC" w14:textId="77777777" w:rsidR="00BE1373" w:rsidRPr="006B5B99" w:rsidRDefault="00BE1373" w:rsidP="00800135">
      <w:pPr>
        <w:pStyle w:val="FootnoteText"/>
        <w:rPr>
          <w:sz w:val="16"/>
          <w:szCs w:val="16"/>
        </w:rPr>
      </w:pPr>
      <w:r w:rsidRPr="006B5B99">
        <w:rPr>
          <w:rStyle w:val="FootnoteReference"/>
          <w:sz w:val="16"/>
          <w:szCs w:val="16"/>
        </w:rPr>
        <w:footnoteRef/>
      </w:r>
      <w:r>
        <w:rPr>
          <w:sz w:val="16"/>
          <w:szCs w:val="16"/>
        </w:rPr>
        <w:t xml:space="preserve"> </w:t>
      </w:r>
      <w:r w:rsidRPr="006B5B99">
        <w:rPr>
          <w:sz w:val="16"/>
          <w:szCs w:val="16"/>
        </w:rPr>
        <w:t>28 C.F.R §115.313 (c) (2012).</w:t>
      </w:r>
    </w:p>
  </w:footnote>
  <w:footnote w:id="83">
    <w:p w14:paraId="110F9FCC" w14:textId="77777777" w:rsidR="00BE1373" w:rsidRPr="006B5B99" w:rsidRDefault="00BE1373" w:rsidP="00800135">
      <w:pPr>
        <w:pStyle w:val="FootnoteText"/>
        <w:rPr>
          <w:sz w:val="16"/>
          <w:szCs w:val="16"/>
        </w:rPr>
      </w:pPr>
      <w:r w:rsidRPr="006B5B99">
        <w:rPr>
          <w:rStyle w:val="FootnoteReference"/>
          <w:sz w:val="16"/>
          <w:szCs w:val="16"/>
        </w:rPr>
        <w:footnoteRef/>
      </w:r>
      <w:r w:rsidRPr="006B5B99">
        <w:rPr>
          <w:sz w:val="16"/>
          <w:szCs w:val="16"/>
        </w:rPr>
        <w:t xml:space="preserve"> 28 C.F.R. §115.13 (a); 28 C.F.R. §115.313(a).</w:t>
      </w:r>
    </w:p>
  </w:footnote>
  <w:footnote w:id="84">
    <w:p w14:paraId="1F7206DD" w14:textId="77777777" w:rsidR="00BE1373" w:rsidRPr="00F41C6F" w:rsidRDefault="00BE1373" w:rsidP="00A52387">
      <w:pPr>
        <w:pStyle w:val="FootnoteText"/>
        <w:tabs>
          <w:tab w:val="left" w:pos="1890"/>
        </w:tabs>
        <w:rPr>
          <w:sz w:val="16"/>
          <w:szCs w:val="16"/>
        </w:rPr>
      </w:pPr>
      <w:r w:rsidRPr="00F41C6F">
        <w:rPr>
          <w:rStyle w:val="FootnoteReference"/>
          <w:sz w:val="16"/>
          <w:szCs w:val="16"/>
        </w:rPr>
        <w:footnoteRef/>
      </w:r>
      <w:r w:rsidRPr="00F41C6F">
        <w:rPr>
          <w:sz w:val="16"/>
          <w:szCs w:val="16"/>
        </w:rPr>
        <w:t xml:space="preserve"> Lyne, D. (2018, November 2). Personal communication.</w:t>
      </w:r>
    </w:p>
  </w:footnote>
  <w:footnote w:id="85">
    <w:p w14:paraId="747E1723" w14:textId="77777777" w:rsidR="00BE1373" w:rsidRPr="002D22B3" w:rsidRDefault="00BE1373">
      <w:pPr>
        <w:pStyle w:val="FootnoteText"/>
        <w:rPr>
          <w:sz w:val="16"/>
          <w:szCs w:val="16"/>
        </w:rPr>
      </w:pPr>
      <w:r w:rsidRPr="002D22B3">
        <w:rPr>
          <w:rStyle w:val="FootnoteReference"/>
          <w:sz w:val="16"/>
          <w:szCs w:val="16"/>
        </w:rPr>
        <w:footnoteRef/>
      </w:r>
      <w:r w:rsidRPr="002D22B3">
        <w:rPr>
          <w:sz w:val="16"/>
          <w:szCs w:val="16"/>
        </w:rPr>
        <w:t xml:space="preserve"> RCW 13.40.205.</w:t>
      </w:r>
    </w:p>
  </w:footnote>
  <w:footnote w:id="86">
    <w:p w14:paraId="244A852A" w14:textId="77777777" w:rsidR="00BE1373" w:rsidRPr="00E371C3" w:rsidRDefault="00BE1373">
      <w:pPr>
        <w:pStyle w:val="FootnoteText"/>
        <w:rPr>
          <w:color w:val="0000FF"/>
          <w:sz w:val="16"/>
          <w:szCs w:val="16"/>
        </w:rPr>
      </w:pPr>
      <w:r w:rsidRPr="002D22B3">
        <w:rPr>
          <w:rStyle w:val="FootnoteReference"/>
          <w:sz w:val="16"/>
          <w:szCs w:val="16"/>
        </w:rPr>
        <w:footnoteRef/>
      </w:r>
      <w:r w:rsidRPr="002D22B3">
        <w:rPr>
          <w:sz w:val="16"/>
          <w:szCs w:val="16"/>
        </w:rPr>
        <w:t xml:space="preserve"> RCW 13.40.215.</w:t>
      </w:r>
    </w:p>
  </w:footnote>
  <w:footnote w:id="87">
    <w:p w14:paraId="59E36204" w14:textId="77777777" w:rsidR="00BE1373" w:rsidRPr="00905416" w:rsidRDefault="00BE1373" w:rsidP="00057599">
      <w:pPr>
        <w:pStyle w:val="FootnoteText"/>
        <w:contextualSpacing/>
        <w:rPr>
          <w:sz w:val="16"/>
          <w:szCs w:val="16"/>
        </w:rPr>
      </w:pPr>
      <w:r w:rsidRPr="00905416">
        <w:rPr>
          <w:rStyle w:val="FootnoteReference"/>
          <w:sz w:val="16"/>
          <w:szCs w:val="16"/>
        </w:rPr>
        <w:footnoteRef/>
      </w:r>
      <w:r w:rsidRPr="00905416">
        <w:rPr>
          <w:sz w:val="16"/>
          <w:szCs w:val="16"/>
        </w:rPr>
        <w:t xml:space="preserve"> Murphy, S.A. (2007). Leading a multigenerational workforce. Retrieved from the American Association of Retired Persons website: </w:t>
      </w:r>
      <w:hyperlink r:id="rId2" w:history="1">
        <w:r w:rsidRPr="00905416">
          <w:rPr>
            <w:rStyle w:val="Hyperlink"/>
            <w:sz w:val="16"/>
            <w:szCs w:val="16"/>
          </w:rPr>
          <w:t>https://assets.aarp.org/www.aarp.org_/articles/money/employers/leading_multigenerational_workforce.pdf</w:t>
        </w:r>
      </w:hyperlink>
      <w:r w:rsidRPr="00905416">
        <w:rPr>
          <w:sz w:val="16"/>
          <w:szCs w:val="16"/>
        </w:rPr>
        <w:t xml:space="preserve">. </w:t>
      </w:r>
    </w:p>
  </w:footnote>
  <w:footnote w:id="88">
    <w:p w14:paraId="0334116B" w14:textId="77777777" w:rsidR="00BE1373" w:rsidRPr="00905416" w:rsidRDefault="00BE1373" w:rsidP="00057599">
      <w:pPr>
        <w:pStyle w:val="FootnoteText"/>
        <w:contextualSpacing/>
        <w:rPr>
          <w:sz w:val="16"/>
          <w:szCs w:val="16"/>
        </w:rPr>
      </w:pPr>
      <w:r w:rsidRPr="00905416">
        <w:rPr>
          <w:rStyle w:val="FootnoteReference"/>
          <w:sz w:val="16"/>
          <w:szCs w:val="16"/>
        </w:rPr>
        <w:footnoteRef/>
      </w:r>
      <w:r w:rsidRPr="00905416">
        <w:rPr>
          <w:sz w:val="16"/>
          <w:szCs w:val="16"/>
        </w:rPr>
        <w:t xml:space="preserve"> Pitt-Castouphes, M. &amp; Matz-Costa, C. Age &amp; generations: Understanding experiences at the workplace. Retrieved from the Boston College website: </w:t>
      </w:r>
      <w:hyperlink r:id="rId3" w:history="1">
        <w:r w:rsidRPr="00905416">
          <w:rPr>
            <w:rStyle w:val="Hyperlink"/>
            <w:sz w:val="16"/>
            <w:szCs w:val="16"/>
          </w:rPr>
          <w:t>https://www.bc.edu/content/dam/files/research_sites/agingandwork/pdf/publications/RH06_Age_Generations.pdf</w:t>
        </w:r>
      </w:hyperlink>
      <w:r w:rsidRPr="00905416">
        <w:rPr>
          <w:sz w:val="16"/>
          <w:szCs w:val="16"/>
        </w:rPr>
        <w:t>.</w:t>
      </w:r>
    </w:p>
  </w:footnote>
  <w:footnote w:id="89">
    <w:p w14:paraId="7F8CE0CD" w14:textId="77777777" w:rsidR="00BE1373" w:rsidRPr="00905416" w:rsidRDefault="00BE1373" w:rsidP="00057599">
      <w:pPr>
        <w:spacing w:before="0" w:after="0"/>
        <w:contextualSpacing/>
        <w:rPr>
          <w:color w:val="212121"/>
          <w:sz w:val="16"/>
          <w:szCs w:val="16"/>
        </w:rPr>
      </w:pPr>
      <w:r w:rsidRPr="00905416">
        <w:rPr>
          <w:rStyle w:val="FootnoteReference"/>
          <w:sz w:val="16"/>
          <w:szCs w:val="16"/>
        </w:rPr>
        <w:footnoteRef/>
      </w:r>
      <w:r w:rsidRPr="00905416">
        <w:rPr>
          <w:sz w:val="16"/>
          <w:szCs w:val="16"/>
        </w:rPr>
        <w:t xml:space="preserve"> </w:t>
      </w:r>
      <w:r w:rsidRPr="00905416">
        <w:rPr>
          <w:rFonts w:eastAsia="Times New Roman"/>
          <w:sz w:val="16"/>
          <w:szCs w:val="16"/>
          <w:shd w:val="clear" w:color="auto" w:fill="FFFFFF"/>
        </w:rPr>
        <w:t>Management &amp;Training Corporation (MTC) Institute (2008). Women professionals in corrections: A growing asset. Retrieved from</w:t>
      </w:r>
      <w:r w:rsidRPr="00905416">
        <w:rPr>
          <w:rFonts w:eastAsia="Times New Roman"/>
          <w:sz w:val="16"/>
          <w:szCs w:val="16"/>
        </w:rPr>
        <w:t xml:space="preserve"> </w:t>
      </w:r>
      <w:hyperlink r:id="rId4" w:history="1">
        <w:r w:rsidRPr="00905416">
          <w:rPr>
            <w:rStyle w:val="Hyperlink"/>
            <w:rFonts w:eastAsia="Times New Roman"/>
            <w:sz w:val="16"/>
            <w:szCs w:val="16"/>
            <w:shd w:val="clear" w:color="auto" w:fill="FFFFFF"/>
          </w:rPr>
          <w:t>http://www.mtctrains.com/wp-content/uploads/2017/06/Women-Professionals-in-Corrections-A-Growing-Asset.pdf</w:t>
        </w:r>
      </w:hyperlink>
      <w:r w:rsidRPr="00905416">
        <w:rPr>
          <w:rStyle w:val="Hyperlink"/>
          <w:rFonts w:eastAsia="Times New Roman"/>
          <w:sz w:val="16"/>
          <w:szCs w:val="16"/>
          <w:shd w:val="clear" w:color="auto" w:fill="FFFFFF"/>
        </w:rPr>
        <w:t>.</w:t>
      </w:r>
    </w:p>
  </w:footnote>
  <w:footnote w:id="90">
    <w:p w14:paraId="5A991BC0" w14:textId="77777777" w:rsidR="00BE1373" w:rsidRPr="00905416" w:rsidRDefault="00BE1373" w:rsidP="00057599">
      <w:pPr>
        <w:pStyle w:val="FootnoteText"/>
        <w:contextualSpacing/>
        <w:rPr>
          <w:sz w:val="16"/>
          <w:szCs w:val="16"/>
        </w:rPr>
      </w:pPr>
      <w:r w:rsidRPr="00905416">
        <w:rPr>
          <w:rStyle w:val="FootnoteReference"/>
          <w:sz w:val="16"/>
          <w:szCs w:val="16"/>
        </w:rPr>
        <w:footnoteRef/>
      </w:r>
      <w:r w:rsidRPr="00905416">
        <w:rPr>
          <w:sz w:val="16"/>
          <w:szCs w:val="16"/>
        </w:rPr>
        <w:t xml:space="preserve"> Juvenile Rehabilitation (n.d.). Demographic/Characteristics of Population for Residential Admissions from July 1, 2017 to June 30, 2018. Unpublished data.</w:t>
      </w:r>
    </w:p>
  </w:footnote>
  <w:footnote w:id="91">
    <w:p w14:paraId="3ECA684C" w14:textId="77777777" w:rsidR="00BE1373" w:rsidRPr="00391964" w:rsidRDefault="00BE1373" w:rsidP="00946562">
      <w:pPr>
        <w:pStyle w:val="FootnoteText"/>
        <w:rPr>
          <w:sz w:val="16"/>
          <w:szCs w:val="16"/>
        </w:rPr>
      </w:pPr>
      <w:r w:rsidRPr="00391964">
        <w:rPr>
          <w:rStyle w:val="FootnoteReference"/>
          <w:sz w:val="16"/>
          <w:szCs w:val="16"/>
        </w:rPr>
        <w:footnoteRef/>
      </w:r>
      <w:r w:rsidRPr="00391964">
        <w:rPr>
          <w:sz w:val="16"/>
          <w:szCs w:val="16"/>
        </w:rPr>
        <w:t xml:space="preserve"> State of Washington Class Specification (n.d.). </w:t>
      </w:r>
      <w:r w:rsidRPr="00391964">
        <w:rPr>
          <w:i/>
          <w:sz w:val="16"/>
          <w:szCs w:val="16"/>
        </w:rPr>
        <w:t xml:space="preserve">Juvenile Rehabilitation Resident </w:t>
      </w:r>
      <w:r>
        <w:rPr>
          <w:i/>
          <w:sz w:val="16"/>
          <w:szCs w:val="16"/>
        </w:rPr>
        <w:t>Counselor.</w:t>
      </w:r>
    </w:p>
  </w:footnote>
  <w:footnote w:id="92">
    <w:p w14:paraId="760FF363" w14:textId="77777777" w:rsidR="00BE1373" w:rsidRPr="00391964" w:rsidRDefault="00BE1373" w:rsidP="00946562">
      <w:pPr>
        <w:pStyle w:val="FootnoteText"/>
        <w:rPr>
          <w:sz w:val="16"/>
          <w:szCs w:val="16"/>
        </w:rPr>
      </w:pPr>
      <w:r w:rsidRPr="00391964">
        <w:rPr>
          <w:rStyle w:val="FootnoteReference"/>
          <w:sz w:val="16"/>
          <w:szCs w:val="16"/>
        </w:rPr>
        <w:footnoteRef/>
      </w:r>
      <w:r w:rsidRPr="00391964">
        <w:rPr>
          <w:sz w:val="16"/>
          <w:szCs w:val="16"/>
        </w:rPr>
        <w:t xml:space="preserve"> State of Washington Class Specification (n.d.). </w:t>
      </w:r>
      <w:r w:rsidRPr="00391964">
        <w:rPr>
          <w:i/>
          <w:sz w:val="16"/>
          <w:szCs w:val="16"/>
        </w:rPr>
        <w:t>Juvenile Rehabilitation Counselor Asst.</w:t>
      </w:r>
    </w:p>
  </w:footnote>
  <w:footnote w:id="93">
    <w:p w14:paraId="5CF91D9E" w14:textId="77777777" w:rsidR="00BE1373" w:rsidRPr="00391964" w:rsidRDefault="00BE1373" w:rsidP="00946562">
      <w:pPr>
        <w:pStyle w:val="FootnoteText"/>
        <w:rPr>
          <w:i/>
          <w:sz w:val="16"/>
          <w:szCs w:val="16"/>
        </w:rPr>
      </w:pPr>
      <w:r w:rsidRPr="00391964">
        <w:rPr>
          <w:rStyle w:val="FootnoteReference"/>
          <w:sz w:val="16"/>
          <w:szCs w:val="16"/>
        </w:rPr>
        <w:footnoteRef/>
      </w:r>
      <w:r w:rsidRPr="00391964">
        <w:rPr>
          <w:sz w:val="16"/>
          <w:szCs w:val="16"/>
        </w:rPr>
        <w:t xml:space="preserve"> State of Washington Class Specification (n.d.). </w:t>
      </w:r>
      <w:r w:rsidRPr="00391964">
        <w:rPr>
          <w:i/>
          <w:sz w:val="16"/>
          <w:szCs w:val="16"/>
        </w:rPr>
        <w:t xml:space="preserve">Juvenile Rehabilitation Security </w:t>
      </w:r>
      <w:r>
        <w:rPr>
          <w:i/>
          <w:sz w:val="16"/>
          <w:szCs w:val="16"/>
        </w:rPr>
        <w:t>Officer</w:t>
      </w:r>
      <w:r w:rsidRPr="00391964">
        <w:rPr>
          <w:i/>
          <w:sz w:val="16"/>
          <w:szCs w:val="16"/>
        </w:rPr>
        <w:t xml:space="preserve"> 1.</w:t>
      </w:r>
    </w:p>
  </w:footnote>
  <w:footnote w:id="94">
    <w:p w14:paraId="5BF20B97" w14:textId="77777777" w:rsidR="00BE1373" w:rsidRPr="00391964" w:rsidRDefault="00BE1373" w:rsidP="00C83538">
      <w:pPr>
        <w:pStyle w:val="FootnoteText"/>
        <w:rPr>
          <w:sz w:val="16"/>
          <w:szCs w:val="16"/>
        </w:rPr>
      </w:pPr>
      <w:r w:rsidRPr="00391964">
        <w:rPr>
          <w:rStyle w:val="FootnoteReference"/>
          <w:sz w:val="16"/>
          <w:szCs w:val="16"/>
        </w:rPr>
        <w:footnoteRef/>
      </w:r>
      <w:r w:rsidRPr="00391964">
        <w:rPr>
          <w:sz w:val="16"/>
          <w:szCs w:val="16"/>
        </w:rPr>
        <w:t xml:space="preserve"> </w:t>
      </w:r>
      <w:hyperlink r:id="rId5" w:history="1">
        <w:r w:rsidRPr="00391964">
          <w:rPr>
            <w:rStyle w:val="Hyperlink"/>
            <w:sz w:val="16"/>
            <w:szCs w:val="16"/>
          </w:rPr>
          <w:t>https://www.bea.gov/newsreleases/regional/rpp/rpp_newsrelease.htm</w:t>
        </w:r>
      </w:hyperlink>
      <w:r w:rsidRPr="00391964">
        <w:rPr>
          <w:sz w:val="16"/>
          <w:szCs w:val="16"/>
        </w:rPr>
        <w:t xml:space="preserve"> (accessed 8/1/2018).</w:t>
      </w:r>
    </w:p>
  </w:footnote>
  <w:footnote w:id="95">
    <w:p w14:paraId="6FB38DD9" w14:textId="77777777" w:rsidR="00BE1373" w:rsidRPr="00103E42" w:rsidRDefault="00BE1373" w:rsidP="000E297A">
      <w:pPr>
        <w:pStyle w:val="FootnoteText"/>
        <w:rPr>
          <w:sz w:val="16"/>
          <w:szCs w:val="16"/>
        </w:rPr>
      </w:pPr>
      <w:r w:rsidRPr="00103E42">
        <w:rPr>
          <w:rStyle w:val="FootnoteReference"/>
          <w:sz w:val="16"/>
          <w:szCs w:val="16"/>
        </w:rPr>
        <w:footnoteRef/>
      </w:r>
      <w:r w:rsidRPr="00103E42">
        <w:rPr>
          <w:sz w:val="16"/>
          <w:szCs w:val="16"/>
        </w:rPr>
        <w:t xml:space="preserve"> The current JRCA position description is contradictory. In the Distinguishing Characteristics section</w:t>
      </w:r>
      <w:r>
        <w:rPr>
          <w:sz w:val="16"/>
          <w:szCs w:val="16"/>
        </w:rPr>
        <w:t>,</w:t>
      </w:r>
      <w:r w:rsidRPr="00103E42">
        <w:rPr>
          <w:sz w:val="16"/>
          <w:szCs w:val="16"/>
        </w:rPr>
        <w:t xml:space="preserve"> the description says</w:t>
      </w:r>
      <w:r>
        <w:rPr>
          <w:sz w:val="16"/>
          <w:szCs w:val="16"/>
        </w:rPr>
        <w:t>:</w:t>
      </w:r>
      <w:r w:rsidRPr="00103E42">
        <w:rPr>
          <w:sz w:val="16"/>
          <w:szCs w:val="16"/>
        </w:rPr>
        <w:t xml:space="preserve"> “</w:t>
      </w:r>
      <w:r w:rsidRPr="00103E42">
        <w:rPr>
          <w:i/>
          <w:sz w:val="16"/>
          <w:szCs w:val="16"/>
        </w:rPr>
        <w:t>positions will not be assigned independent case management treatment functions for a caseload</w:t>
      </w:r>
      <w:r w:rsidRPr="00103E42">
        <w:rPr>
          <w:sz w:val="16"/>
          <w:szCs w:val="16"/>
        </w:rPr>
        <w:t>” while the Typical work sections says that the JRCA “</w:t>
      </w:r>
      <w:r w:rsidRPr="00103E42">
        <w:rPr>
          <w:i/>
          <w:sz w:val="16"/>
          <w:szCs w:val="16"/>
        </w:rPr>
        <w:t>…manages a caseload of one to two youths under close supervision.</w:t>
      </w:r>
      <w:r w:rsidRPr="00103E42">
        <w:rPr>
          <w:sz w:val="16"/>
          <w:szCs w:val="16"/>
        </w:rPr>
        <w:t xml:space="preserve">” The exhibit indicates the latter as that is common practice at the JR facilities. </w:t>
      </w:r>
    </w:p>
  </w:footnote>
  <w:footnote w:id="96">
    <w:p w14:paraId="5655B08C" w14:textId="77777777" w:rsidR="00BE1373" w:rsidRPr="00224CD0" w:rsidRDefault="00BE1373" w:rsidP="00224CD0">
      <w:pPr>
        <w:contextualSpacing/>
        <w:rPr>
          <w:sz w:val="16"/>
          <w:szCs w:val="16"/>
          <w:shd w:val="clear" w:color="auto" w:fill="FFFFFF"/>
        </w:rPr>
      </w:pPr>
      <w:r w:rsidRPr="00224CD0">
        <w:rPr>
          <w:rStyle w:val="FootnoteReference"/>
          <w:rFonts w:eastAsia="Times New Roman"/>
          <w:sz w:val="16"/>
          <w:szCs w:val="16"/>
        </w:rPr>
        <w:footnoteRef/>
      </w:r>
      <w:r w:rsidRPr="00224CD0">
        <w:rPr>
          <w:rFonts w:eastAsia="Times New Roman"/>
          <w:sz w:val="16"/>
          <w:szCs w:val="16"/>
        </w:rPr>
        <w:t xml:space="preserve"> Armstrong, M.M., Harte, J.A., Evans, W.P (2013). Factors affecting juvenile care workers intent to continue working in juvenile corrections, </w:t>
      </w:r>
      <w:r w:rsidRPr="00224CD0">
        <w:rPr>
          <w:rFonts w:eastAsia="Times New Roman"/>
          <w:i/>
          <w:sz w:val="16"/>
          <w:szCs w:val="16"/>
        </w:rPr>
        <w:t>Criminal Justice Review ,00(0), 1-14;</w:t>
      </w:r>
      <w:r w:rsidRPr="00224CD0">
        <w:rPr>
          <w:rFonts w:eastAsia="Times New Roman"/>
          <w:sz w:val="16"/>
          <w:szCs w:val="16"/>
        </w:rPr>
        <w:t xml:space="preserve"> Minor, K.I, Wells, J.B, Angel, E. &amp; Matz, A.K. (2011) Predictors of early job turnover among juvenile correctional facility staff. </w:t>
      </w:r>
      <w:r w:rsidRPr="00224CD0">
        <w:rPr>
          <w:rFonts w:eastAsia="Times New Roman"/>
          <w:i/>
          <w:sz w:val="16"/>
          <w:szCs w:val="16"/>
        </w:rPr>
        <w:t>Criminal Justice Review</w:t>
      </w:r>
      <w:r w:rsidRPr="00224CD0">
        <w:rPr>
          <w:rFonts w:eastAsia="Times New Roman"/>
          <w:sz w:val="16"/>
          <w:szCs w:val="16"/>
        </w:rPr>
        <w:t>, 36(1), 58-75.</w:t>
      </w:r>
    </w:p>
  </w:footnote>
  <w:footnote w:id="97">
    <w:p w14:paraId="3062C84C" w14:textId="77777777" w:rsidR="00BE1373" w:rsidRPr="00224CD0" w:rsidRDefault="00BE1373" w:rsidP="00224CD0">
      <w:pPr>
        <w:spacing w:before="0" w:after="0"/>
        <w:contextualSpacing/>
        <w:rPr>
          <w:bCs/>
          <w:sz w:val="16"/>
          <w:szCs w:val="16"/>
        </w:rPr>
      </w:pPr>
      <w:r w:rsidRPr="00224CD0">
        <w:rPr>
          <w:rStyle w:val="FootnoteReference"/>
          <w:sz w:val="16"/>
          <w:szCs w:val="16"/>
        </w:rPr>
        <w:footnoteRef/>
      </w:r>
      <w:r w:rsidRPr="00224CD0">
        <w:rPr>
          <w:sz w:val="16"/>
          <w:szCs w:val="16"/>
        </w:rPr>
        <w:t xml:space="preserve"> </w:t>
      </w:r>
      <w:r w:rsidRPr="00224CD0">
        <w:rPr>
          <w:bCs/>
          <w:sz w:val="16"/>
          <w:szCs w:val="16"/>
        </w:rPr>
        <w:t>Minor, K.I, Wells, J.B, Angel, E. &amp; Matz, A.K. (2011). Predictors of early job turnover among juvenile correctional facility staff. </w:t>
      </w:r>
      <w:r w:rsidRPr="00224CD0">
        <w:rPr>
          <w:bCs/>
          <w:i/>
          <w:iCs/>
          <w:sz w:val="16"/>
          <w:szCs w:val="16"/>
        </w:rPr>
        <w:t>Criminal Justice Review</w:t>
      </w:r>
      <w:r w:rsidRPr="00224CD0">
        <w:rPr>
          <w:bCs/>
          <w:sz w:val="16"/>
          <w:szCs w:val="16"/>
        </w:rPr>
        <w:t>, 36(1), 58-75; Mitchell, O., MacKenzie, D.L., Styve, G.J. &amp; Gover, A. R. (2000). The impact of individual, organizational, and environmental attributes on voluntary turnover among juvenile correctional staff members. Justice Quarterly, 17(2), 333-357.</w:t>
      </w:r>
    </w:p>
  </w:footnote>
  <w:footnote w:id="98">
    <w:p w14:paraId="58AAD27E" w14:textId="77777777" w:rsidR="00BE1373" w:rsidRPr="00224CD0" w:rsidRDefault="00BE1373" w:rsidP="00224CD0">
      <w:pPr>
        <w:pStyle w:val="FootnoteText"/>
        <w:contextualSpacing/>
        <w:rPr>
          <w:sz w:val="16"/>
          <w:szCs w:val="16"/>
        </w:rPr>
      </w:pPr>
      <w:r w:rsidRPr="00224CD0">
        <w:rPr>
          <w:rStyle w:val="FootnoteReference"/>
          <w:sz w:val="16"/>
          <w:szCs w:val="16"/>
        </w:rPr>
        <w:footnoteRef/>
      </w:r>
      <w:r w:rsidRPr="00224CD0">
        <w:rPr>
          <w:sz w:val="16"/>
          <w:szCs w:val="16"/>
        </w:rPr>
        <w:t xml:space="preserve"> Ibid.</w:t>
      </w:r>
    </w:p>
  </w:footnote>
  <w:footnote w:id="99">
    <w:p w14:paraId="2C59FF2C" w14:textId="77777777" w:rsidR="00BE1373" w:rsidRPr="00224CD0" w:rsidRDefault="00BE1373" w:rsidP="00224CD0">
      <w:pPr>
        <w:tabs>
          <w:tab w:val="left" w:pos="0"/>
        </w:tabs>
        <w:spacing w:before="0" w:after="0"/>
        <w:contextualSpacing/>
        <w:rPr>
          <w:rFonts w:eastAsia="Times New Roman"/>
          <w:sz w:val="16"/>
          <w:szCs w:val="16"/>
        </w:rPr>
      </w:pPr>
      <w:r w:rsidRPr="00224CD0">
        <w:rPr>
          <w:rStyle w:val="FootnoteReference"/>
          <w:sz w:val="16"/>
          <w:szCs w:val="16"/>
        </w:rPr>
        <w:footnoteRef/>
      </w:r>
      <w:r w:rsidRPr="00224CD0">
        <w:rPr>
          <w:sz w:val="16"/>
          <w:szCs w:val="16"/>
        </w:rPr>
        <w:t xml:space="preserve"> </w:t>
      </w:r>
      <w:r w:rsidRPr="00224CD0">
        <w:rPr>
          <w:rStyle w:val="hlfld-contribauthor"/>
          <w:rFonts w:eastAsia="Times New Roman"/>
          <w:sz w:val="16"/>
          <w:szCs w:val="16"/>
        </w:rPr>
        <w:t xml:space="preserve">Lambert, E.G. &amp; Hogan, N. (2009). The importance of job satisfaction and organizational commitment in shaping turnover intent: A test of a causal model, </w:t>
      </w:r>
      <w:r w:rsidRPr="00224CD0">
        <w:rPr>
          <w:rStyle w:val="hlfld-contribauthor"/>
          <w:rFonts w:eastAsia="Times New Roman"/>
          <w:i/>
          <w:sz w:val="16"/>
          <w:szCs w:val="16"/>
        </w:rPr>
        <w:t>Criminal Justice Review</w:t>
      </w:r>
      <w:r w:rsidRPr="00224CD0">
        <w:rPr>
          <w:rStyle w:val="hlfld-contribauthor"/>
          <w:rFonts w:eastAsia="Times New Roman"/>
          <w:sz w:val="16"/>
          <w:szCs w:val="16"/>
        </w:rPr>
        <w:t>, 34, 96-118.</w:t>
      </w:r>
    </w:p>
  </w:footnote>
  <w:footnote w:id="100">
    <w:p w14:paraId="139EF4D5" w14:textId="77777777" w:rsidR="00BE1373" w:rsidRPr="00224CD0" w:rsidRDefault="00BE1373" w:rsidP="00224CD0">
      <w:pPr>
        <w:pStyle w:val="FootnoteText"/>
        <w:contextualSpacing/>
        <w:rPr>
          <w:sz w:val="16"/>
          <w:szCs w:val="16"/>
        </w:rPr>
      </w:pPr>
      <w:r w:rsidRPr="00224CD0">
        <w:rPr>
          <w:rStyle w:val="FootnoteReference"/>
          <w:sz w:val="16"/>
          <w:szCs w:val="16"/>
        </w:rPr>
        <w:footnoteRef/>
      </w:r>
      <w:r w:rsidRPr="00224CD0">
        <w:rPr>
          <w:sz w:val="16"/>
          <w:szCs w:val="16"/>
        </w:rPr>
        <w:t xml:space="preserve"> Minor, Wells, Lambert, &amp; Keller, 2014; Armstrong, Harjte &amp; Evans, 2013.</w:t>
      </w:r>
    </w:p>
  </w:footnote>
  <w:footnote w:id="101">
    <w:p w14:paraId="54234B8C" w14:textId="77777777" w:rsidR="00BE1373" w:rsidRPr="00224CD0" w:rsidRDefault="00BE1373" w:rsidP="00224CD0">
      <w:pPr>
        <w:pStyle w:val="FootnoteText"/>
        <w:contextualSpacing/>
        <w:rPr>
          <w:sz w:val="16"/>
          <w:szCs w:val="16"/>
        </w:rPr>
      </w:pPr>
      <w:r w:rsidRPr="00224CD0">
        <w:rPr>
          <w:rStyle w:val="FootnoteReference"/>
          <w:sz w:val="16"/>
          <w:szCs w:val="16"/>
        </w:rPr>
        <w:footnoteRef/>
      </w:r>
      <w:r w:rsidRPr="00224CD0">
        <w:rPr>
          <w:rStyle w:val="hlfld-contribauthor"/>
          <w:rFonts w:eastAsia="Times New Roman"/>
          <w:sz w:val="16"/>
          <w:szCs w:val="16"/>
        </w:rPr>
        <w:t xml:space="preserve"> Lambert, E.G. &amp; Hogan, N. (2009)</w:t>
      </w:r>
      <w:r w:rsidRPr="00224CD0">
        <w:rPr>
          <w:sz w:val="16"/>
          <w:szCs w:val="16"/>
        </w:rPr>
        <w:t>.</w:t>
      </w:r>
    </w:p>
  </w:footnote>
  <w:footnote w:id="102">
    <w:p w14:paraId="69160E3A" w14:textId="77777777" w:rsidR="00BE1373" w:rsidRPr="00BC3B58" w:rsidRDefault="00BE1373">
      <w:pPr>
        <w:pStyle w:val="FootnoteText"/>
        <w:rPr>
          <w:sz w:val="16"/>
          <w:szCs w:val="16"/>
        </w:rPr>
      </w:pPr>
      <w:r w:rsidRPr="00BC3B58">
        <w:rPr>
          <w:rStyle w:val="FootnoteReference"/>
          <w:sz w:val="16"/>
          <w:szCs w:val="16"/>
        </w:rPr>
        <w:footnoteRef/>
      </w:r>
      <w:r w:rsidRPr="00BC3B58">
        <w:rPr>
          <w:sz w:val="16"/>
          <w:szCs w:val="16"/>
        </w:rPr>
        <w:t xml:space="preserve"> Ibid.</w:t>
      </w:r>
    </w:p>
  </w:footnote>
  <w:footnote w:id="103">
    <w:p w14:paraId="0E2CB525" w14:textId="77777777" w:rsidR="00BE1373" w:rsidRPr="00DC48AB" w:rsidRDefault="00BE1373" w:rsidP="00DC48AB">
      <w:pPr>
        <w:rPr>
          <w:bCs/>
          <w:color w:val="212121"/>
          <w:sz w:val="16"/>
          <w:szCs w:val="16"/>
        </w:rPr>
      </w:pPr>
      <w:r w:rsidRPr="005776A4">
        <w:rPr>
          <w:rStyle w:val="FootnoteReference"/>
          <w:sz w:val="16"/>
          <w:szCs w:val="16"/>
        </w:rPr>
        <w:footnoteRef/>
      </w:r>
      <w:r w:rsidRPr="005776A4">
        <w:rPr>
          <w:bCs/>
          <w:color w:val="212121"/>
          <w:sz w:val="16"/>
          <w:szCs w:val="16"/>
        </w:rPr>
        <w:t xml:space="preserve"> Mikytuck, A.M., Cleary, H, M.D. (2016). Factors associated with turnover decision making among juvenile justice employees: Comparing correctional and non-correctional staff, </w:t>
      </w:r>
      <w:r w:rsidRPr="005776A4">
        <w:rPr>
          <w:bCs/>
          <w:i/>
          <w:color w:val="212121"/>
          <w:sz w:val="16"/>
          <w:szCs w:val="16"/>
        </w:rPr>
        <w:t>Journal of Juvenile Justice</w:t>
      </w:r>
      <w:r w:rsidRPr="005776A4">
        <w:rPr>
          <w:bCs/>
          <w:color w:val="212121"/>
          <w:sz w:val="16"/>
          <w:szCs w:val="16"/>
        </w:rPr>
        <w:t>, 5(2), 50-67.</w:t>
      </w:r>
    </w:p>
  </w:footnote>
  <w:footnote w:id="104">
    <w:p w14:paraId="642DF966" w14:textId="77777777" w:rsidR="00BE1373" w:rsidRPr="000B5A44" w:rsidRDefault="00BE1373" w:rsidP="00985054">
      <w:pPr>
        <w:pStyle w:val="FootnoteText"/>
        <w:contextualSpacing/>
        <w:rPr>
          <w:sz w:val="16"/>
          <w:szCs w:val="16"/>
        </w:rPr>
      </w:pPr>
      <w:r w:rsidRPr="000B5A44">
        <w:rPr>
          <w:rStyle w:val="FootnoteReference"/>
          <w:sz w:val="16"/>
          <w:szCs w:val="16"/>
        </w:rPr>
        <w:footnoteRef/>
      </w:r>
      <w:r w:rsidRPr="000B5A44">
        <w:rPr>
          <w:sz w:val="16"/>
          <w:szCs w:val="16"/>
        </w:rPr>
        <w:t xml:space="preserve"> Ibid.</w:t>
      </w:r>
    </w:p>
  </w:footnote>
  <w:footnote w:id="105">
    <w:p w14:paraId="52C5974B" w14:textId="77777777" w:rsidR="00BE1373" w:rsidRPr="000B5A44" w:rsidRDefault="00BE1373" w:rsidP="00D23945">
      <w:pPr>
        <w:spacing w:before="0" w:after="0"/>
        <w:contextualSpacing/>
        <w:rPr>
          <w:bCs/>
          <w:color w:val="212121"/>
          <w:sz w:val="16"/>
          <w:szCs w:val="16"/>
        </w:rPr>
      </w:pPr>
      <w:r w:rsidRPr="000B5A44">
        <w:rPr>
          <w:rStyle w:val="FootnoteReference"/>
          <w:sz w:val="16"/>
          <w:szCs w:val="16"/>
        </w:rPr>
        <w:footnoteRef/>
      </w:r>
      <w:r w:rsidRPr="000B5A44">
        <w:rPr>
          <w:sz w:val="16"/>
          <w:szCs w:val="16"/>
        </w:rPr>
        <w:t xml:space="preserve"> </w:t>
      </w:r>
      <w:r w:rsidRPr="000B5A44">
        <w:rPr>
          <w:bCs/>
          <w:color w:val="212121"/>
          <w:sz w:val="16"/>
          <w:szCs w:val="16"/>
        </w:rPr>
        <w:t xml:space="preserve">Matz, A.K, Wells, J.B., Minor, Kid, &amp; Angel, E. (2012). Predictors of turnover intention among juvenile correctional staff: the relevance of job satisfaction and organizational commitment. </w:t>
      </w:r>
      <w:r w:rsidRPr="000B5A44">
        <w:rPr>
          <w:bCs/>
          <w:i/>
          <w:color w:val="212121"/>
          <w:sz w:val="16"/>
          <w:szCs w:val="16"/>
        </w:rPr>
        <w:t>Youth Violence and Juvenile Justice</w:t>
      </w:r>
      <w:r w:rsidRPr="000B5A44">
        <w:rPr>
          <w:bCs/>
          <w:color w:val="212121"/>
          <w:sz w:val="16"/>
          <w:szCs w:val="16"/>
        </w:rPr>
        <w:t>, 11(2), 115-131.</w:t>
      </w:r>
    </w:p>
  </w:footnote>
  <w:footnote w:id="106">
    <w:p w14:paraId="0149FEE7" w14:textId="77777777" w:rsidR="00BE1373" w:rsidRPr="000B5A44" w:rsidRDefault="00BE1373" w:rsidP="00D23945">
      <w:pPr>
        <w:spacing w:before="0" w:after="0"/>
        <w:contextualSpacing/>
        <w:outlineLvl w:val="3"/>
        <w:rPr>
          <w:rFonts w:eastAsia="Times New Roman"/>
          <w:bCs/>
          <w:color w:val="212121"/>
          <w:sz w:val="16"/>
          <w:szCs w:val="16"/>
        </w:rPr>
      </w:pPr>
      <w:r w:rsidRPr="000B5A44">
        <w:rPr>
          <w:rStyle w:val="FootnoteReference"/>
          <w:sz w:val="16"/>
          <w:szCs w:val="16"/>
        </w:rPr>
        <w:footnoteRef/>
      </w:r>
      <w:r w:rsidRPr="000B5A44">
        <w:rPr>
          <w:sz w:val="16"/>
          <w:szCs w:val="16"/>
        </w:rPr>
        <w:t xml:space="preserve"> </w:t>
      </w:r>
      <w:r w:rsidRPr="000B5A44">
        <w:rPr>
          <w:rFonts w:eastAsia="Times New Roman"/>
          <w:bCs/>
          <w:color w:val="212121"/>
          <w:sz w:val="16"/>
          <w:szCs w:val="16"/>
        </w:rPr>
        <w:t>Wells, J.B. Minor, K.I., Angel, E., Matz, A.K. &amp; Amato, N. (2009). Predictors of job stress among staff in juvenile correctional Facilities. </w:t>
      </w:r>
      <w:r w:rsidRPr="000B5A44">
        <w:rPr>
          <w:rFonts w:eastAsia="Times New Roman"/>
          <w:bCs/>
          <w:i/>
          <w:iCs/>
          <w:color w:val="212121"/>
          <w:sz w:val="16"/>
          <w:szCs w:val="16"/>
        </w:rPr>
        <w:t>Criminal Justice and Behavior</w:t>
      </w:r>
      <w:r w:rsidRPr="000B5A44">
        <w:rPr>
          <w:rFonts w:eastAsia="Times New Roman"/>
          <w:bCs/>
          <w:color w:val="212121"/>
          <w:sz w:val="16"/>
          <w:szCs w:val="16"/>
        </w:rPr>
        <w:t>, 36, 245-258.</w:t>
      </w:r>
    </w:p>
  </w:footnote>
  <w:footnote w:id="107">
    <w:p w14:paraId="0EC4918D" w14:textId="77777777" w:rsidR="00BE1373" w:rsidRPr="000B5A44" w:rsidRDefault="00BE1373" w:rsidP="00D23945">
      <w:pPr>
        <w:pStyle w:val="FootnoteText"/>
        <w:contextualSpacing/>
        <w:rPr>
          <w:sz w:val="16"/>
          <w:szCs w:val="16"/>
        </w:rPr>
      </w:pPr>
      <w:r w:rsidRPr="000B5A44">
        <w:rPr>
          <w:rStyle w:val="FootnoteReference"/>
          <w:sz w:val="16"/>
          <w:szCs w:val="16"/>
        </w:rPr>
        <w:footnoteRef/>
      </w:r>
      <w:r w:rsidRPr="000B5A44">
        <w:rPr>
          <w:sz w:val="16"/>
          <w:szCs w:val="16"/>
        </w:rPr>
        <w:t xml:space="preserve"> Department of Social &amp; Health Services, Rehabilitation Administration, Juvenile Rehabilitation (May 17, 2016). </w:t>
      </w:r>
      <w:r w:rsidRPr="000B5A44">
        <w:rPr>
          <w:i/>
          <w:sz w:val="16"/>
          <w:szCs w:val="16"/>
        </w:rPr>
        <w:t>Policy 5.10 Using Physical Restraints with Youth</w:t>
      </w:r>
      <w:r w:rsidRPr="000B5A44">
        <w:rPr>
          <w:sz w:val="16"/>
          <w:szCs w:val="16"/>
        </w:rPr>
        <w:t>.</w:t>
      </w:r>
    </w:p>
  </w:footnote>
  <w:footnote w:id="108">
    <w:p w14:paraId="26109974" w14:textId="77777777" w:rsidR="00BE1373" w:rsidRPr="006B5B99" w:rsidRDefault="00BE1373" w:rsidP="00D23945">
      <w:pPr>
        <w:pStyle w:val="FootnoteText"/>
        <w:contextualSpacing/>
        <w:rPr>
          <w:sz w:val="16"/>
          <w:szCs w:val="16"/>
        </w:rPr>
      </w:pPr>
      <w:r w:rsidRPr="000B5A44">
        <w:rPr>
          <w:rStyle w:val="FootnoteReference"/>
          <w:sz w:val="16"/>
          <w:szCs w:val="16"/>
        </w:rPr>
        <w:footnoteRef/>
      </w:r>
      <w:r w:rsidRPr="000B5A44">
        <w:rPr>
          <w:sz w:val="16"/>
          <w:szCs w:val="16"/>
        </w:rPr>
        <w:t xml:space="preserve"> Minimum requirements including training on verbal de-escalation, safety, security and rehabilitation, security management and two of the following techniques: gooseneck counter joint, straight arm bar takedown, and wrist out turn.</w:t>
      </w:r>
    </w:p>
  </w:footnote>
  <w:footnote w:id="109">
    <w:p w14:paraId="65DBC434" w14:textId="77777777" w:rsidR="00BE1373" w:rsidRPr="00383EE4" w:rsidRDefault="00BE1373" w:rsidP="00FB0EEE">
      <w:pPr>
        <w:pStyle w:val="FootnoteText"/>
        <w:ind w:hanging="90"/>
        <w:contextualSpacing/>
        <w:rPr>
          <w:sz w:val="16"/>
          <w:szCs w:val="16"/>
        </w:rPr>
      </w:pPr>
      <w:r w:rsidRPr="00383EE4">
        <w:rPr>
          <w:rStyle w:val="FootnoteReference"/>
          <w:sz w:val="16"/>
          <w:szCs w:val="16"/>
        </w:rPr>
        <w:footnoteRef/>
      </w:r>
      <w:r w:rsidRPr="00383EE4">
        <w:rPr>
          <w:sz w:val="16"/>
          <w:szCs w:val="16"/>
        </w:rPr>
        <w:t xml:space="preserve"> PbS Learning Institute (n.d.). Performance-based Standards (PbS). Available from, </w:t>
      </w:r>
      <w:hyperlink r:id="rId6" w:history="1">
        <w:r w:rsidRPr="00383EE4">
          <w:rPr>
            <w:rStyle w:val="Hyperlink"/>
            <w:sz w:val="16"/>
            <w:szCs w:val="16"/>
          </w:rPr>
          <w:t>https://pbstandards.org/initiatives/performance-based-standards-pbs</w:t>
        </w:r>
      </w:hyperlink>
      <w:r w:rsidRPr="00383EE4">
        <w:rPr>
          <w:sz w:val="16"/>
          <w:szCs w:val="16"/>
        </w:rPr>
        <w:t>.</w:t>
      </w:r>
    </w:p>
  </w:footnote>
  <w:footnote w:id="110">
    <w:p w14:paraId="3B02E4E8" w14:textId="77777777" w:rsidR="00BE1373" w:rsidRPr="00383EE4" w:rsidRDefault="00BE1373" w:rsidP="00FB0EEE">
      <w:pPr>
        <w:pStyle w:val="FootnoteText"/>
        <w:contextualSpacing/>
        <w:rPr>
          <w:sz w:val="16"/>
          <w:szCs w:val="16"/>
        </w:rPr>
      </w:pPr>
      <w:r w:rsidRPr="00383EE4">
        <w:rPr>
          <w:rStyle w:val="FootnoteReference"/>
          <w:sz w:val="16"/>
          <w:szCs w:val="16"/>
        </w:rPr>
        <w:footnoteRef/>
      </w:r>
      <w:r w:rsidRPr="00383EE4">
        <w:rPr>
          <w:sz w:val="16"/>
          <w:szCs w:val="16"/>
        </w:rPr>
        <w:t xml:space="preserve"> PbS Learning Institute (n.d.). Performance-based Standards (PbS). </w:t>
      </w:r>
      <w:r>
        <w:rPr>
          <w:sz w:val="16"/>
          <w:szCs w:val="16"/>
        </w:rPr>
        <w:t>Available</w:t>
      </w:r>
      <w:r w:rsidRPr="00383EE4">
        <w:rPr>
          <w:sz w:val="16"/>
          <w:szCs w:val="16"/>
        </w:rPr>
        <w:t xml:space="preserve"> from, </w:t>
      </w:r>
      <w:hyperlink r:id="rId7" w:history="1">
        <w:r w:rsidRPr="00383EE4">
          <w:rPr>
            <w:rStyle w:val="Hyperlink"/>
            <w:sz w:val="16"/>
            <w:szCs w:val="16"/>
          </w:rPr>
          <w:t>https://pbstandards.org/uploads/documents/PbS_Li_MarketingPacket.pdf</w:t>
        </w:r>
      </w:hyperlink>
      <w:r w:rsidRPr="00383EE4">
        <w:rPr>
          <w:sz w:val="16"/>
          <w:szCs w:val="16"/>
        </w:rPr>
        <w:t>.</w:t>
      </w:r>
    </w:p>
  </w:footnote>
  <w:footnote w:id="111">
    <w:p w14:paraId="79146A8D" w14:textId="77777777" w:rsidR="00BE1373" w:rsidRPr="00383EE4" w:rsidRDefault="00BE1373" w:rsidP="002741A3">
      <w:pPr>
        <w:pStyle w:val="FootnoteText"/>
        <w:contextualSpacing/>
        <w:rPr>
          <w:sz w:val="16"/>
          <w:szCs w:val="16"/>
        </w:rPr>
      </w:pPr>
      <w:r w:rsidRPr="00383EE4">
        <w:rPr>
          <w:rStyle w:val="FootnoteReference"/>
          <w:sz w:val="16"/>
          <w:szCs w:val="16"/>
        </w:rPr>
        <w:footnoteRef/>
      </w:r>
      <w:r w:rsidRPr="00383EE4">
        <w:rPr>
          <w:sz w:val="16"/>
          <w:szCs w:val="16"/>
        </w:rPr>
        <w:t xml:space="preserve"> Juvenile Rehabilitation (</w:t>
      </w:r>
      <w:r>
        <w:rPr>
          <w:sz w:val="16"/>
          <w:szCs w:val="16"/>
        </w:rPr>
        <w:t>October 2017-April 2018</w:t>
      </w:r>
      <w:r w:rsidRPr="00383EE4">
        <w:rPr>
          <w:sz w:val="16"/>
          <w:szCs w:val="16"/>
        </w:rPr>
        <w:t xml:space="preserve">) </w:t>
      </w:r>
      <w:r w:rsidRPr="00383EE4">
        <w:rPr>
          <w:i/>
          <w:sz w:val="16"/>
          <w:szCs w:val="16"/>
        </w:rPr>
        <w:t>PbS Outcome Measures for Institutions</w:t>
      </w:r>
      <w:r w:rsidRPr="00383EE4">
        <w:rPr>
          <w:sz w:val="16"/>
          <w:szCs w:val="16"/>
        </w:rPr>
        <w:t>.</w:t>
      </w:r>
      <w:r>
        <w:rPr>
          <w:sz w:val="16"/>
          <w:szCs w:val="16"/>
        </w:rPr>
        <w:t xml:space="preserve"> </w:t>
      </w:r>
    </w:p>
  </w:footnote>
  <w:footnote w:id="112">
    <w:p w14:paraId="1F488DFF" w14:textId="77777777" w:rsidR="00BE1373" w:rsidRPr="00BC3B17" w:rsidRDefault="00BE1373">
      <w:pPr>
        <w:pStyle w:val="FootnoteText"/>
        <w:rPr>
          <w:sz w:val="16"/>
          <w:szCs w:val="16"/>
        </w:rPr>
      </w:pPr>
      <w:r w:rsidRPr="00BC3B17">
        <w:rPr>
          <w:rStyle w:val="FootnoteReference"/>
          <w:sz w:val="16"/>
          <w:szCs w:val="16"/>
        </w:rPr>
        <w:footnoteRef/>
      </w:r>
      <w:r w:rsidRPr="00BC3B17">
        <w:rPr>
          <w:sz w:val="16"/>
          <w:szCs w:val="16"/>
        </w:rPr>
        <w:t xml:space="preserve"> Ibid.</w:t>
      </w:r>
    </w:p>
  </w:footnote>
  <w:footnote w:id="113">
    <w:p w14:paraId="3D7C4355" w14:textId="77777777" w:rsidR="00BE1373" w:rsidRPr="00F42D48" w:rsidRDefault="00BE1373">
      <w:pPr>
        <w:pStyle w:val="FootnoteText"/>
        <w:rPr>
          <w:sz w:val="16"/>
          <w:szCs w:val="16"/>
        </w:rPr>
      </w:pPr>
      <w:r w:rsidRPr="00F42D48">
        <w:rPr>
          <w:rStyle w:val="FootnoteReference"/>
          <w:sz w:val="16"/>
          <w:szCs w:val="16"/>
        </w:rPr>
        <w:footnoteRef/>
      </w:r>
      <w:r w:rsidRPr="00F42D48">
        <w:rPr>
          <w:sz w:val="16"/>
          <w:szCs w:val="16"/>
        </w:rPr>
        <w:t xml:space="preserve"> Department of Social &amp; Health Services, Rehabilitation Administrations (October 2017). Strategic Plan 2017-2019. Pgs. 6-7.</w:t>
      </w:r>
    </w:p>
  </w:footnote>
  <w:footnote w:id="114">
    <w:p w14:paraId="632FE998" w14:textId="77777777" w:rsidR="00BE1373" w:rsidRPr="00D23945" w:rsidRDefault="00BE1373" w:rsidP="00D23945">
      <w:pPr>
        <w:tabs>
          <w:tab w:val="left" w:pos="360"/>
          <w:tab w:val="left" w:pos="630"/>
        </w:tabs>
        <w:spacing w:before="0" w:after="0"/>
        <w:contextualSpacing/>
        <w:rPr>
          <w:sz w:val="16"/>
          <w:szCs w:val="16"/>
          <w:shd w:val="clear" w:color="auto" w:fill="FFFFFF"/>
        </w:rPr>
      </w:pPr>
      <w:r w:rsidRPr="1FF1B213">
        <w:rPr>
          <w:rStyle w:val="FootnoteReference"/>
          <w:rFonts w:eastAsia="Times New Roman"/>
          <w:sz w:val="16"/>
          <w:szCs w:val="16"/>
        </w:rPr>
        <w:footnoteRef/>
      </w:r>
      <w:r w:rsidRPr="1FF1B213">
        <w:rPr>
          <w:rFonts w:eastAsia="Times New Roman"/>
          <w:sz w:val="16"/>
          <w:szCs w:val="16"/>
        </w:rPr>
        <w:t xml:space="preserve"> </w:t>
      </w:r>
      <w:r w:rsidRPr="1FF1B213">
        <w:rPr>
          <w:rFonts w:eastAsia="Times New Roman"/>
          <w:sz w:val="16"/>
          <w:szCs w:val="16"/>
          <w:shd w:val="clear" w:color="auto" w:fill="FFFFFF"/>
        </w:rPr>
        <w:t xml:space="preserve">Glisson, C., Landsverk, J., Schoenwald, S., Kelleher, K., Eaton Hoagwood, K., Mayberg, S. &amp; Green, P. (2008). Assessing the organizational social context of mental health services: Implications for research and practice, </w:t>
      </w:r>
      <w:r w:rsidRPr="1FF1B213">
        <w:rPr>
          <w:rFonts w:eastAsia="Times New Roman"/>
          <w:i/>
          <w:sz w:val="16"/>
          <w:szCs w:val="16"/>
          <w:shd w:val="clear" w:color="auto" w:fill="FFFFFF"/>
        </w:rPr>
        <w:t>Administration and Policy in Mental Health</w:t>
      </w:r>
      <w:r w:rsidRPr="1FF1B213">
        <w:rPr>
          <w:rFonts w:eastAsia="Times New Roman"/>
          <w:sz w:val="16"/>
          <w:szCs w:val="16"/>
          <w:shd w:val="clear" w:color="auto" w:fill="FFFFFF"/>
        </w:rPr>
        <w:t>, 35, 98-113.</w:t>
      </w:r>
    </w:p>
  </w:footnote>
  <w:footnote w:id="115">
    <w:p w14:paraId="402164A1" w14:textId="77777777" w:rsidR="00BE1373" w:rsidRPr="00D23945" w:rsidRDefault="00BE1373" w:rsidP="00D23945">
      <w:pPr>
        <w:spacing w:before="0" w:after="0"/>
        <w:contextualSpacing/>
        <w:rPr>
          <w:sz w:val="16"/>
          <w:szCs w:val="16"/>
          <w:shd w:val="clear" w:color="auto" w:fill="FFFFFF"/>
        </w:rPr>
      </w:pPr>
      <w:r w:rsidRPr="1FF1B213">
        <w:rPr>
          <w:rStyle w:val="FootnoteReference"/>
          <w:rFonts w:eastAsia="Times New Roman"/>
          <w:sz w:val="16"/>
          <w:szCs w:val="16"/>
        </w:rPr>
        <w:footnoteRef/>
      </w:r>
      <w:r w:rsidRPr="1FF1B213">
        <w:rPr>
          <w:rFonts w:eastAsia="Times New Roman"/>
          <w:sz w:val="16"/>
          <w:szCs w:val="16"/>
        </w:rPr>
        <w:t xml:space="preserve"> </w:t>
      </w:r>
      <w:r w:rsidRPr="1FF1B213">
        <w:rPr>
          <w:rFonts w:eastAsia="Times New Roman"/>
          <w:sz w:val="16"/>
          <w:szCs w:val="16"/>
          <w:shd w:val="clear" w:color="auto" w:fill="FFFFFF"/>
        </w:rPr>
        <w:t xml:space="preserve">Glisson, C., James, L.R. (2002). The cross-level effects of culture and climate in human services teams, </w:t>
      </w:r>
      <w:r w:rsidRPr="1FF1B213">
        <w:rPr>
          <w:rFonts w:eastAsia="Times New Roman"/>
          <w:i/>
          <w:sz w:val="16"/>
          <w:szCs w:val="16"/>
          <w:shd w:val="clear" w:color="auto" w:fill="FFFFFF"/>
        </w:rPr>
        <w:t>Journal of Organizational Behavior</w:t>
      </w:r>
      <w:r w:rsidRPr="1FF1B213">
        <w:rPr>
          <w:rFonts w:eastAsia="Times New Roman"/>
          <w:sz w:val="16"/>
          <w:szCs w:val="16"/>
          <w:shd w:val="clear" w:color="auto" w:fill="FFFFFF"/>
        </w:rPr>
        <w:t>, 23, 767-794.</w:t>
      </w:r>
    </w:p>
  </w:footnote>
  <w:footnote w:id="116">
    <w:p w14:paraId="5C1E4A5B" w14:textId="77777777" w:rsidR="00BE1373" w:rsidRPr="00D23945" w:rsidRDefault="00BE1373" w:rsidP="00D12E2C">
      <w:pPr>
        <w:pStyle w:val="FootnoteText"/>
        <w:contextualSpacing/>
        <w:rPr>
          <w:sz w:val="16"/>
          <w:szCs w:val="16"/>
        </w:rPr>
      </w:pPr>
      <w:r w:rsidRPr="00D23945">
        <w:rPr>
          <w:rStyle w:val="FootnoteReference"/>
          <w:sz w:val="16"/>
          <w:szCs w:val="16"/>
        </w:rPr>
        <w:footnoteRef/>
      </w:r>
      <w:r w:rsidRPr="00D23945">
        <w:rPr>
          <w:sz w:val="16"/>
          <w:szCs w:val="16"/>
        </w:rPr>
        <w:t xml:space="preserve"> Ibid.</w:t>
      </w:r>
    </w:p>
  </w:footnote>
  <w:footnote w:id="117">
    <w:p w14:paraId="1117650C" w14:textId="77777777" w:rsidR="00BE1373" w:rsidRPr="00D017CA" w:rsidRDefault="00BE1373">
      <w:pPr>
        <w:pStyle w:val="FootnoteText"/>
        <w:rPr>
          <w:sz w:val="16"/>
          <w:szCs w:val="16"/>
        </w:rPr>
      </w:pPr>
      <w:r w:rsidRPr="00D017CA">
        <w:rPr>
          <w:rStyle w:val="FootnoteReference"/>
          <w:sz w:val="16"/>
          <w:szCs w:val="16"/>
        </w:rPr>
        <w:footnoteRef/>
      </w:r>
      <w:r w:rsidRPr="00D017CA">
        <w:rPr>
          <w:sz w:val="16"/>
          <w:szCs w:val="16"/>
        </w:rPr>
        <w:t xml:space="preserve"> We had hoped to conduct this analysis at the unit level, but the response rates for most units would not permit a statistically valid analysis.</w:t>
      </w:r>
    </w:p>
  </w:footnote>
  <w:footnote w:id="118">
    <w:p w14:paraId="498C249F" w14:textId="77777777" w:rsidR="00BE1373" w:rsidRPr="006B5B99" w:rsidRDefault="00BE1373" w:rsidP="00D23945">
      <w:pPr>
        <w:pStyle w:val="FootnoteText"/>
        <w:rPr>
          <w:sz w:val="16"/>
          <w:szCs w:val="16"/>
        </w:rPr>
      </w:pPr>
      <w:r w:rsidRPr="006B5B99">
        <w:rPr>
          <w:rStyle w:val="FootnoteReference"/>
          <w:sz w:val="16"/>
          <w:szCs w:val="16"/>
        </w:rPr>
        <w:footnoteRef/>
      </w:r>
      <w:r w:rsidRPr="1FF1B213">
        <w:rPr>
          <w:sz w:val="16"/>
          <w:szCs w:val="16"/>
          <w:shd w:val="clear" w:color="auto" w:fill="FFFFFF"/>
        </w:rPr>
        <w:t>Glisson, C., Green, P., &amp; Williams, N.J. (2012). Assessing the Organizational Social Context (OSC) of Child Welfare Systems: Implications for Research and Practice. </w:t>
      </w:r>
      <w:r w:rsidRPr="1FF1B213">
        <w:rPr>
          <w:i/>
          <w:sz w:val="16"/>
          <w:szCs w:val="16"/>
        </w:rPr>
        <w:t>Child Abuse &amp; Neglect</w:t>
      </w:r>
      <w:r>
        <w:rPr>
          <w:rFonts w:eastAsia="Times New Roman"/>
          <w:i/>
          <w:iCs/>
          <w:sz w:val="16"/>
          <w:szCs w:val="16"/>
        </w:rPr>
        <w:t xml:space="preserve"> </w:t>
      </w:r>
      <w:r w:rsidRPr="006B5B99">
        <w:rPr>
          <w:rFonts w:eastAsia="Times New Roman"/>
          <w:i/>
          <w:iCs/>
          <w:sz w:val="16"/>
          <w:szCs w:val="16"/>
        </w:rPr>
        <w:t>,</w:t>
      </w:r>
      <w:r w:rsidRPr="1FF1B213">
        <w:rPr>
          <w:sz w:val="16"/>
          <w:szCs w:val="16"/>
          <w:shd w:val="clear" w:color="auto" w:fill="FFFFFF"/>
        </w:rPr>
        <w:t>36(9), 621-632</w:t>
      </w:r>
      <w:r>
        <w:rPr>
          <w:rFonts w:eastAsia="Times New Roman"/>
          <w:sz w:val="16"/>
          <w:szCs w:val="16"/>
          <w:shd w:val="clear" w:color="auto" w:fill="FFFFFF"/>
        </w:rPr>
        <w:t>.</w:t>
      </w:r>
      <w:r w:rsidRPr="006B5B99">
        <w:rPr>
          <w:sz w:val="16"/>
          <w:szCs w:val="16"/>
        </w:rPr>
        <w:t xml:space="preserve"> </w:t>
      </w:r>
    </w:p>
  </w:footnote>
  <w:footnote w:id="119">
    <w:p w14:paraId="2065C87F" w14:textId="77777777" w:rsidR="00BE1373" w:rsidRPr="00204220" w:rsidRDefault="00BE1373">
      <w:pPr>
        <w:pStyle w:val="FootnoteText"/>
        <w:rPr>
          <w:sz w:val="16"/>
          <w:szCs w:val="16"/>
        </w:rPr>
      </w:pPr>
      <w:r w:rsidRPr="00204220">
        <w:rPr>
          <w:rStyle w:val="FootnoteReference"/>
          <w:sz w:val="16"/>
          <w:szCs w:val="16"/>
        </w:rPr>
        <w:footnoteRef/>
      </w:r>
      <w:r w:rsidRPr="00204220">
        <w:rPr>
          <w:sz w:val="16"/>
          <w:szCs w:val="16"/>
        </w:rPr>
        <w:t xml:space="preserve"> Ibid.</w:t>
      </w:r>
    </w:p>
  </w:footnote>
  <w:footnote w:id="120">
    <w:p w14:paraId="7BC976B7" w14:textId="77777777" w:rsidR="00BE1373" w:rsidRPr="00204220" w:rsidRDefault="00BE1373" w:rsidP="00D23945">
      <w:pPr>
        <w:contextualSpacing/>
        <w:rPr>
          <w:rFonts w:eastAsia="Times New Roman"/>
          <w:sz w:val="16"/>
          <w:szCs w:val="16"/>
        </w:rPr>
      </w:pPr>
      <w:r w:rsidRPr="00204220">
        <w:rPr>
          <w:rStyle w:val="FootnoteReference"/>
          <w:sz w:val="16"/>
          <w:szCs w:val="16"/>
        </w:rPr>
        <w:footnoteRef/>
      </w:r>
      <w:r w:rsidRPr="00204220">
        <w:rPr>
          <w:rStyle w:val="hlfld-contribauthor"/>
          <w:rFonts w:eastAsia="Times New Roman"/>
          <w:sz w:val="16"/>
          <w:szCs w:val="16"/>
        </w:rPr>
        <w:t xml:space="preserve"> Lambert, E.G. &amp; Hogan, N. (2009). The importance of job satisfaction and organizational commitment in shaping turnover intent: A test of a causal model, </w:t>
      </w:r>
      <w:r w:rsidRPr="00204220">
        <w:rPr>
          <w:rStyle w:val="hlfld-contribauthor"/>
          <w:rFonts w:eastAsia="Times New Roman"/>
          <w:i/>
          <w:sz w:val="16"/>
          <w:szCs w:val="16"/>
        </w:rPr>
        <w:t>Criminal Justice Review</w:t>
      </w:r>
      <w:r w:rsidRPr="00204220">
        <w:rPr>
          <w:rStyle w:val="hlfld-contribauthor"/>
          <w:rFonts w:eastAsia="Times New Roman"/>
          <w:sz w:val="16"/>
          <w:szCs w:val="16"/>
        </w:rPr>
        <w:t>, 34, 96-118.</w:t>
      </w:r>
    </w:p>
  </w:footnote>
  <w:footnote w:id="121">
    <w:p w14:paraId="7ADC4EBA" w14:textId="77777777" w:rsidR="00BE1373" w:rsidRPr="00204220" w:rsidRDefault="00BE1373" w:rsidP="00D23945">
      <w:pPr>
        <w:tabs>
          <w:tab w:val="left" w:pos="360"/>
          <w:tab w:val="left" w:pos="630"/>
        </w:tabs>
        <w:contextualSpacing/>
        <w:rPr>
          <w:sz w:val="16"/>
          <w:szCs w:val="16"/>
          <w:shd w:val="clear" w:color="auto" w:fill="FFFFFF"/>
        </w:rPr>
      </w:pPr>
      <w:r w:rsidRPr="1FF1B213">
        <w:rPr>
          <w:rStyle w:val="FootnoteReference"/>
          <w:rFonts w:eastAsia="Times New Roman"/>
          <w:sz w:val="16"/>
          <w:szCs w:val="16"/>
        </w:rPr>
        <w:footnoteRef/>
      </w:r>
      <w:r w:rsidRPr="1FF1B213">
        <w:rPr>
          <w:rFonts w:eastAsia="Times New Roman"/>
          <w:sz w:val="16"/>
          <w:szCs w:val="16"/>
          <w:shd w:val="clear" w:color="auto" w:fill="FFFFFF"/>
        </w:rPr>
        <w:t xml:space="preserve"> Glisson, C., Landsverk, J., Schoenwald, S., Kelleher, K., Eaton Hoagwood, K., Mayberg, S. &amp; Green, P. (2008). Assessing the organizational social context of mental health services: Implications for research and practice, </w:t>
      </w:r>
      <w:r w:rsidRPr="1FF1B213">
        <w:rPr>
          <w:rFonts w:eastAsia="Times New Roman"/>
          <w:i/>
          <w:sz w:val="16"/>
          <w:szCs w:val="16"/>
          <w:shd w:val="clear" w:color="auto" w:fill="FFFFFF"/>
        </w:rPr>
        <w:t>Administration and Policy in Mental Health</w:t>
      </w:r>
      <w:r w:rsidRPr="1FF1B213">
        <w:rPr>
          <w:rFonts w:eastAsia="Times New Roman"/>
          <w:sz w:val="16"/>
          <w:szCs w:val="16"/>
          <w:shd w:val="clear" w:color="auto" w:fill="FFFFFF"/>
        </w:rPr>
        <w:t>, 35, 98-113.</w:t>
      </w:r>
    </w:p>
    <w:p w14:paraId="70C52656" w14:textId="77777777" w:rsidR="00BE1373" w:rsidRPr="00204220" w:rsidRDefault="00BE1373" w:rsidP="00204220">
      <w:pPr>
        <w:pStyle w:val="FootnoteText"/>
        <w:contextualSpacing/>
        <w:rPr>
          <w:sz w:val="16"/>
          <w:szCs w:val="16"/>
        </w:rPr>
      </w:pPr>
      <w:r w:rsidRPr="00204220">
        <w:rPr>
          <w:sz w:val="16"/>
          <w:szCs w:val="16"/>
        </w:rPr>
        <w:t xml:space="preserve"> </w:t>
      </w:r>
    </w:p>
  </w:footnote>
  <w:footnote w:id="122">
    <w:p w14:paraId="565C9951" w14:textId="77777777" w:rsidR="00BE1373" w:rsidRPr="00F42D48" w:rsidRDefault="00BE1373">
      <w:pPr>
        <w:pStyle w:val="FootnoteText"/>
        <w:rPr>
          <w:sz w:val="16"/>
          <w:szCs w:val="16"/>
        </w:rPr>
      </w:pPr>
      <w:r w:rsidRPr="00F42D48">
        <w:rPr>
          <w:rStyle w:val="FootnoteReference"/>
          <w:sz w:val="16"/>
          <w:szCs w:val="16"/>
        </w:rPr>
        <w:footnoteRef/>
      </w:r>
      <w:r w:rsidRPr="00F42D48">
        <w:rPr>
          <w:sz w:val="16"/>
          <w:szCs w:val="16"/>
        </w:rPr>
        <w:t xml:space="preserve"> Department of Social &amp; Health Services, Rehabilitation Administrations (October 2017</w:t>
      </w:r>
      <w:r w:rsidRPr="00F42D48">
        <w:rPr>
          <w:i/>
          <w:sz w:val="16"/>
          <w:szCs w:val="16"/>
        </w:rPr>
        <w:t>). Strategic Plan 2017-2019</w:t>
      </w:r>
      <w:r w:rsidRPr="00F42D48">
        <w:rPr>
          <w:sz w:val="16"/>
          <w:szCs w:val="16"/>
        </w:rPr>
        <w:t>. P. 17.</w:t>
      </w:r>
    </w:p>
  </w:footnote>
  <w:footnote w:id="123">
    <w:p w14:paraId="39729DCE" w14:textId="77777777" w:rsidR="00BE1373" w:rsidRPr="00F42D48" w:rsidRDefault="00BE1373">
      <w:pPr>
        <w:pStyle w:val="FootnoteText"/>
        <w:rPr>
          <w:sz w:val="16"/>
          <w:szCs w:val="16"/>
        </w:rPr>
      </w:pPr>
      <w:r w:rsidRPr="00F42D48">
        <w:rPr>
          <w:rStyle w:val="FootnoteReference"/>
          <w:sz w:val="16"/>
          <w:szCs w:val="16"/>
        </w:rPr>
        <w:footnoteRef/>
      </w:r>
      <w:r w:rsidRPr="00F42D48">
        <w:rPr>
          <w:sz w:val="16"/>
          <w:szCs w:val="16"/>
        </w:rPr>
        <w:t xml:space="preserve"> Ibid.</w:t>
      </w:r>
    </w:p>
  </w:footnote>
  <w:footnote w:id="124">
    <w:p w14:paraId="7D1CB875" w14:textId="77777777" w:rsidR="00BE1373" w:rsidRPr="00D23945" w:rsidRDefault="00BE1373" w:rsidP="00D23945">
      <w:pPr>
        <w:spacing w:before="0" w:after="0"/>
        <w:contextualSpacing/>
        <w:rPr>
          <w:sz w:val="16"/>
          <w:szCs w:val="16"/>
        </w:rPr>
      </w:pPr>
      <w:r w:rsidRPr="00204220">
        <w:rPr>
          <w:rStyle w:val="FootnoteReference"/>
          <w:sz w:val="16"/>
          <w:szCs w:val="16"/>
        </w:rPr>
        <w:footnoteRef/>
      </w:r>
      <w:r w:rsidRPr="00204220">
        <w:rPr>
          <w:sz w:val="16"/>
          <w:szCs w:val="16"/>
        </w:rPr>
        <w:t xml:space="preserve"> </w:t>
      </w:r>
      <w:r w:rsidRPr="00D23945">
        <w:rPr>
          <w:rFonts w:eastAsia="Times New Roman"/>
          <w:sz w:val="16"/>
          <w:szCs w:val="16"/>
        </w:rPr>
        <w:t xml:space="preserve">Clark, P. (2014). Chapter 4: Developing and maintaining a professional workforce. In Desktop Guide to Quality Practice for Working with Youth in Confinement. National Partnership for Juvenile Services and Office of Juvenile Justice and Delinquency Prevention, from, Retrieved from: </w:t>
      </w:r>
      <w:hyperlink r:id="rId8" w:history="1">
        <w:r w:rsidRPr="00D23945">
          <w:rPr>
            <w:rStyle w:val="Hyperlink"/>
            <w:rFonts w:eastAsia="Times New Roman"/>
            <w:color w:val="auto"/>
            <w:sz w:val="16"/>
            <w:szCs w:val="16"/>
          </w:rPr>
          <w:t>https://info.nicic.gov/dtg/node/12</w:t>
        </w:r>
      </w:hyperlink>
      <w:r w:rsidRPr="00D23945">
        <w:rPr>
          <w:sz w:val="16"/>
          <w:szCs w:val="16"/>
        </w:rPr>
        <w:t>.</w:t>
      </w:r>
    </w:p>
  </w:footnote>
  <w:footnote w:id="125">
    <w:p w14:paraId="51DD4B6D" w14:textId="77777777" w:rsidR="00BE1373" w:rsidRPr="00D23945" w:rsidRDefault="00BE1373" w:rsidP="00D23945">
      <w:pPr>
        <w:pStyle w:val="FootnoteText"/>
        <w:contextualSpacing/>
        <w:rPr>
          <w:sz w:val="16"/>
          <w:szCs w:val="16"/>
        </w:rPr>
      </w:pPr>
      <w:r w:rsidRPr="00D23945">
        <w:rPr>
          <w:rStyle w:val="FootnoteReference"/>
          <w:sz w:val="16"/>
          <w:szCs w:val="16"/>
        </w:rPr>
        <w:footnoteRef/>
      </w:r>
      <w:r w:rsidRPr="00D23945">
        <w:rPr>
          <w:sz w:val="16"/>
          <w:szCs w:val="16"/>
        </w:rPr>
        <w:t xml:space="preserve"> Larson, S.A. &amp; Hewitt, A.S (2012). Staff recruitment, retention and training strategies for community human services organizations. Minneapolis, MN: Research and Training Center on Community Living, Institute on Community Integration, University of Minnesota. Retrieved from: </w:t>
      </w:r>
      <w:hyperlink r:id="rId9" w:history="1">
        <w:r w:rsidRPr="00D23945">
          <w:rPr>
            <w:rStyle w:val="Hyperlink"/>
            <w:sz w:val="16"/>
            <w:szCs w:val="16"/>
          </w:rPr>
          <w:t>https://rtc3.umn.edu/docs/Larson_and_Hewitt_Staff_rrt_book_U_of_MN_reprint_2012.pdf</w:t>
        </w:r>
      </w:hyperlink>
      <w:r w:rsidRPr="00D23945">
        <w:rPr>
          <w:sz w:val="16"/>
          <w:szCs w:val="16"/>
        </w:rPr>
        <w:t>.</w:t>
      </w:r>
    </w:p>
    <w:p w14:paraId="31A3763B" w14:textId="77777777" w:rsidR="00BE1373" w:rsidRPr="00D23945" w:rsidRDefault="00BE1373" w:rsidP="00D23945">
      <w:pPr>
        <w:pStyle w:val="FootnoteText"/>
        <w:contextualSpacing/>
        <w:rPr>
          <w:sz w:val="16"/>
          <w:szCs w:val="16"/>
        </w:rPr>
      </w:pPr>
    </w:p>
  </w:footnote>
  <w:footnote w:id="126">
    <w:p w14:paraId="66FB82E8" w14:textId="77777777" w:rsidR="00BE1373" w:rsidRPr="000F46FE" w:rsidRDefault="00BE1373">
      <w:pPr>
        <w:pStyle w:val="FootnoteText"/>
        <w:rPr>
          <w:sz w:val="16"/>
          <w:szCs w:val="16"/>
        </w:rPr>
      </w:pPr>
      <w:r w:rsidRPr="000F46FE">
        <w:rPr>
          <w:rStyle w:val="FootnoteReference"/>
          <w:sz w:val="16"/>
          <w:szCs w:val="16"/>
        </w:rPr>
        <w:footnoteRef/>
      </w:r>
      <w:r w:rsidRPr="000F46FE">
        <w:rPr>
          <w:sz w:val="16"/>
          <w:szCs w:val="16"/>
        </w:rPr>
        <w:t xml:space="preserve"> Ventreso, T &amp; Olson, C. </w:t>
      </w:r>
      <w:r>
        <w:rPr>
          <w:sz w:val="16"/>
          <w:szCs w:val="16"/>
        </w:rPr>
        <w:t>(2018, July 26). Personal interview.</w:t>
      </w:r>
    </w:p>
  </w:footnote>
  <w:footnote w:id="127">
    <w:p w14:paraId="59D9F770" w14:textId="77777777" w:rsidR="00BE1373" w:rsidRPr="00F42D48" w:rsidRDefault="00BE1373" w:rsidP="00926309">
      <w:pPr>
        <w:pStyle w:val="FootnoteText"/>
        <w:contextualSpacing/>
        <w:rPr>
          <w:sz w:val="16"/>
          <w:szCs w:val="16"/>
          <w:highlight w:val="yellow"/>
        </w:rPr>
      </w:pPr>
      <w:r w:rsidRPr="00F42D48">
        <w:rPr>
          <w:rStyle w:val="FootnoteReference"/>
          <w:sz w:val="16"/>
          <w:szCs w:val="16"/>
        </w:rPr>
        <w:footnoteRef/>
      </w:r>
      <w:r w:rsidRPr="00F42D48">
        <w:rPr>
          <w:sz w:val="16"/>
          <w:szCs w:val="16"/>
        </w:rPr>
        <w:t xml:space="preserve"> S.B. 6160, Juvenile Court Jurisdiction, 65</w:t>
      </w:r>
      <w:r w:rsidRPr="00F42D48">
        <w:rPr>
          <w:sz w:val="16"/>
          <w:szCs w:val="16"/>
          <w:vertAlign w:val="superscript"/>
        </w:rPr>
        <w:t>th</w:t>
      </w:r>
      <w:r w:rsidRPr="00F42D48">
        <w:rPr>
          <w:sz w:val="16"/>
          <w:szCs w:val="16"/>
        </w:rPr>
        <w:t xml:space="preserve"> Legislature, 2018 Reg. Sess. (State of Washington, March 26, 2018). </w:t>
      </w:r>
    </w:p>
  </w:footnote>
  <w:footnote w:id="128">
    <w:p w14:paraId="19F678E1" w14:textId="77777777" w:rsidR="00BE1373" w:rsidRPr="00F42D48" w:rsidRDefault="00BE1373" w:rsidP="009D0B19">
      <w:pPr>
        <w:pStyle w:val="FootnoteText"/>
        <w:contextualSpacing/>
        <w:rPr>
          <w:sz w:val="16"/>
          <w:szCs w:val="16"/>
        </w:rPr>
      </w:pPr>
      <w:r w:rsidRPr="00F42D48">
        <w:rPr>
          <w:rStyle w:val="FootnoteReference"/>
          <w:sz w:val="16"/>
          <w:szCs w:val="16"/>
        </w:rPr>
        <w:footnoteRef/>
      </w:r>
      <w:r w:rsidRPr="00F42D48">
        <w:rPr>
          <w:sz w:val="16"/>
          <w:szCs w:val="16"/>
        </w:rPr>
        <w:t xml:space="preserve"> Department of Social &amp; Health Services, Rehabilitation Administrations (October 2017</w:t>
      </w:r>
      <w:r w:rsidRPr="00F42D48">
        <w:rPr>
          <w:i/>
          <w:sz w:val="16"/>
          <w:szCs w:val="16"/>
        </w:rPr>
        <w:t>). Strategic Plan 2017-2019</w:t>
      </w:r>
      <w:r w:rsidRPr="00F42D48">
        <w:rPr>
          <w:sz w:val="16"/>
          <w:szCs w:val="16"/>
        </w:rPr>
        <w:t>. P.16.</w:t>
      </w:r>
    </w:p>
  </w:footnote>
  <w:footnote w:id="129">
    <w:p w14:paraId="1F880683" w14:textId="77777777" w:rsidR="00BE1373" w:rsidRPr="009D0B19" w:rsidRDefault="00BE1373" w:rsidP="009D0B19">
      <w:pPr>
        <w:pStyle w:val="FootnoteText"/>
        <w:contextualSpacing/>
        <w:rPr>
          <w:sz w:val="18"/>
          <w:szCs w:val="18"/>
        </w:rPr>
      </w:pPr>
      <w:r w:rsidRPr="00F42D48">
        <w:rPr>
          <w:rStyle w:val="FootnoteReference"/>
          <w:sz w:val="16"/>
          <w:szCs w:val="16"/>
        </w:rPr>
        <w:footnoteRef/>
      </w:r>
      <w:r w:rsidRPr="00F42D48">
        <w:rPr>
          <w:sz w:val="16"/>
          <w:szCs w:val="16"/>
        </w:rPr>
        <w:t xml:space="preserve"> Millennials are considered people born roughly between 1983 and 1995.</w:t>
      </w:r>
    </w:p>
  </w:footnote>
  <w:footnote w:id="130">
    <w:p w14:paraId="406EA0F6" w14:textId="77777777" w:rsidR="00BE1373" w:rsidRPr="00B60FE5" w:rsidRDefault="00BE1373" w:rsidP="00D23945">
      <w:pPr>
        <w:pStyle w:val="FootnoteText"/>
        <w:rPr>
          <w:sz w:val="16"/>
          <w:szCs w:val="16"/>
        </w:rPr>
      </w:pPr>
      <w:r w:rsidRPr="00B60FE5">
        <w:rPr>
          <w:rStyle w:val="FootnoteReference"/>
          <w:sz w:val="16"/>
          <w:szCs w:val="16"/>
        </w:rPr>
        <w:footnoteRef/>
      </w:r>
      <w:r w:rsidRPr="00B60FE5">
        <w:rPr>
          <w:sz w:val="16"/>
          <w:szCs w:val="16"/>
        </w:rPr>
        <w:t xml:space="preserve"> </w:t>
      </w:r>
      <w:r>
        <w:rPr>
          <w:sz w:val="16"/>
          <w:szCs w:val="16"/>
        </w:rPr>
        <w:t>Wells, J.B., Minor, KI., Ang</w:t>
      </w:r>
      <w:r w:rsidRPr="00B60FE5">
        <w:rPr>
          <w:sz w:val="16"/>
          <w:szCs w:val="16"/>
        </w:rPr>
        <w:t>el, E, Matz, K. &amp; Amato, N. (2009). Predictors of job stress among staff in juvenile correctional facilities. Criminal Justice and Behavior, 36, 245-258.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0715" w14:textId="77777777" w:rsidR="00BE1373" w:rsidRPr="00993529" w:rsidRDefault="00BE1373" w:rsidP="0099352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354B" w14:textId="77777777" w:rsidR="00BE1373" w:rsidRDefault="00BE1373">
    <w:pPr>
      <w:pStyle w:val="Header"/>
      <w:rPr>
        <w:b/>
      </w:rPr>
    </w:pPr>
    <w:r>
      <w:drawing>
        <wp:anchor distT="0" distB="0" distL="114300" distR="114300" simplePos="0" relativeHeight="251662336" behindDoc="1" locked="0" layoutInCell="1" allowOverlap="1" wp14:anchorId="48C68233" wp14:editId="027DA7E3">
          <wp:simplePos x="0" y="0"/>
          <wp:positionH relativeFrom="margin">
            <wp:posOffset>8255</wp:posOffset>
          </wp:positionH>
          <wp:positionV relativeFrom="paragraph">
            <wp:posOffset>-306705</wp:posOffset>
          </wp:positionV>
          <wp:extent cx="1600200" cy="576072"/>
          <wp:effectExtent l="0" t="0" r="0" b="0"/>
          <wp:wrapThrough wrapText="bothSides">
            <wp:wrapPolygon edited="0">
              <wp:start x="0" y="0"/>
              <wp:lineTo x="0" y="20719"/>
              <wp:lineTo x="21343" y="20719"/>
              <wp:lineTo x="21343" y="0"/>
              <wp:lineTo x="0" y="0"/>
            </wp:wrapPolygon>
          </wp:wrapThrough>
          <wp:docPr id="2" name="Picture 2" descr="Image result for dshs"/>
          <wp:cNvGraphicFramePr/>
          <a:graphic xmlns:a="http://schemas.openxmlformats.org/drawingml/2006/main">
            <a:graphicData uri="http://schemas.openxmlformats.org/drawingml/2006/picture">
              <pic:pic xmlns:pic="http://schemas.openxmlformats.org/drawingml/2006/picture">
                <pic:nvPicPr>
                  <pic:cNvPr id="1" name="Picture 1" descr="Image result for dshs"/>
                  <pic:cNvPicPr/>
                </pic:nvPicPr>
                <pic:blipFill rotWithShape="1">
                  <a:blip r:embed="rId1">
                    <a:extLst>
                      <a:ext uri="{28A0092B-C50C-407E-A947-70E740481C1C}">
                        <a14:useLocalDpi xmlns:a14="http://schemas.microsoft.com/office/drawing/2010/main" val="0"/>
                      </a:ext>
                    </a:extLst>
                  </a:blip>
                  <a:srcRect l="1440" t="2881" r="2720" b="7408"/>
                  <a:stretch/>
                </pic:blipFill>
                <pic:spPr bwMode="auto">
                  <a:xfrm>
                    <a:off x="0" y="0"/>
                    <a:ext cx="1600200" cy="57607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040DA6">
      <w:rPr>
        <w:b/>
      </w:rPr>
      <w:ptab w:relativeTo="margin" w:alignment="right" w:leader="none"/>
    </w:r>
    <w:r>
      <w:rPr>
        <w:b/>
      </w:rPr>
      <w:t>Current State Staffing Analysis</w:t>
    </w:r>
  </w:p>
  <w:p w14:paraId="46722C2D" w14:textId="77777777" w:rsidR="00BE1373" w:rsidRPr="00010B35" w:rsidRDefault="00BE1373">
    <w:pPr>
      <w:pStyle w:val="Header"/>
    </w:pPr>
    <w:r>
      <w:ptab w:relativeTo="margin" w:alignment="right" w:leader="none"/>
    </w:r>
    <w:r>
      <w:t>Vol I. Juvenile Rehabilitation –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EC6A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E8DD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7451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2EAD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484F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B2B9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DE880A"/>
    <w:lvl w:ilvl="0">
      <w:start w:val="1"/>
      <w:numFmt w:val="bullet"/>
      <w:pStyle w:val="ListBullet3"/>
      <w:lvlText w:val=""/>
      <w:lvlJc w:val="left"/>
      <w:pPr>
        <w:ind w:left="1080" w:hanging="360"/>
      </w:pPr>
      <w:rPr>
        <w:rFonts w:ascii="Wingdings 3" w:hAnsi="Wingdings 3" w:hint="default"/>
        <w:b w:val="0"/>
        <w:i w:val="0"/>
        <w:color w:val="666666"/>
        <w:sz w:val="20"/>
      </w:rPr>
    </w:lvl>
  </w:abstractNum>
  <w:abstractNum w:abstractNumId="7" w15:restartNumberingAfterBreak="0">
    <w:nsid w:val="FFFFFF88"/>
    <w:multiLevelType w:val="singleLevel"/>
    <w:tmpl w:val="955E9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ED0528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BD7936"/>
    <w:multiLevelType w:val="multilevel"/>
    <w:tmpl w:val="3918CD2E"/>
    <w:styleLink w:val="ExhibitTitleNumber"/>
    <w:lvl w:ilvl="0">
      <w:start w:val="1"/>
      <w:numFmt w:val="decimal"/>
      <w:suff w:val="space"/>
      <w:lvlText w:val="Exhibit %1:"/>
      <w:lvlJc w:val="left"/>
      <w:pPr>
        <w:ind w:left="360" w:hanging="360"/>
      </w:pPr>
      <w:rPr>
        <w:rFonts w:ascii="Arial" w:hAnsi="Arial"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D44313"/>
    <w:multiLevelType w:val="multilevel"/>
    <w:tmpl w:val="C9C4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53AB9"/>
    <w:multiLevelType w:val="multilevel"/>
    <w:tmpl w:val="F85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4F4E32"/>
    <w:multiLevelType w:val="hybridMultilevel"/>
    <w:tmpl w:val="7DEC3510"/>
    <w:lvl w:ilvl="0" w:tplc="C5C4A1A0">
      <w:start w:val="1"/>
      <w:numFmt w:val="bullet"/>
      <w:pStyle w:val="ListBullet"/>
      <w:lvlText w:val="¡"/>
      <w:lvlJc w:val="left"/>
      <w:pPr>
        <w:ind w:left="3240" w:hanging="360"/>
      </w:pPr>
      <w:rPr>
        <w:rFonts w:ascii="Wingdings 2" w:hAnsi="Wingdings 2" w:hint="default"/>
        <w:color w:val="F96A1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65039"/>
    <w:multiLevelType w:val="hybridMultilevel"/>
    <w:tmpl w:val="3ECA2090"/>
    <w:lvl w:ilvl="0" w:tplc="B2503A62">
      <w:start w:val="1"/>
      <w:numFmt w:val="bullet"/>
      <w:lvlText w:val=""/>
      <w:lvlJc w:val="left"/>
      <w:pPr>
        <w:ind w:left="720" w:hanging="360"/>
      </w:pPr>
      <w:rPr>
        <w:rFonts w:ascii="Symbol" w:hAnsi="Symbol" w:hint="default"/>
      </w:rPr>
    </w:lvl>
    <w:lvl w:ilvl="1" w:tplc="9E1C3CC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D0CA3"/>
    <w:multiLevelType w:val="multilevel"/>
    <w:tmpl w:val="DD4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74093"/>
    <w:multiLevelType w:val="multilevel"/>
    <w:tmpl w:val="962C7F5A"/>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2"/>
      <w:numFmt w:val="decimal"/>
      <w:pStyle w:val="Heading3"/>
      <w:lvlText w:val="%1.%2.%3"/>
      <w:lvlJc w:val="left"/>
      <w:pPr>
        <w:tabs>
          <w:tab w:val="num" w:pos="2970"/>
        </w:tabs>
        <w:ind w:left="2970" w:hanging="720"/>
      </w:pPr>
      <w:rPr>
        <w:rFonts w:hint="default"/>
        <w:color w:val="auto"/>
      </w:rPr>
    </w:lvl>
    <w:lvl w:ilvl="3">
      <w:start w:val="1"/>
      <w:numFmt w:val="decimal"/>
      <w:pStyle w:val="Heading4"/>
      <w:lvlText w:val="%1.%2.%3.%4"/>
      <w:lvlJc w:val="left"/>
      <w:pPr>
        <w:tabs>
          <w:tab w:val="num" w:pos="1494"/>
        </w:tabs>
        <w:ind w:left="1494" w:hanging="864"/>
      </w:pPr>
      <w:rPr>
        <w:rFonts w:hint="default"/>
        <w:color w:val="auto"/>
      </w:rPr>
    </w:lvl>
    <w:lvl w:ilvl="4">
      <w:start w:val="1"/>
      <w:numFmt w:val="decimal"/>
      <w:pStyle w:val="Heading5"/>
      <w:lvlText w:val="%1.%2.%3.%4.%5"/>
      <w:lvlJc w:val="left"/>
      <w:pPr>
        <w:tabs>
          <w:tab w:val="num" w:pos="1008"/>
        </w:tabs>
        <w:ind w:left="1008" w:hanging="1008"/>
      </w:pPr>
      <w:rPr>
        <w:rFonts w:hint="default"/>
        <w:b/>
        <w:color w:val="000000" w:themeColor="text1"/>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F5E0709"/>
    <w:multiLevelType w:val="hybridMultilevel"/>
    <w:tmpl w:val="BACCD9F8"/>
    <w:lvl w:ilvl="0" w:tplc="A62EB008">
      <w:start w:val="1"/>
      <w:numFmt w:val="bullet"/>
      <w:pStyle w:val="AZRFPBul1"/>
      <w:lvlText w:val=""/>
      <w:lvlJc w:val="left"/>
      <w:pPr>
        <w:ind w:left="720" w:hanging="360"/>
      </w:pPr>
      <w:rPr>
        <w:rFonts w:ascii="Symbol" w:hAnsi="Symbol" w:hint="default"/>
      </w:rPr>
    </w:lvl>
    <w:lvl w:ilvl="1" w:tplc="7C58CE40">
      <w:start w:val="1"/>
      <w:numFmt w:val="bullet"/>
      <w:lvlText w:val=""/>
      <w:lvlJc w:val="left"/>
      <w:pPr>
        <w:ind w:left="1440" w:hanging="360"/>
      </w:pPr>
      <w:rPr>
        <w:rFonts w:ascii="Symbol" w:hAnsi="Symbol" w:hint="default"/>
      </w:rPr>
    </w:lvl>
    <w:lvl w:ilvl="2" w:tplc="47FE4664">
      <w:start w:val="1"/>
      <w:numFmt w:val="bullet"/>
      <w:lvlText w:val="o"/>
      <w:lvlJc w:val="left"/>
      <w:pPr>
        <w:ind w:left="2160" w:hanging="360"/>
      </w:pPr>
      <w:rPr>
        <w:rFonts w:ascii="Courier New" w:hAnsi="Courier New" w:cs="Courier New" w:hint="default"/>
      </w:rPr>
    </w:lvl>
    <w:lvl w:ilvl="3" w:tplc="9F087B10">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D2C98"/>
    <w:multiLevelType w:val="multilevel"/>
    <w:tmpl w:val="3954C2B4"/>
    <w:styleLink w:val="Numbers"/>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5EB46FD0"/>
    <w:multiLevelType w:val="hybridMultilevel"/>
    <w:tmpl w:val="3CAADA4E"/>
    <w:lvl w:ilvl="0" w:tplc="6B6A1946">
      <w:start w:val="1"/>
      <w:numFmt w:val="decimal"/>
      <w:pStyle w:val="AZRFPNum"/>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5206114A">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5787F"/>
    <w:multiLevelType w:val="multilevel"/>
    <w:tmpl w:val="E92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674A8"/>
    <w:multiLevelType w:val="hybridMultilevel"/>
    <w:tmpl w:val="B240B962"/>
    <w:lvl w:ilvl="0" w:tplc="0BEA84B0">
      <w:start w:val="1"/>
      <w:numFmt w:val="bullet"/>
      <w:pStyle w:val="ListBullet2"/>
      <w:lvlText w:val="¡"/>
      <w:lvlJc w:val="left"/>
      <w:pPr>
        <w:ind w:left="720" w:hanging="360"/>
      </w:pPr>
      <w:rPr>
        <w:rFonts w:ascii="Wingdings 2" w:hAnsi="Wingdings 2" w:hint="default"/>
        <w:color w:val="0046AC"/>
        <w:sz w:val="20"/>
        <w:szCs w:val="18"/>
        <w:u w:color="224E3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1E1CB3"/>
    <w:multiLevelType w:val="multilevel"/>
    <w:tmpl w:val="4E2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B50D1"/>
    <w:multiLevelType w:val="hybridMultilevel"/>
    <w:tmpl w:val="1D6C10AC"/>
    <w:lvl w:ilvl="0" w:tplc="0CB28F06">
      <w:start w:val="1"/>
      <w:numFmt w:val="bullet"/>
      <w:pStyle w:val="TableBullet"/>
      <w:lvlText w:val="­"/>
      <w:lvlJc w:val="left"/>
      <w:pPr>
        <w:ind w:left="360" w:hanging="360"/>
      </w:pPr>
      <w:rPr>
        <w:rFonts w:ascii="Wingdings 3" w:hAnsi="Wingdings 3" w:hint="default"/>
        <w:color w:val="0046A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27770"/>
    <w:multiLevelType w:val="multilevel"/>
    <w:tmpl w:val="B7361FDA"/>
    <w:styleLink w:val="List0"/>
    <w:lvl w:ilvl="0">
      <w:start w:val="1"/>
      <w:numFmt w:val="decimal"/>
      <w:lvlText w:val="%1."/>
      <w:lvlJc w:val="left"/>
      <w:pPr>
        <w:tabs>
          <w:tab w:val="num" w:pos="720"/>
        </w:tabs>
        <w:ind w:left="720" w:hanging="360"/>
      </w:pPr>
      <w:rPr>
        <w:rFonts w:ascii="Garamond" w:eastAsia="Garamond" w:hAnsi="Garamond" w:cs="Garamond"/>
        <w:position w:val="0"/>
        <w:sz w:val="24"/>
        <w:szCs w:val="24"/>
      </w:rPr>
    </w:lvl>
    <w:lvl w:ilvl="1">
      <w:start w:val="1"/>
      <w:numFmt w:val="lowerLetter"/>
      <w:lvlText w:val="%2."/>
      <w:lvlJc w:val="left"/>
      <w:pPr>
        <w:tabs>
          <w:tab w:val="num" w:pos="1440"/>
        </w:tabs>
        <w:ind w:left="1440" w:hanging="360"/>
      </w:pPr>
      <w:rPr>
        <w:rFonts w:ascii="Garamond" w:eastAsia="Garamond" w:hAnsi="Garamond" w:cs="Garamond"/>
        <w:position w:val="0"/>
        <w:sz w:val="24"/>
        <w:szCs w:val="24"/>
      </w:rPr>
    </w:lvl>
    <w:lvl w:ilvl="2">
      <w:start w:val="1"/>
      <w:numFmt w:val="lowerRoman"/>
      <w:lvlText w:val="%3."/>
      <w:lvlJc w:val="left"/>
      <w:pPr>
        <w:tabs>
          <w:tab w:val="num" w:pos="2160"/>
        </w:tabs>
        <w:ind w:left="2160" w:hanging="296"/>
      </w:pPr>
      <w:rPr>
        <w:rFonts w:ascii="Garamond" w:eastAsia="Garamond" w:hAnsi="Garamond" w:cs="Garamond"/>
        <w:position w:val="0"/>
        <w:sz w:val="24"/>
        <w:szCs w:val="24"/>
      </w:rPr>
    </w:lvl>
    <w:lvl w:ilvl="3">
      <w:start w:val="1"/>
      <w:numFmt w:val="decimal"/>
      <w:lvlText w:val="%4."/>
      <w:lvlJc w:val="left"/>
      <w:pPr>
        <w:tabs>
          <w:tab w:val="num" w:pos="2880"/>
        </w:tabs>
        <w:ind w:left="2880" w:hanging="360"/>
      </w:pPr>
      <w:rPr>
        <w:rFonts w:ascii="Garamond" w:eastAsia="Garamond" w:hAnsi="Garamond" w:cs="Garamond"/>
        <w:position w:val="0"/>
        <w:sz w:val="24"/>
        <w:szCs w:val="24"/>
      </w:rPr>
    </w:lvl>
    <w:lvl w:ilvl="4">
      <w:start w:val="1"/>
      <w:numFmt w:val="lowerLetter"/>
      <w:lvlText w:val="%5."/>
      <w:lvlJc w:val="left"/>
      <w:pPr>
        <w:tabs>
          <w:tab w:val="num" w:pos="3600"/>
        </w:tabs>
        <w:ind w:left="3600" w:hanging="360"/>
      </w:pPr>
      <w:rPr>
        <w:rFonts w:ascii="Garamond" w:eastAsia="Garamond" w:hAnsi="Garamond" w:cs="Garamond"/>
        <w:position w:val="0"/>
        <w:sz w:val="24"/>
        <w:szCs w:val="24"/>
      </w:rPr>
    </w:lvl>
    <w:lvl w:ilvl="5">
      <w:start w:val="1"/>
      <w:numFmt w:val="lowerRoman"/>
      <w:lvlText w:val="%6."/>
      <w:lvlJc w:val="left"/>
      <w:pPr>
        <w:tabs>
          <w:tab w:val="num" w:pos="4320"/>
        </w:tabs>
        <w:ind w:left="4320" w:hanging="296"/>
      </w:pPr>
      <w:rPr>
        <w:rFonts w:ascii="Garamond" w:eastAsia="Garamond" w:hAnsi="Garamond" w:cs="Garamond"/>
        <w:position w:val="0"/>
        <w:sz w:val="24"/>
        <w:szCs w:val="24"/>
      </w:rPr>
    </w:lvl>
    <w:lvl w:ilvl="6">
      <w:start w:val="1"/>
      <w:numFmt w:val="decimal"/>
      <w:lvlText w:val="%7."/>
      <w:lvlJc w:val="left"/>
      <w:pPr>
        <w:tabs>
          <w:tab w:val="num" w:pos="5040"/>
        </w:tabs>
        <w:ind w:left="5040" w:hanging="360"/>
      </w:pPr>
      <w:rPr>
        <w:rFonts w:ascii="Garamond" w:eastAsia="Garamond" w:hAnsi="Garamond" w:cs="Garamond"/>
        <w:position w:val="0"/>
        <w:sz w:val="24"/>
        <w:szCs w:val="24"/>
      </w:rPr>
    </w:lvl>
    <w:lvl w:ilvl="7">
      <w:start w:val="1"/>
      <w:numFmt w:val="lowerLetter"/>
      <w:lvlText w:val="%8."/>
      <w:lvlJc w:val="left"/>
      <w:pPr>
        <w:tabs>
          <w:tab w:val="num" w:pos="5760"/>
        </w:tabs>
        <w:ind w:left="5760" w:hanging="360"/>
      </w:pPr>
      <w:rPr>
        <w:rFonts w:ascii="Garamond" w:eastAsia="Garamond" w:hAnsi="Garamond" w:cs="Garamond"/>
        <w:position w:val="0"/>
        <w:sz w:val="24"/>
        <w:szCs w:val="24"/>
      </w:rPr>
    </w:lvl>
    <w:lvl w:ilvl="8">
      <w:start w:val="1"/>
      <w:numFmt w:val="lowerRoman"/>
      <w:lvlText w:val="%9."/>
      <w:lvlJc w:val="left"/>
      <w:pPr>
        <w:tabs>
          <w:tab w:val="num" w:pos="6480"/>
        </w:tabs>
        <w:ind w:left="6480" w:hanging="296"/>
      </w:pPr>
      <w:rPr>
        <w:rFonts w:ascii="Garamond" w:eastAsia="Garamond" w:hAnsi="Garamond" w:cs="Garamond"/>
        <w:position w:val="0"/>
        <w:sz w:val="24"/>
        <w:szCs w:val="24"/>
      </w:rPr>
    </w:lvl>
  </w:abstractNum>
  <w:abstractNum w:abstractNumId="24" w15:restartNumberingAfterBreak="0">
    <w:nsid w:val="72AF7957"/>
    <w:multiLevelType w:val="hybridMultilevel"/>
    <w:tmpl w:val="A0C2B968"/>
    <w:lvl w:ilvl="0" w:tplc="29087722">
      <w:start w:val="1"/>
      <w:numFmt w:val="decimal"/>
      <w:pStyle w:val="NumberedList"/>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F03308"/>
    <w:multiLevelType w:val="multilevel"/>
    <w:tmpl w:val="0602DD68"/>
    <w:styleLink w:val="NumberedHeadings"/>
    <w:lvl w:ilvl="0">
      <w:start w:val="1"/>
      <w:numFmt w:val="decimal"/>
      <w:suff w:val="space"/>
      <w:lvlText w:val="%1."/>
      <w:lvlJc w:val="left"/>
      <w:pPr>
        <w:ind w:left="576" w:hanging="576"/>
      </w:pPr>
      <w:rPr>
        <w:rFonts w:hint="default"/>
      </w:rPr>
    </w:lvl>
    <w:lvl w:ilvl="1">
      <w:start w:val="1"/>
      <w:numFmt w:val="decimal"/>
      <w:suff w:val="space"/>
      <w:lvlText w:val="%1.%2."/>
      <w:lvlJc w:val="left"/>
      <w:pPr>
        <w:ind w:left="1008" w:hanging="1008"/>
      </w:pPr>
      <w:rPr>
        <w:rFonts w:hint="default"/>
      </w:rPr>
    </w:lvl>
    <w:lvl w:ilvl="2">
      <w:start w:val="1"/>
      <w:numFmt w:val="decimal"/>
      <w:suff w:val="space"/>
      <w:lvlText w:val="%1.%2.%3."/>
      <w:lvlJc w:val="left"/>
      <w:pPr>
        <w:ind w:left="1440" w:hanging="1440"/>
      </w:pPr>
      <w:rPr>
        <w:rFonts w:hint="default"/>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160" w:hanging="216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3B53FB0"/>
    <w:multiLevelType w:val="multilevel"/>
    <w:tmpl w:val="EF6477A2"/>
    <w:lvl w:ilvl="0">
      <w:start w:val="5"/>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17"/>
  </w:num>
  <w:num w:numId="4">
    <w:abstractNumId w:val="18"/>
  </w:num>
  <w:num w:numId="5">
    <w:abstractNumId w:val="25"/>
  </w:num>
  <w:num w:numId="6">
    <w:abstractNumId w:val="15"/>
  </w:num>
  <w:num w:numId="7">
    <w:abstractNumId w:val="6"/>
  </w:num>
  <w:num w:numId="8">
    <w:abstractNumId w:val="7"/>
  </w:num>
  <w:num w:numId="9">
    <w:abstractNumId w:val="22"/>
  </w:num>
  <w:num w:numId="10">
    <w:abstractNumId w:val="12"/>
  </w:num>
  <w:num w:numId="11">
    <w:abstractNumId w:val="20"/>
  </w:num>
  <w:num w:numId="12">
    <w:abstractNumId w:val="24"/>
  </w:num>
  <w:num w:numId="13">
    <w:abstractNumId w:val="13"/>
  </w:num>
  <w:num w:numId="14">
    <w:abstractNumId w:val="23"/>
  </w:num>
  <w:num w:numId="15">
    <w:abstractNumId w:val="24"/>
    <w:lvlOverride w:ilvl="0">
      <w:startOverride w:val="1"/>
    </w:lvlOverride>
  </w:num>
  <w:num w:numId="16">
    <w:abstractNumId w:val="15"/>
    <w:lvlOverride w:ilvl="0">
      <w:startOverride w:val="5"/>
    </w:lvlOverride>
    <w:lvlOverride w:ilvl="1">
      <w:startOverride w:val="1"/>
    </w:lvlOverride>
    <w:lvlOverride w:ilvl="2">
      <w:startOverride w:val="1"/>
    </w:lvlOverride>
  </w:num>
  <w:num w:numId="17">
    <w:abstractNumId w:val="15"/>
    <w:lvlOverride w:ilvl="0">
      <w:startOverride w:val="5"/>
    </w:lvlOverride>
    <w:lvlOverride w:ilvl="1">
      <w:startOverride w:val="3"/>
    </w:lvlOverride>
    <w:lvlOverride w:ilvl="2">
      <w:startOverride w:val="1"/>
    </w:lvlOverride>
  </w:num>
  <w:num w:numId="18">
    <w:abstractNumId w:val="15"/>
    <w:lvlOverride w:ilvl="0">
      <w:startOverride w:val="4"/>
    </w:lvlOverride>
    <w:lvlOverride w:ilvl="1">
      <w:startOverride w:val="4"/>
    </w:lvlOverride>
    <w:lvlOverride w:ilvl="2">
      <w:startOverride w:val="1"/>
    </w:lvlOverride>
  </w:num>
  <w:num w:numId="19">
    <w:abstractNumId w:val="8"/>
  </w:num>
  <w:num w:numId="20">
    <w:abstractNumId w:val="10"/>
  </w:num>
  <w:num w:numId="21">
    <w:abstractNumId w:val="19"/>
  </w:num>
  <w:num w:numId="22">
    <w:abstractNumId w:val="14"/>
  </w:num>
  <w:num w:numId="23">
    <w:abstractNumId w:val="11"/>
  </w:num>
  <w:num w:numId="24">
    <w:abstractNumId w:val="21"/>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5"/>
    <w:lvlOverride w:ilvl="0">
      <w:startOverride w:val="1"/>
    </w:lvlOverride>
    <w:lvlOverride w:ilvl="1">
      <w:startOverride w:val="3"/>
    </w:lvlOverride>
    <w:lvlOverride w:ilvl="2">
      <w:startOverride w:val="1"/>
    </w:lvlOverride>
  </w:num>
  <w:num w:numId="32">
    <w:abstractNumId w:val="15"/>
    <w:lvlOverride w:ilvl="0">
      <w:startOverride w:val="1"/>
    </w:lvlOverride>
    <w:lvlOverride w:ilvl="1">
      <w:startOverride w:val="2"/>
    </w:lvlOverride>
    <w:lvlOverride w:ilvl="2">
      <w:startOverride w:val="1"/>
    </w:lvlOverride>
  </w:num>
  <w:num w:numId="33">
    <w:abstractNumId w:val="15"/>
    <w:lvlOverride w:ilvl="0">
      <w:startOverride w:val="5"/>
    </w:lvlOverride>
    <w:lvlOverride w:ilvl="1">
      <w:startOverride w:val="7"/>
    </w:lvlOverride>
    <w:lvlOverride w:ilvl="2">
      <w:startOverride w:val="1"/>
    </w:lvlOverride>
  </w:num>
  <w:num w:numId="34">
    <w:abstractNumId w:val="15"/>
    <w:lvlOverride w:ilvl="0">
      <w:startOverride w:val="5"/>
    </w:lvlOverride>
    <w:lvlOverride w:ilvl="1">
      <w:startOverride w:val="1"/>
    </w:lvlOverride>
    <w:lvlOverride w:ilvl="2">
      <w:startOverride w:val="1"/>
    </w:lvlOverride>
  </w:num>
  <w:num w:numId="35">
    <w:abstractNumId w:val="15"/>
    <w:lvlOverride w:ilvl="0">
      <w:startOverride w:val="5"/>
    </w:lvlOverride>
    <w:lvlOverride w:ilvl="1">
      <w:startOverride w:val="2"/>
    </w:lvlOverride>
    <w:lvlOverride w:ilvl="2">
      <w:startOverride w:val="1"/>
    </w:lvlOverride>
  </w:num>
  <w:num w:numId="36">
    <w:abstractNumId w:val="15"/>
    <w:lvlOverride w:ilvl="0">
      <w:startOverride w:val="5"/>
    </w:lvlOverride>
    <w:lvlOverride w:ilvl="1">
      <w:startOverride w:val="3"/>
    </w:lvlOverride>
    <w:lvlOverride w:ilvl="2">
      <w:startOverride w:val="1"/>
    </w:lvlOverride>
  </w:num>
  <w:num w:numId="37">
    <w:abstractNumId w:val="15"/>
    <w:lvlOverride w:ilvl="0">
      <w:startOverride w:val="5"/>
    </w:lvlOverride>
    <w:lvlOverride w:ilvl="1">
      <w:startOverride w:val="5"/>
    </w:lvlOverride>
    <w:lvlOverride w:ilvl="2">
      <w:startOverride w:val="1"/>
    </w:lvlOverride>
  </w:num>
  <w:num w:numId="38">
    <w:abstractNumId w:val="26"/>
  </w:num>
  <w:num w:numId="39">
    <w:abstractNumId w:val="15"/>
    <w:lvlOverride w:ilvl="0">
      <w:startOverride w:val="5"/>
    </w:lvlOverride>
    <w:lvlOverride w:ilvl="1">
      <w:startOverride w:val="8"/>
    </w:lvlOverride>
    <w:lvlOverride w:ilvl="2">
      <w:startOverride w:val="1"/>
    </w:lvlOverride>
  </w:num>
  <w:num w:numId="40">
    <w:abstractNumId w:val="15"/>
    <w:lvlOverride w:ilvl="0">
      <w:startOverride w:val="5"/>
    </w:lvlOverride>
    <w:lvlOverride w:ilvl="1">
      <w:startOverride w:val="9"/>
    </w:lvlOverride>
    <w:lvlOverride w:ilvl="2">
      <w:startOverride w:val="1"/>
    </w:lvlOverride>
  </w:num>
  <w:num w:numId="41">
    <w:abstractNumId w:val="15"/>
    <w:lvlOverride w:ilvl="0">
      <w:startOverride w:val="6"/>
    </w:lvlOverride>
    <w:lvlOverride w:ilvl="1">
      <w:startOverride w:val="2"/>
    </w:lvlOverride>
    <w:lvlOverride w:ilvl="2">
      <w:startOverride w:val="1"/>
    </w:lvlOverride>
  </w:num>
  <w:num w:numId="42">
    <w:abstractNumId w:val="15"/>
    <w:lvlOverride w:ilvl="0">
      <w:startOverride w:val="7"/>
    </w:lvlOverride>
    <w:lvlOverride w:ilvl="1">
      <w:startOverride w:val="2"/>
    </w:lvlOverride>
    <w:lvlOverride w:ilvl="2">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stylePaneSortMethod w:val="0000"/>
  <w:doNotTrackFormatting/>
  <w:documentProtection w:formatting="1" w:enforcement="0"/>
  <w:defaultTabStop w:val="720"/>
  <w:characterSpacingControl w:val="doNotCompress"/>
  <w:hdrShapeDefaults>
    <o:shapedefaults v:ext="edit" spidmax="2049" style="mso-width-percent:400;mso-height-percent:200;mso-width-relative:margin;mso-height-relative:margin" fillcolor="white">
      <v:fill color="white"/>
      <v:shadow on="t" opacity=".5" offset="6pt,6pt"/>
      <v:textbox style="mso-fit-shape-to-text:t"/>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24"/>
    <w:rsid w:val="0000197C"/>
    <w:rsid w:val="00001C96"/>
    <w:rsid w:val="00001F1B"/>
    <w:rsid w:val="00002759"/>
    <w:rsid w:val="00002E6F"/>
    <w:rsid w:val="00003703"/>
    <w:rsid w:val="00004C9F"/>
    <w:rsid w:val="000066F8"/>
    <w:rsid w:val="00006755"/>
    <w:rsid w:val="000068DA"/>
    <w:rsid w:val="00006D5B"/>
    <w:rsid w:val="00010B35"/>
    <w:rsid w:val="000122E2"/>
    <w:rsid w:val="00012619"/>
    <w:rsid w:val="00012893"/>
    <w:rsid w:val="00013D6F"/>
    <w:rsid w:val="0001525F"/>
    <w:rsid w:val="00015571"/>
    <w:rsid w:val="000155E8"/>
    <w:rsid w:val="00016BA1"/>
    <w:rsid w:val="00017260"/>
    <w:rsid w:val="00020746"/>
    <w:rsid w:val="0002127C"/>
    <w:rsid w:val="00021344"/>
    <w:rsid w:val="000224A7"/>
    <w:rsid w:val="000230B4"/>
    <w:rsid w:val="00023720"/>
    <w:rsid w:val="0002453E"/>
    <w:rsid w:val="00024DAA"/>
    <w:rsid w:val="000256CE"/>
    <w:rsid w:val="00025B5C"/>
    <w:rsid w:val="0002614B"/>
    <w:rsid w:val="00026944"/>
    <w:rsid w:val="00026D39"/>
    <w:rsid w:val="00027F3E"/>
    <w:rsid w:val="0003085A"/>
    <w:rsid w:val="00030EF6"/>
    <w:rsid w:val="000311A3"/>
    <w:rsid w:val="0003123E"/>
    <w:rsid w:val="00031E0B"/>
    <w:rsid w:val="0003271B"/>
    <w:rsid w:val="00032F30"/>
    <w:rsid w:val="0003309A"/>
    <w:rsid w:val="0003464F"/>
    <w:rsid w:val="0003510D"/>
    <w:rsid w:val="000352A1"/>
    <w:rsid w:val="00036115"/>
    <w:rsid w:val="00037829"/>
    <w:rsid w:val="00037AAF"/>
    <w:rsid w:val="00040DA6"/>
    <w:rsid w:val="000417BA"/>
    <w:rsid w:val="00042DB8"/>
    <w:rsid w:val="00043064"/>
    <w:rsid w:val="00043073"/>
    <w:rsid w:val="000435E1"/>
    <w:rsid w:val="00043BCD"/>
    <w:rsid w:val="00044C35"/>
    <w:rsid w:val="00045132"/>
    <w:rsid w:val="000459C1"/>
    <w:rsid w:val="00046BD9"/>
    <w:rsid w:val="000471B6"/>
    <w:rsid w:val="00047390"/>
    <w:rsid w:val="00047E29"/>
    <w:rsid w:val="000503CB"/>
    <w:rsid w:val="00051EFF"/>
    <w:rsid w:val="0005330D"/>
    <w:rsid w:val="00053647"/>
    <w:rsid w:val="00053CF2"/>
    <w:rsid w:val="00054390"/>
    <w:rsid w:val="0005499B"/>
    <w:rsid w:val="00054FC0"/>
    <w:rsid w:val="000552F3"/>
    <w:rsid w:val="000557C0"/>
    <w:rsid w:val="000558A4"/>
    <w:rsid w:val="00055F1A"/>
    <w:rsid w:val="0005639A"/>
    <w:rsid w:val="0005737D"/>
    <w:rsid w:val="00057599"/>
    <w:rsid w:val="00057C59"/>
    <w:rsid w:val="00062214"/>
    <w:rsid w:val="0006288E"/>
    <w:rsid w:val="000631B9"/>
    <w:rsid w:val="000633E7"/>
    <w:rsid w:val="000634AB"/>
    <w:rsid w:val="000636BA"/>
    <w:rsid w:val="00063B53"/>
    <w:rsid w:val="00063D37"/>
    <w:rsid w:val="00064095"/>
    <w:rsid w:val="00064EB1"/>
    <w:rsid w:val="00067614"/>
    <w:rsid w:val="00067776"/>
    <w:rsid w:val="000703A4"/>
    <w:rsid w:val="00070CC4"/>
    <w:rsid w:val="00071430"/>
    <w:rsid w:val="000716BD"/>
    <w:rsid w:val="00071A7D"/>
    <w:rsid w:val="00072B17"/>
    <w:rsid w:val="00072FC4"/>
    <w:rsid w:val="000733D2"/>
    <w:rsid w:val="00073E9C"/>
    <w:rsid w:val="000748EE"/>
    <w:rsid w:val="00074946"/>
    <w:rsid w:val="0007507D"/>
    <w:rsid w:val="00075AAD"/>
    <w:rsid w:val="00081010"/>
    <w:rsid w:val="00082B3C"/>
    <w:rsid w:val="00082BBB"/>
    <w:rsid w:val="00084070"/>
    <w:rsid w:val="00085D38"/>
    <w:rsid w:val="00085E47"/>
    <w:rsid w:val="00087F34"/>
    <w:rsid w:val="00090D44"/>
    <w:rsid w:val="00091355"/>
    <w:rsid w:val="00091409"/>
    <w:rsid w:val="000928A4"/>
    <w:rsid w:val="00092987"/>
    <w:rsid w:val="00093A0F"/>
    <w:rsid w:val="00095236"/>
    <w:rsid w:val="00096163"/>
    <w:rsid w:val="000965D4"/>
    <w:rsid w:val="000974E4"/>
    <w:rsid w:val="000978DD"/>
    <w:rsid w:val="000A0998"/>
    <w:rsid w:val="000A0A10"/>
    <w:rsid w:val="000A1321"/>
    <w:rsid w:val="000A231B"/>
    <w:rsid w:val="000A2CA7"/>
    <w:rsid w:val="000A31A3"/>
    <w:rsid w:val="000A320E"/>
    <w:rsid w:val="000A4DF2"/>
    <w:rsid w:val="000A5BE9"/>
    <w:rsid w:val="000A5F2B"/>
    <w:rsid w:val="000A6901"/>
    <w:rsid w:val="000B00CD"/>
    <w:rsid w:val="000B06AB"/>
    <w:rsid w:val="000B097D"/>
    <w:rsid w:val="000B18D5"/>
    <w:rsid w:val="000B29D5"/>
    <w:rsid w:val="000B3AD8"/>
    <w:rsid w:val="000B3B7D"/>
    <w:rsid w:val="000B419D"/>
    <w:rsid w:val="000B4734"/>
    <w:rsid w:val="000B48D3"/>
    <w:rsid w:val="000B5A44"/>
    <w:rsid w:val="000B5D48"/>
    <w:rsid w:val="000B6187"/>
    <w:rsid w:val="000B66B2"/>
    <w:rsid w:val="000B6BA9"/>
    <w:rsid w:val="000B7712"/>
    <w:rsid w:val="000B7744"/>
    <w:rsid w:val="000BD601"/>
    <w:rsid w:val="000C098F"/>
    <w:rsid w:val="000C1366"/>
    <w:rsid w:val="000C2825"/>
    <w:rsid w:val="000C2E4C"/>
    <w:rsid w:val="000C4FF8"/>
    <w:rsid w:val="000C50A7"/>
    <w:rsid w:val="000C57C7"/>
    <w:rsid w:val="000C5999"/>
    <w:rsid w:val="000C62E0"/>
    <w:rsid w:val="000C6362"/>
    <w:rsid w:val="000C6887"/>
    <w:rsid w:val="000C7444"/>
    <w:rsid w:val="000C7DD4"/>
    <w:rsid w:val="000D039B"/>
    <w:rsid w:val="000D1481"/>
    <w:rsid w:val="000D347D"/>
    <w:rsid w:val="000D35B4"/>
    <w:rsid w:val="000D3E28"/>
    <w:rsid w:val="000D52BD"/>
    <w:rsid w:val="000D5A98"/>
    <w:rsid w:val="000D5E08"/>
    <w:rsid w:val="000D6117"/>
    <w:rsid w:val="000D6972"/>
    <w:rsid w:val="000D7F92"/>
    <w:rsid w:val="000E00F2"/>
    <w:rsid w:val="000E023A"/>
    <w:rsid w:val="000E092B"/>
    <w:rsid w:val="000E0DE0"/>
    <w:rsid w:val="000E1608"/>
    <w:rsid w:val="000E1683"/>
    <w:rsid w:val="000E16C1"/>
    <w:rsid w:val="000E291E"/>
    <w:rsid w:val="000E297A"/>
    <w:rsid w:val="000E29F4"/>
    <w:rsid w:val="000E3593"/>
    <w:rsid w:val="000E35AA"/>
    <w:rsid w:val="000E3A69"/>
    <w:rsid w:val="000E43E9"/>
    <w:rsid w:val="000E4A18"/>
    <w:rsid w:val="000E569C"/>
    <w:rsid w:val="000E57B4"/>
    <w:rsid w:val="000E57E7"/>
    <w:rsid w:val="000E6941"/>
    <w:rsid w:val="000E6E8A"/>
    <w:rsid w:val="000E7042"/>
    <w:rsid w:val="000E7B1E"/>
    <w:rsid w:val="000F0498"/>
    <w:rsid w:val="000F098A"/>
    <w:rsid w:val="000F0EC7"/>
    <w:rsid w:val="000F1602"/>
    <w:rsid w:val="000F1BC1"/>
    <w:rsid w:val="000F283D"/>
    <w:rsid w:val="000F2B39"/>
    <w:rsid w:val="000F2BF8"/>
    <w:rsid w:val="000F305A"/>
    <w:rsid w:val="000F336F"/>
    <w:rsid w:val="000F46FE"/>
    <w:rsid w:val="000F4E3D"/>
    <w:rsid w:val="000F6B0B"/>
    <w:rsid w:val="000F6C47"/>
    <w:rsid w:val="000F7244"/>
    <w:rsid w:val="00100C7E"/>
    <w:rsid w:val="00100EFE"/>
    <w:rsid w:val="00101860"/>
    <w:rsid w:val="00101E1C"/>
    <w:rsid w:val="00102BCF"/>
    <w:rsid w:val="00102EBD"/>
    <w:rsid w:val="00103E42"/>
    <w:rsid w:val="00106897"/>
    <w:rsid w:val="00106B46"/>
    <w:rsid w:val="00107550"/>
    <w:rsid w:val="00107713"/>
    <w:rsid w:val="00107AA3"/>
    <w:rsid w:val="00107E21"/>
    <w:rsid w:val="0011054F"/>
    <w:rsid w:val="00113655"/>
    <w:rsid w:val="001144F3"/>
    <w:rsid w:val="00115485"/>
    <w:rsid w:val="00115B32"/>
    <w:rsid w:val="00115DBB"/>
    <w:rsid w:val="00115F62"/>
    <w:rsid w:val="001166E8"/>
    <w:rsid w:val="001169E8"/>
    <w:rsid w:val="00117154"/>
    <w:rsid w:val="00117611"/>
    <w:rsid w:val="0011770F"/>
    <w:rsid w:val="00117931"/>
    <w:rsid w:val="00117CAB"/>
    <w:rsid w:val="00122231"/>
    <w:rsid w:val="00122424"/>
    <w:rsid w:val="00122F31"/>
    <w:rsid w:val="001232BC"/>
    <w:rsid w:val="001233DD"/>
    <w:rsid w:val="00123983"/>
    <w:rsid w:val="001251B3"/>
    <w:rsid w:val="00125CAF"/>
    <w:rsid w:val="001269A4"/>
    <w:rsid w:val="001269FB"/>
    <w:rsid w:val="001272CF"/>
    <w:rsid w:val="00127CAC"/>
    <w:rsid w:val="00130329"/>
    <w:rsid w:val="00130C44"/>
    <w:rsid w:val="00130C9A"/>
    <w:rsid w:val="00131649"/>
    <w:rsid w:val="0013165F"/>
    <w:rsid w:val="00131E4F"/>
    <w:rsid w:val="00133A64"/>
    <w:rsid w:val="00134C25"/>
    <w:rsid w:val="00134C36"/>
    <w:rsid w:val="00136897"/>
    <w:rsid w:val="001372CD"/>
    <w:rsid w:val="00140C16"/>
    <w:rsid w:val="001411B0"/>
    <w:rsid w:val="00141795"/>
    <w:rsid w:val="0014181A"/>
    <w:rsid w:val="00141959"/>
    <w:rsid w:val="00141E36"/>
    <w:rsid w:val="0014202D"/>
    <w:rsid w:val="00142254"/>
    <w:rsid w:val="00142688"/>
    <w:rsid w:val="00142B49"/>
    <w:rsid w:val="00143B37"/>
    <w:rsid w:val="00143D15"/>
    <w:rsid w:val="001454DF"/>
    <w:rsid w:val="0014621E"/>
    <w:rsid w:val="0014678C"/>
    <w:rsid w:val="00146915"/>
    <w:rsid w:val="00146B70"/>
    <w:rsid w:val="0014702E"/>
    <w:rsid w:val="00150842"/>
    <w:rsid w:val="00150A7E"/>
    <w:rsid w:val="0015166B"/>
    <w:rsid w:val="00151AA5"/>
    <w:rsid w:val="00151E71"/>
    <w:rsid w:val="0015297C"/>
    <w:rsid w:val="00152A48"/>
    <w:rsid w:val="00153AD9"/>
    <w:rsid w:val="00153F61"/>
    <w:rsid w:val="0015580A"/>
    <w:rsid w:val="00155ADE"/>
    <w:rsid w:val="00155E23"/>
    <w:rsid w:val="0015605C"/>
    <w:rsid w:val="00157345"/>
    <w:rsid w:val="001573DB"/>
    <w:rsid w:val="00157688"/>
    <w:rsid w:val="00157F93"/>
    <w:rsid w:val="0016029D"/>
    <w:rsid w:val="00160506"/>
    <w:rsid w:val="001614AA"/>
    <w:rsid w:val="00161EEF"/>
    <w:rsid w:val="001623A9"/>
    <w:rsid w:val="00162672"/>
    <w:rsid w:val="0016273A"/>
    <w:rsid w:val="001633A2"/>
    <w:rsid w:val="0016381B"/>
    <w:rsid w:val="00164628"/>
    <w:rsid w:val="001672E9"/>
    <w:rsid w:val="001676DF"/>
    <w:rsid w:val="00167E97"/>
    <w:rsid w:val="00171687"/>
    <w:rsid w:val="0017274A"/>
    <w:rsid w:val="0017326D"/>
    <w:rsid w:val="00173554"/>
    <w:rsid w:val="00174BFD"/>
    <w:rsid w:val="00175670"/>
    <w:rsid w:val="00175ECE"/>
    <w:rsid w:val="0017779B"/>
    <w:rsid w:val="00181162"/>
    <w:rsid w:val="00181AE6"/>
    <w:rsid w:val="00182426"/>
    <w:rsid w:val="00183571"/>
    <w:rsid w:val="00183592"/>
    <w:rsid w:val="00183C28"/>
    <w:rsid w:val="001844A0"/>
    <w:rsid w:val="001844B4"/>
    <w:rsid w:val="001848FC"/>
    <w:rsid w:val="00185299"/>
    <w:rsid w:val="00186BB6"/>
    <w:rsid w:val="00190F81"/>
    <w:rsid w:val="00192226"/>
    <w:rsid w:val="00192A87"/>
    <w:rsid w:val="0019395A"/>
    <w:rsid w:val="00193F0B"/>
    <w:rsid w:val="00193F5F"/>
    <w:rsid w:val="001958EF"/>
    <w:rsid w:val="00195B91"/>
    <w:rsid w:val="00196D70"/>
    <w:rsid w:val="00197798"/>
    <w:rsid w:val="001A0192"/>
    <w:rsid w:val="001A0A94"/>
    <w:rsid w:val="001A2398"/>
    <w:rsid w:val="001A3037"/>
    <w:rsid w:val="001A332C"/>
    <w:rsid w:val="001A4278"/>
    <w:rsid w:val="001A440A"/>
    <w:rsid w:val="001A457D"/>
    <w:rsid w:val="001A4889"/>
    <w:rsid w:val="001A5022"/>
    <w:rsid w:val="001A5BC5"/>
    <w:rsid w:val="001A5FED"/>
    <w:rsid w:val="001A69B5"/>
    <w:rsid w:val="001B049F"/>
    <w:rsid w:val="001B09D4"/>
    <w:rsid w:val="001B1128"/>
    <w:rsid w:val="001B1E3B"/>
    <w:rsid w:val="001B28B9"/>
    <w:rsid w:val="001B35E6"/>
    <w:rsid w:val="001B5CD0"/>
    <w:rsid w:val="001B69F4"/>
    <w:rsid w:val="001B6EE7"/>
    <w:rsid w:val="001B79AB"/>
    <w:rsid w:val="001C024C"/>
    <w:rsid w:val="001C09A5"/>
    <w:rsid w:val="001C09F4"/>
    <w:rsid w:val="001C128E"/>
    <w:rsid w:val="001C1788"/>
    <w:rsid w:val="001C18BB"/>
    <w:rsid w:val="001C20B9"/>
    <w:rsid w:val="001C25DE"/>
    <w:rsid w:val="001C2616"/>
    <w:rsid w:val="001C3287"/>
    <w:rsid w:val="001C3BE2"/>
    <w:rsid w:val="001C45F4"/>
    <w:rsid w:val="001C5462"/>
    <w:rsid w:val="001C6DA9"/>
    <w:rsid w:val="001C6F21"/>
    <w:rsid w:val="001C7BC5"/>
    <w:rsid w:val="001D034C"/>
    <w:rsid w:val="001D0392"/>
    <w:rsid w:val="001D1664"/>
    <w:rsid w:val="001D2B31"/>
    <w:rsid w:val="001D2F8F"/>
    <w:rsid w:val="001D376F"/>
    <w:rsid w:val="001D4402"/>
    <w:rsid w:val="001D4981"/>
    <w:rsid w:val="001D4E38"/>
    <w:rsid w:val="001D5120"/>
    <w:rsid w:val="001D5593"/>
    <w:rsid w:val="001D5E32"/>
    <w:rsid w:val="001D60A1"/>
    <w:rsid w:val="001D61D6"/>
    <w:rsid w:val="001D6D03"/>
    <w:rsid w:val="001D7106"/>
    <w:rsid w:val="001D764B"/>
    <w:rsid w:val="001D7D7E"/>
    <w:rsid w:val="001E05CD"/>
    <w:rsid w:val="001E0CB3"/>
    <w:rsid w:val="001E0EF7"/>
    <w:rsid w:val="001E0F88"/>
    <w:rsid w:val="001E2A9E"/>
    <w:rsid w:val="001E2F72"/>
    <w:rsid w:val="001E363A"/>
    <w:rsid w:val="001E3958"/>
    <w:rsid w:val="001E3988"/>
    <w:rsid w:val="001E43BD"/>
    <w:rsid w:val="001E461A"/>
    <w:rsid w:val="001E5E43"/>
    <w:rsid w:val="001E662D"/>
    <w:rsid w:val="001E670F"/>
    <w:rsid w:val="001E732F"/>
    <w:rsid w:val="001F02DE"/>
    <w:rsid w:val="001F03DE"/>
    <w:rsid w:val="001F0E26"/>
    <w:rsid w:val="001F131B"/>
    <w:rsid w:val="001F15D6"/>
    <w:rsid w:val="001F20B7"/>
    <w:rsid w:val="001F2D00"/>
    <w:rsid w:val="001F2EAF"/>
    <w:rsid w:val="001F4168"/>
    <w:rsid w:val="001F4A9F"/>
    <w:rsid w:val="001F55E6"/>
    <w:rsid w:val="001F58EC"/>
    <w:rsid w:val="001F7364"/>
    <w:rsid w:val="00200777"/>
    <w:rsid w:val="00200F28"/>
    <w:rsid w:val="0020136C"/>
    <w:rsid w:val="00202384"/>
    <w:rsid w:val="002027A5"/>
    <w:rsid w:val="0020321C"/>
    <w:rsid w:val="0020343C"/>
    <w:rsid w:val="00204220"/>
    <w:rsid w:val="002046B9"/>
    <w:rsid w:val="0020496B"/>
    <w:rsid w:val="00204C14"/>
    <w:rsid w:val="0020523C"/>
    <w:rsid w:val="00205898"/>
    <w:rsid w:val="00206D2F"/>
    <w:rsid w:val="00211CBF"/>
    <w:rsid w:val="00211DD0"/>
    <w:rsid w:val="00211F6A"/>
    <w:rsid w:val="00212C76"/>
    <w:rsid w:val="002130A2"/>
    <w:rsid w:val="00215017"/>
    <w:rsid w:val="002153C7"/>
    <w:rsid w:val="00217066"/>
    <w:rsid w:val="00217AA5"/>
    <w:rsid w:val="00220101"/>
    <w:rsid w:val="00220956"/>
    <w:rsid w:val="00221053"/>
    <w:rsid w:val="002222D2"/>
    <w:rsid w:val="002226CC"/>
    <w:rsid w:val="00222EDC"/>
    <w:rsid w:val="002243E7"/>
    <w:rsid w:val="002244E1"/>
    <w:rsid w:val="002246A6"/>
    <w:rsid w:val="00224755"/>
    <w:rsid w:val="00224804"/>
    <w:rsid w:val="00224AA0"/>
    <w:rsid w:val="00224CD0"/>
    <w:rsid w:val="00225D1D"/>
    <w:rsid w:val="0022647F"/>
    <w:rsid w:val="00226EDE"/>
    <w:rsid w:val="0022740C"/>
    <w:rsid w:val="0022741E"/>
    <w:rsid w:val="00227AE0"/>
    <w:rsid w:val="0023027D"/>
    <w:rsid w:val="00230A3E"/>
    <w:rsid w:val="002319FA"/>
    <w:rsid w:val="002323A9"/>
    <w:rsid w:val="00232B2D"/>
    <w:rsid w:val="00233355"/>
    <w:rsid w:val="0023346E"/>
    <w:rsid w:val="00234C1D"/>
    <w:rsid w:val="00235F4E"/>
    <w:rsid w:val="002364B3"/>
    <w:rsid w:val="00237B36"/>
    <w:rsid w:val="00240538"/>
    <w:rsid w:val="0024058A"/>
    <w:rsid w:val="00240661"/>
    <w:rsid w:val="002409B4"/>
    <w:rsid w:val="00240A9F"/>
    <w:rsid w:val="002419DF"/>
    <w:rsid w:val="0024299C"/>
    <w:rsid w:val="00243B80"/>
    <w:rsid w:val="00244E38"/>
    <w:rsid w:val="00245173"/>
    <w:rsid w:val="002451F8"/>
    <w:rsid w:val="002455AF"/>
    <w:rsid w:val="00245FB2"/>
    <w:rsid w:val="00245FD6"/>
    <w:rsid w:val="002460C7"/>
    <w:rsid w:val="002474B5"/>
    <w:rsid w:val="00247805"/>
    <w:rsid w:val="00247C78"/>
    <w:rsid w:val="00250743"/>
    <w:rsid w:val="00251250"/>
    <w:rsid w:val="00252408"/>
    <w:rsid w:val="00253B61"/>
    <w:rsid w:val="00253CE5"/>
    <w:rsid w:val="002540B0"/>
    <w:rsid w:val="00255A14"/>
    <w:rsid w:val="00255F96"/>
    <w:rsid w:val="0025604E"/>
    <w:rsid w:val="00256C70"/>
    <w:rsid w:val="00256CC5"/>
    <w:rsid w:val="00257324"/>
    <w:rsid w:val="002577F6"/>
    <w:rsid w:val="00261865"/>
    <w:rsid w:val="00261A6E"/>
    <w:rsid w:val="00262653"/>
    <w:rsid w:val="002628B1"/>
    <w:rsid w:val="00262949"/>
    <w:rsid w:val="00262EB6"/>
    <w:rsid w:val="00263338"/>
    <w:rsid w:val="0026362C"/>
    <w:rsid w:val="00264074"/>
    <w:rsid w:val="0026453F"/>
    <w:rsid w:val="00264C8F"/>
    <w:rsid w:val="0026521A"/>
    <w:rsid w:val="00265CD5"/>
    <w:rsid w:val="00265CE5"/>
    <w:rsid w:val="00265D62"/>
    <w:rsid w:val="00266DA3"/>
    <w:rsid w:val="002676D8"/>
    <w:rsid w:val="00267A32"/>
    <w:rsid w:val="00267C09"/>
    <w:rsid w:val="00273BFE"/>
    <w:rsid w:val="002741A3"/>
    <w:rsid w:val="00274765"/>
    <w:rsid w:val="00275D66"/>
    <w:rsid w:val="00275D7E"/>
    <w:rsid w:val="00275F26"/>
    <w:rsid w:val="00277967"/>
    <w:rsid w:val="00280411"/>
    <w:rsid w:val="002804F7"/>
    <w:rsid w:val="002817E9"/>
    <w:rsid w:val="0028258F"/>
    <w:rsid w:val="00282ABA"/>
    <w:rsid w:val="002837A8"/>
    <w:rsid w:val="00283E07"/>
    <w:rsid w:val="00284131"/>
    <w:rsid w:val="00285095"/>
    <w:rsid w:val="00285A03"/>
    <w:rsid w:val="00285AD8"/>
    <w:rsid w:val="00285B3E"/>
    <w:rsid w:val="002863DB"/>
    <w:rsid w:val="0028646B"/>
    <w:rsid w:val="00286675"/>
    <w:rsid w:val="002868FD"/>
    <w:rsid w:val="00287493"/>
    <w:rsid w:val="0028766C"/>
    <w:rsid w:val="0029023E"/>
    <w:rsid w:val="0029266D"/>
    <w:rsid w:val="0029328F"/>
    <w:rsid w:val="002939CB"/>
    <w:rsid w:val="00293B66"/>
    <w:rsid w:val="00293B6E"/>
    <w:rsid w:val="00293D65"/>
    <w:rsid w:val="00293F67"/>
    <w:rsid w:val="002941AC"/>
    <w:rsid w:val="0029517E"/>
    <w:rsid w:val="00296086"/>
    <w:rsid w:val="00296209"/>
    <w:rsid w:val="00296A28"/>
    <w:rsid w:val="002971EE"/>
    <w:rsid w:val="002973A5"/>
    <w:rsid w:val="002A00D9"/>
    <w:rsid w:val="002A1566"/>
    <w:rsid w:val="002A1F14"/>
    <w:rsid w:val="002A1FC3"/>
    <w:rsid w:val="002A3A5A"/>
    <w:rsid w:val="002A43AD"/>
    <w:rsid w:val="002A4CD3"/>
    <w:rsid w:val="002A4E98"/>
    <w:rsid w:val="002A6EE0"/>
    <w:rsid w:val="002A7148"/>
    <w:rsid w:val="002A724C"/>
    <w:rsid w:val="002A75D2"/>
    <w:rsid w:val="002B0700"/>
    <w:rsid w:val="002B0B34"/>
    <w:rsid w:val="002B0BE0"/>
    <w:rsid w:val="002B2036"/>
    <w:rsid w:val="002B2D2F"/>
    <w:rsid w:val="002B3817"/>
    <w:rsid w:val="002B3AE7"/>
    <w:rsid w:val="002B3F0D"/>
    <w:rsid w:val="002B42DD"/>
    <w:rsid w:val="002B4425"/>
    <w:rsid w:val="002B47DB"/>
    <w:rsid w:val="002B53E7"/>
    <w:rsid w:val="002B6775"/>
    <w:rsid w:val="002B6BB5"/>
    <w:rsid w:val="002B77F9"/>
    <w:rsid w:val="002B7D20"/>
    <w:rsid w:val="002B7E8D"/>
    <w:rsid w:val="002B7FCD"/>
    <w:rsid w:val="002C0AE2"/>
    <w:rsid w:val="002C0FD4"/>
    <w:rsid w:val="002C149E"/>
    <w:rsid w:val="002C1B35"/>
    <w:rsid w:val="002C254B"/>
    <w:rsid w:val="002C2C1C"/>
    <w:rsid w:val="002C40EB"/>
    <w:rsid w:val="002C5DCC"/>
    <w:rsid w:val="002C6642"/>
    <w:rsid w:val="002C725D"/>
    <w:rsid w:val="002C7756"/>
    <w:rsid w:val="002C793F"/>
    <w:rsid w:val="002C7B95"/>
    <w:rsid w:val="002C7CD2"/>
    <w:rsid w:val="002D02E0"/>
    <w:rsid w:val="002D048F"/>
    <w:rsid w:val="002D0793"/>
    <w:rsid w:val="002D0F0D"/>
    <w:rsid w:val="002D14BD"/>
    <w:rsid w:val="002D22B3"/>
    <w:rsid w:val="002D3F1C"/>
    <w:rsid w:val="002D40FF"/>
    <w:rsid w:val="002D4F84"/>
    <w:rsid w:val="002D5C59"/>
    <w:rsid w:val="002E02BD"/>
    <w:rsid w:val="002E0844"/>
    <w:rsid w:val="002E0F7F"/>
    <w:rsid w:val="002E110A"/>
    <w:rsid w:val="002E29D1"/>
    <w:rsid w:val="002E2FF4"/>
    <w:rsid w:val="002E3B0C"/>
    <w:rsid w:val="002E3BFB"/>
    <w:rsid w:val="002E3BFE"/>
    <w:rsid w:val="002E4A1F"/>
    <w:rsid w:val="002E78C5"/>
    <w:rsid w:val="002E7E9A"/>
    <w:rsid w:val="002F0963"/>
    <w:rsid w:val="002F10DF"/>
    <w:rsid w:val="002F1EB1"/>
    <w:rsid w:val="002F27A0"/>
    <w:rsid w:val="002F362E"/>
    <w:rsid w:val="002F3DEE"/>
    <w:rsid w:val="002F4942"/>
    <w:rsid w:val="002F5219"/>
    <w:rsid w:val="002F6DE8"/>
    <w:rsid w:val="002F702D"/>
    <w:rsid w:val="002F7736"/>
    <w:rsid w:val="002F79F9"/>
    <w:rsid w:val="003016E6"/>
    <w:rsid w:val="00302747"/>
    <w:rsid w:val="00303B9A"/>
    <w:rsid w:val="00304553"/>
    <w:rsid w:val="00305F5B"/>
    <w:rsid w:val="00306E8D"/>
    <w:rsid w:val="003105F4"/>
    <w:rsid w:val="0031124B"/>
    <w:rsid w:val="00311E2A"/>
    <w:rsid w:val="00312986"/>
    <w:rsid w:val="00312B40"/>
    <w:rsid w:val="0031354A"/>
    <w:rsid w:val="003142CA"/>
    <w:rsid w:val="00314522"/>
    <w:rsid w:val="00315216"/>
    <w:rsid w:val="00315770"/>
    <w:rsid w:val="0031622A"/>
    <w:rsid w:val="00316E8F"/>
    <w:rsid w:val="00317DF8"/>
    <w:rsid w:val="00320DFB"/>
    <w:rsid w:val="0032170A"/>
    <w:rsid w:val="003219E6"/>
    <w:rsid w:val="00322783"/>
    <w:rsid w:val="00322D48"/>
    <w:rsid w:val="00323573"/>
    <w:rsid w:val="00323E59"/>
    <w:rsid w:val="003240A8"/>
    <w:rsid w:val="00324B22"/>
    <w:rsid w:val="00324E35"/>
    <w:rsid w:val="0032508D"/>
    <w:rsid w:val="003258A2"/>
    <w:rsid w:val="00327C90"/>
    <w:rsid w:val="00330A3A"/>
    <w:rsid w:val="00330E70"/>
    <w:rsid w:val="003323B2"/>
    <w:rsid w:val="00332C25"/>
    <w:rsid w:val="00332DB7"/>
    <w:rsid w:val="003334F1"/>
    <w:rsid w:val="00333A9F"/>
    <w:rsid w:val="00333E97"/>
    <w:rsid w:val="00334D22"/>
    <w:rsid w:val="00336B21"/>
    <w:rsid w:val="00336C97"/>
    <w:rsid w:val="0034146A"/>
    <w:rsid w:val="003424F6"/>
    <w:rsid w:val="003440B7"/>
    <w:rsid w:val="00344C83"/>
    <w:rsid w:val="0034563F"/>
    <w:rsid w:val="0034655F"/>
    <w:rsid w:val="003469C2"/>
    <w:rsid w:val="00347A9E"/>
    <w:rsid w:val="00347D93"/>
    <w:rsid w:val="00350BBE"/>
    <w:rsid w:val="00350DE9"/>
    <w:rsid w:val="00350EAC"/>
    <w:rsid w:val="00352126"/>
    <w:rsid w:val="00352167"/>
    <w:rsid w:val="003528E0"/>
    <w:rsid w:val="00352C9A"/>
    <w:rsid w:val="00353474"/>
    <w:rsid w:val="00353933"/>
    <w:rsid w:val="00353AE8"/>
    <w:rsid w:val="00354220"/>
    <w:rsid w:val="0035562E"/>
    <w:rsid w:val="00355AF7"/>
    <w:rsid w:val="003565BF"/>
    <w:rsid w:val="00357D1F"/>
    <w:rsid w:val="00360398"/>
    <w:rsid w:val="003607D2"/>
    <w:rsid w:val="00360AF5"/>
    <w:rsid w:val="00360CB2"/>
    <w:rsid w:val="003611F2"/>
    <w:rsid w:val="00361699"/>
    <w:rsid w:val="00361774"/>
    <w:rsid w:val="00361CFA"/>
    <w:rsid w:val="003620F8"/>
    <w:rsid w:val="00362B0E"/>
    <w:rsid w:val="00363A1A"/>
    <w:rsid w:val="00364F88"/>
    <w:rsid w:val="0036643E"/>
    <w:rsid w:val="003671ED"/>
    <w:rsid w:val="00367A03"/>
    <w:rsid w:val="00367AB8"/>
    <w:rsid w:val="003700C9"/>
    <w:rsid w:val="0037047C"/>
    <w:rsid w:val="003716E6"/>
    <w:rsid w:val="00371C50"/>
    <w:rsid w:val="003728A2"/>
    <w:rsid w:val="00372DA1"/>
    <w:rsid w:val="00373124"/>
    <w:rsid w:val="0037341F"/>
    <w:rsid w:val="003737B1"/>
    <w:rsid w:val="003743F5"/>
    <w:rsid w:val="00375FCA"/>
    <w:rsid w:val="003762F4"/>
    <w:rsid w:val="00376734"/>
    <w:rsid w:val="00376A38"/>
    <w:rsid w:val="003777A3"/>
    <w:rsid w:val="00377ACE"/>
    <w:rsid w:val="00377C5A"/>
    <w:rsid w:val="0038145E"/>
    <w:rsid w:val="00381EE9"/>
    <w:rsid w:val="003820B3"/>
    <w:rsid w:val="00382386"/>
    <w:rsid w:val="00383309"/>
    <w:rsid w:val="00383D8F"/>
    <w:rsid w:val="00383EE4"/>
    <w:rsid w:val="00384FFF"/>
    <w:rsid w:val="0038523B"/>
    <w:rsid w:val="00385326"/>
    <w:rsid w:val="00385DA0"/>
    <w:rsid w:val="0038627D"/>
    <w:rsid w:val="003873B1"/>
    <w:rsid w:val="00387924"/>
    <w:rsid w:val="003917CA"/>
    <w:rsid w:val="00391964"/>
    <w:rsid w:val="0039198B"/>
    <w:rsid w:val="003923AE"/>
    <w:rsid w:val="00392B7C"/>
    <w:rsid w:val="00394280"/>
    <w:rsid w:val="00395789"/>
    <w:rsid w:val="00395F4F"/>
    <w:rsid w:val="00397AE9"/>
    <w:rsid w:val="003A0121"/>
    <w:rsid w:val="003A070D"/>
    <w:rsid w:val="003A19E1"/>
    <w:rsid w:val="003A1CBF"/>
    <w:rsid w:val="003A239B"/>
    <w:rsid w:val="003A27C0"/>
    <w:rsid w:val="003A2833"/>
    <w:rsid w:val="003A2991"/>
    <w:rsid w:val="003A35FD"/>
    <w:rsid w:val="003A396E"/>
    <w:rsid w:val="003A4D1C"/>
    <w:rsid w:val="003A5352"/>
    <w:rsid w:val="003A5E32"/>
    <w:rsid w:val="003A6227"/>
    <w:rsid w:val="003A6863"/>
    <w:rsid w:val="003A78A3"/>
    <w:rsid w:val="003A7E53"/>
    <w:rsid w:val="003B02AE"/>
    <w:rsid w:val="003B0733"/>
    <w:rsid w:val="003B0831"/>
    <w:rsid w:val="003B08CD"/>
    <w:rsid w:val="003B0E7D"/>
    <w:rsid w:val="003B122F"/>
    <w:rsid w:val="003B179F"/>
    <w:rsid w:val="003B2F45"/>
    <w:rsid w:val="003B373D"/>
    <w:rsid w:val="003B4391"/>
    <w:rsid w:val="003B46B9"/>
    <w:rsid w:val="003B49B0"/>
    <w:rsid w:val="003B4C2F"/>
    <w:rsid w:val="003B51C4"/>
    <w:rsid w:val="003B60F5"/>
    <w:rsid w:val="003B6D8A"/>
    <w:rsid w:val="003B7892"/>
    <w:rsid w:val="003C05D5"/>
    <w:rsid w:val="003C1C65"/>
    <w:rsid w:val="003C1DB9"/>
    <w:rsid w:val="003C3196"/>
    <w:rsid w:val="003C3A2F"/>
    <w:rsid w:val="003C3F0F"/>
    <w:rsid w:val="003C44C4"/>
    <w:rsid w:val="003C4F53"/>
    <w:rsid w:val="003C6314"/>
    <w:rsid w:val="003C63F7"/>
    <w:rsid w:val="003C648E"/>
    <w:rsid w:val="003C652F"/>
    <w:rsid w:val="003C65C0"/>
    <w:rsid w:val="003C67F8"/>
    <w:rsid w:val="003C6BD5"/>
    <w:rsid w:val="003D0478"/>
    <w:rsid w:val="003D07B9"/>
    <w:rsid w:val="003D0C93"/>
    <w:rsid w:val="003D1031"/>
    <w:rsid w:val="003D150E"/>
    <w:rsid w:val="003D1569"/>
    <w:rsid w:val="003D2C36"/>
    <w:rsid w:val="003D2E68"/>
    <w:rsid w:val="003D32C3"/>
    <w:rsid w:val="003D35D8"/>
    <w:rsid w:val="003D38F7"/>
    <w:rsid w:val="003D4563"/>
    <w:rsid w:val="003D46CC"/>
    <w:rsid w:val="003D492B"/>
    <w:rsid w:val="003D4AEC"/>
    <w:rsid w:val="003D4E6D"/>
    <w:rsid w:val="003D53E0"/>
    <w:rsid w:val="003D55DE"/>
    <w:rsid w:val="003D57DB"/>
    <w:rsid w:val="003D59C8"/>
    <w:rsid w:val="003D6171"/>
    <w:rsid w:val="003D6A08"/>
    <w:rsid w:val="003D6B58"/>
    <w:rsid w:val="003D740E"/>
    <w:rsid w:val="003E02CD"/>
    <w:rsid w:val="003E0BED"/>
    <w:rsid w:val="003E1352"/>
    <w:rsid w:val="003E1B91"/>
    <w:rsid w:val="003E1C78"/>
    <w:rsid w:val="003E2844"/>
    <w:rsid w:val="003E301C"/>
    <w:rsid w:val="003E35F0"/>
    <w:rsid w:val="003E4237"/>
    <w:rsid w:val="003E423D"/>
    <w:rsid w:val="003E5CEE"/>
    <w:rsid w:val="003E7377"/>
    <w:rsid w:val="003E73B5"/>
    <w:rsid w:val="003E7405"/>
    <w:rsid w:val="003E7433"/>
    <w:rsid w:val="003E78CC"/>
    <w:rsid w:val="003E799F"/>
    <w:rsid w:val="003F04A7"/>
    <w:rsid w:val="003F0C4D"/>
    <w:rsid w:val="003F2631"/>
    <w:rsid w:val="003F29F6"/>
    <w:rsid w:val="003F2D29"/>
    <w:rsid w:val="003F3A02"/>
    <w:rsid w:val="003F3C9E"/>
    <w:rsid w:val="003F3E1A"/>
    <w:rsid w:val="003F3F1B"/>
    <w:rsid w:val="003F449C"/>
    <w:rsid w:val="003F455A"/>
    <w:rsid w:val="003F456F"/>
    <w:rsid w:val="003F4A01"/>
    <w:rsid w:val="003F54B1"/>
    <w:rsid w:val="003F56C8"/>
    <w:rsid w:val="003F58E9"/>
    <w:rsid w:val="003F69D0"/>
    <w:rsid w:val="003F6A2B"/>
    <w:rsid w:val="004001F2"/>
    <w:rsid w:val="00402484"/>
    <w:rsid w:val="004029B9"/>
    <w:rsid w:val="004031BF"/>
    <w:rsid w:val="00403593"/>
    <w:rsid w:val="00403E99"/>
    <w:rsid w:val="0040490D"/>
    <w:rsid w:val="0040579E"/>
    <w:rsid w:val="00405D3C"/>
    <w:rsid w:val="00405D3F"/>
    <w:rsid w:val="00405E71"/>
    <w:rsid w:val="004062E4"/>
    <w:rsid w:val="004063D7"/>
    <w:rsid w:val="00407046"/>
    <w:rsid w:val="0040713D"/>
    <w:rsid w:val="0040749E"/>
    <w:rsid w:val="004079A5"/>
    <w:rsid w:val="00407F00"/>
    <w:rsid w:val="00411213"/>
    <w:rsid w:val="00412706"/>
    <w:rsid w:val="00412BB5"/>
    <w:rsid w:val="004139F5"/>
    <w:rsid w:val="00414074"/>
    <w:rsid w:val="004142F7"/>
    <w:rsid w:val="004168D9"/>
    <w:rsid w:val="00416C8B"/>
    <w:rsid w:val="004177C7"/>
    <w:rsid w:val="00417AF9"/>
    <w:rsid w:val="004200D4"/>
    <w:rsid w:val="00420322"/>
    <w:rsid w:val="00420FA2"/>
    <w:rsid w:val="004210EB"/>
    <w:rsid w:val="0042209D"/>
    <w:rsid w:val="0042241E"/>
    <w:rsid w:val="00422A21"/>
    <w:rsid w:val="00422D3D"/>
    <w:rsid w:val="00423BC4"/>
    <w:rsid w:val="004242A7"/>
    <w:rsid w:val="00425624"/>
    <w:rsid w:val="00426C02"/>
    <w:rsid w:val="00427CE7"/>
    <w:rsid w:val="00430011"/>
    <w:rsid w:val="004301A0"/>
    <w:rsid w:val="00430243"/>
    <w:rsid w:val="004307E2"/>
    <w:rsid w:val="00430818"/>
    <w:rsid w:val="004309BE"/>
    <w:rsid w:val="00430A18"/>
    <w:rsid w:val="00430A48"/>
    <w:rsid w:val="00431968"/>
    <w:rsid w:val="00431FBB"/>
    <w:rsid w:val="004323FD"/>
    <w:rsid w:val="00432703"/>
    <w:rsid w:val="00432C1A"/>
    <w:rsid w:val="0043764A"/>
    <w:rsid w:val="004378CD"/>
    <w:rsid w:val="00440494"/>
    <w:rsid w:val="00440F07"/>
    <w:rsid w:val="004411E1"/>
    <w:rsid w:val="00442382"/>
    <w:rsid w:val="004425A3"/>
    <w:rsid w:val="004432CF"/>
    <w:rsid w:val="00444A0F"/>
    <w:rsid w:val="0044610A"/>
    <w:rsid w:val="0044792B"/>
    <w:rsid w:val="00447CAF"/>
    <w:rsid w:val="00447DD3"/>
    <w:rsid w:val="004504D3"/>
    <w:rsid w:val="0045063E"/>
    <w:rsid w:val="00452C14"/>
    <w:rsid w:val="00452C5E"/>
    <w:rsid w:val="00453B14"/>
    <w:rsid w:val="00454BC3"/>
    <w:rsid w:val="004561A2"/>
    <w:rsid w:val="0045625F"/>
    <w:rsid w:val="00456891"/>
    <w:rsid w:val="00457753"/>
    <w:rsid w:val="004608C7"/>
    <w:rsid w:val="00460E92"/>
    <w:rsid w:val="004619F0"/>
    <w:rsid w:val="00461BD4"/>
    <w:rsid w:val="00461DA0"/>
    <w:rsid w:val="00461DCF"/>
    <w:rsid w:val="004624BB"/>
    <w:rsid w:val="00462CF0"/>
    <w:rsid w:val="004632B7"/>
    <w:rsid w:val="0046420B"/>
    <w:rsid w:val="004642D9"/>
    <w:rsid w:val="0046452F"/>
    <w:rsid w:val="00464850"/>
    <w:rsid w:val="00464867"/>
    <w:rsid w:val="00465548"/>
    <w:rsid w:val="00465B4D"/>
    <w:rsid w:val="00466639"/>
    <w:rsid w:val="00466C30"/>
    <w:rsid w:val="00470307"/>
    <w:rsid w:val="00470608"/>
    <w:rsid w:val="004709F4"/>
    <w:rsid w:val="00470AB0"/>
    <w:rsid w:val="00470D83"/>
    <w:rsid w:val="0047347B"/>
    <w:rsid w:val="004736C7"/>
    <w:rsid w:val="004746DC"/>
    <w:rsid w:val="00475617"/>
    <w:rsid w:val="00475874"/>
    <w:rsid w:val="00476184"/>
    <w:rsid w:val="00476575"/>
    <w:rsid w:val="00477BF5"/>
    <w:rsid w:val="004803C1"/>
    <w:rsid w:val="00480E5E"/>
    <w:rsid w:val="004815A6"/>
    <w:rsid w:val="004823BA"/>
    <w:rsid w:val="00484846"/>
    <w:rsid w:val="004853D9"/>
    <w:rsid w:val="0048589E"/>
    <w:rsid w:val="00485CA0"/>
    <w:rsid w:val="00486124"/>
    <w:rsid w:val="00486178"/>
    <w:rsid w:val="004864E6"/>
    <w:rsid w:val="00486790"/>
    <w:rsid w:val="00490A2F"/>
    <w:rsid w:val="00490D69"/>
    <w:rsid w:val="00490E5E"/>
    <w:rsid w:val="00492400"/>
    <w:rsid w:val="0049251D"/>
    <w:rsid w:val="004928CE"/>
    <w:rsid w:val="00492AFA"/>
    <w:rsid w:val="0049386B"/>
    <w:rsid w:val="00493D27"/>
    <w:rsid w:val="00494400"/>
    <w:rsid w:val="0049611B"/>
    <w:rsid w:val="004962BA"/>
    <w:rsid w:val="00497081"/>
    <w:rsid w:val="004973F9"/>
    <w:rsid w:val="00497526"/>
    <w:rsid w:val="004A0831"/>
    <w:rsid w:val="004A08E9"/>
    <w:rsid w:val="004A0CF9"/>
    <w:rsid w:val="004A2078"/>
    <w:rsid w:val="004A2474"/>
    <w:rsid w:val="004A264E"/>
    <w:rsid w:val="004A2B59"/>
    <w:rsid w:val="004A4140"/>
    <w:rsid w:val="004A4879"/>
    <w:rsid w:val="004A55ED"/>
    <w:rsid w:val="004A56CE"/>
    <w:rsid w:val="004A572B"/>
    <w:rsid w:val="004A616E"/>
    <w:rsid w:val="004A663E"/>
    <w:rsid w:val="004A6F18"/>
    <w:rsid w:val="004A702D"/>
    <w:rsid w:val="004B0A36"/>
    <w:rsid w:val="004B0DE3"/>
    <w:rsid w:val="004B2AC2"/>
    <w:rsid w:val="004B3581"/>
    <w:rsid w:val="004B3EAE"/>
    <w:rsid w:val="004B485D"/>
    <w:rsid w:val="004B4D34"/>
    <w:rsid w:val="004B5930"/>
    <w:rsid w:val="004B6D47"/>
    <w:rsid w:val="004C081A"/>
    <w:rsid w:val="004C0EC8"/>
    <w:rsid w:val="004C1712"/>
    <w:rsid w:val="004C17AE"/>
    <w:rsid w:val="004C1811"/>
    <w:rsid w:val="004C2A18"/>
    <w:rsid w:val="004C451A"/>
    <w:rsid w:val="004C5391"/>
    <w:rsid w:val="004C6097"/>
    <w:rsid w:val="004C6C53"/>
    <w:rsid w:val="004C6F6F"/>
    <w:rsid w:val="004C71E4"/>
    <w:rsid w:val="004C75A6"/>
    <w:rsid w:val="004D04F4"/>
    <w:rsid w:val="004D2118"/>
    <w:rsid w:val="004D2AE3"/>
    <w:rsid w:val="004D2DC0"/>
    <w:rsid w:val="004D3865"/>
    <w:rsid w:val="004D393A"/>
    <w:rsid w:val="004D3E65"/>
    <w:rsid w:val="004D436A"/>
    <w:rsid w:val="004D4B87"/>
    <w:rsid w:val="004D5265"/>
    <w:rsid w:val="004D55AD"/>
    <w:rsid w:val="004D7119"/>
    <w:rsid w:val="004D755E"/>
    <w:rsid w:val="004D7918"/>
    <w:rsid w:val="004D7C2B"/>
    <w:rsid w:val="004E09AD"/>
    <w:rsid w:val="004E0BA6"/>
    <w:rsid w:val="004E1B45"/>
    <w:rsid w:val="004E1B82"/>
    <w:rsid w:val="004E1C9A"/>
    <w:rsid w:val="004E25D3"/>
    <w:rsid w:val="004E302C"/>
    <w:rsid w:val="004E3321"/>
    <w:rsid w:val="004E3CA2"/>
    <w:rsid w:val="004E3F3D"/>
    <w:rsid w:val="004E4DAB"/>
    <w:rsid w:val="004E4E81"/>
    <w:rsid w:val="004E5604"/>
    <w:rsid w:val="004E5F1A"/>
    <w:rsid w:val="004E6259"/>
    <w:rsid w:val="004E7C0C"/>
    <w:rsid w:val="004F071D"/>
    <w:rsid w:val="004F1731"/>
    <w:rsid w:val="004F1766"/>
    <w:rsid w:val="004F1906"/>
    <w:rsid w:val="004F1D5B"/>
    <w:rsid w:val="004F25D1"/>
    <w:rsid w:val="004F2AA6"/>
    <w:rsid w:val="004F3440"/>
    <w:rsid w:val="004F36EE"/>
    <w:rsid w:val="004F3A43"/>
    <w:rsid w:val="004F3C72"/>
    <w:rsid w:val="004F409F"/>
    <w:rsid w:val="004F5DC5"/>
    <w:rsid w:val="004F678F"/>
    <w:rsid w:val="004F6EE5"/>
    <w:rsid w:val="004F6FD2"/>
    <w:rsid w:val="004F709F"/>
    <w:rsid w:val="004F7FA6"/>
    <w:rsid w:val="00501137"/>
    <w:rsid w:val="005028B3"/>
    <w:rsid w:val="00503AB4"/>
    <w:rsid w:val="00503ACD"/>
    <w:rsid w:val="0050458A"/>
    <w:rsid w:val="00504591"/>
    <w:rsid w:val="00504B76"/>
    <w:rsid w:val="00504EAC"/>
    <w:rsid w:val="00506004"/>
    <w:rsid w:val="0050600C"/>
    <w:rsid w:val="005071D2"/>
    <w:rsid w:val="005076C5"/>
    <w:rsid w:val="00510A10"/>
    <w:rsid w:val="00510A38"/>
    <w:rsid w:val="005125AF"/>
    <w:rsid w:val="00512A3D"/>
    <w:rsid w:val="00512FE0"/>
    <w:rsid w:val="0051310B"/>
    <w:rsid w:val="00513631"/>
    <w:rsid w:val="00514CB3"/>
    <w:rsid w:val="00514D55"/>
    <w:rsid w:val="00515A90"/>
    <w:rsid w:val="00515B20"/>
    <w:rsid w:val="00517214"/>
    <w:rsid w:val="00517264"/>
    <w:rsid w:val="00517A9D"/>
    <w:rsid w:val="005202CA"/>
    <w:rsid w:val="005202DC"/>
    <w:rsid w:val="00521042"/>
    <w:rsid w:val="005240CC"/>
    <w:rsid w:val="00524B3B"/>
    <w:rsid w:val="00525877"/>
    <w:rsid w:val="00525DBD"/>
    <w:rsid w:val="0052680F"/>
    <w:rsid w:val="00526A28"/>
    <w:rsid w:val="0052761F"/>
    <w:rsid w:val="00527AA8"/>
    <w:rsid w:val="00531AB9"/>
    <w:rsid w:val="00534C36"/>
    <w:rsid w:val="00534DE1"/>
    <w:rsid w:val="00535BE2"/>
    <w:rsid w:val="00536257"/>
    <w:rsid w:val="00541CC5"/>
    <w:rsid w:val="005422CF"/>
    <w:rsid w:val="0054246B"/>
    <w:rsid w:val="005424AF"/>
    <w:rsid w:val="00542976"/>
    <w:rsid w:val="00542D7E"/>
    <w:rsid w:val="00543032"/>
    <w:rsid w:val="00543298"/>
    <w:rsid w:val="00543A40"/>
    <w:rsid w:val="00543E69"/>
    <w:rsid w:val="005456CD"/>
    <w:rsid w:val="00546188"/>
    <w:rsid w:val="00546B31"/>
    <w:rsid w:val="00546DAA"/>
    <w:rsid w:val="005478F4"/>
    <w:rsid w:val="00547CA7"/>
    <w:rsid w:val="0055007D"/>
    <w:rsid w:val="00550A32"/>
    <w:rsid w:val="00550CD7"/>
    <w:rsid w:val="005511E8"/>
    <w:rsid w:val="00552578"/>
    <w:rsid w:val="00552785"/>
    <w:rsid w:val="00553011"/>
    <w:rsid w:val="00553FC9"/>
    <w:rsid w:val="00555480"/>
    <w:rsid w:val="00555B7B"/>
    <w:rsid w:val="00557309"/>
    <w:rsid w:val="005574A3"/>
    <w:rsid w:val="0055782D"/>
    <w:rsid w:val="0055787B"/>
    <w:rsid w:val="005609E9"/>
    <w:rsid w:val="00560A2D"/>
    <w:rsid w:val="00560AD9"/>
    <w:rsid w:val="00561A9B"/>
    <w:rsid w:val="00564751"/>
    <w:rsid w:val="00565E9A"/>
    <w:rsid w:val="00566444"/>
    <w:rsid w:val="0056708C"/>
    <w:rsid w:val="0056729C"/>
    <w:rsid w:val="005704AC"/>
    <w:rsid w:val="00570711"/>
    <w:rsid w:val="00570756"/>
    <w:rsid w:val="00570800"/>
    <w:rsid w:val="00571BEC"/>
    <w:rsid w:val="00571F07"/>
    <w:rsid w:val="00572391"/>
    <w:rsid w:val="005741C2"/>
    <w:rsid w:val="0057509C"/>
    <w:rsid w:val="005750CD"/>
    <w:rsid w:val="005753E9"/>
    <w:rsid w:val="005763E4"/>
    <w:rsid w:val="00576974"/>
    <w:rsid w:val="00576F0A"/>
    <w:rsid w:val="005776A4"/>
    <w:rsid w:val="00577846"/>
    <w:rsid w:val="00577A69"/>
    <w:rsid w:val="00577FC4"/>
    <w:rsid w:val="005801BB"/>
    <w:rsid w:val="0058113E"/>
    <w:rsid w:val="00581491"/>
    <w:rsid w:val="00581821"/>
    <w:rsid w:val="005827A5"/>
    <w:rsid w:val="00582D4C"/>
    <w:rsid w:val="00582FA5"/>
    <w:rsid w:val="00583D55"/>
    <w:rsid w:val="005843E5"/>
    <w:rsid w:val="005850EA"/>
    <w:rsid w:val="00586598"/>
    <w:rsid w:val="005876DC"/>
    <w:rsid w:val="0059019B"/>
    <w:rsid w:val="005902CA"/>
    <w:rsid w:val="00590329"/>
    <w:rsid w:val="0059045E"/>
    <w:rsid w:val="00590C3B"/>
    <w:rsid w:val="005912B1"/>
    <w:rsid w:val="0059205F"/>
    <w:rsid w:val="00593A05"/>
    <w:rsid w:val="00593DF3"/>
    <w:rsid w:val="005954A3"/>
    <w:rsid w:val="0059553B"/>
    <w:rsid w:val="005966D7"/>
    <w:rsid w:val="00596B2B"/>
    <w:rsid w:val="005A01BC"/>
    <w:rsid w:val="005A0AEA"/>
    <w:rsid w:val="005A15BB"/>
    <w:rsid w:val="005A2E0F"/>
    <w:rsid w:val="005A3579"/>
    <w:rsid w:val="005A37CF"/>
    <w:rsid w:val="005A3959"/>
    <w:rsid w:val="005A4A9B"/>
    <w:rsid w:val="005A51F2"/>
    <w:rsid w:val="005A59CC"/>
    <w:rsid w:val="005A665F"/>
    <w:rsid w:val="005A7B7F"/>
    <w:rsid w:val="005A7CE9"/>
    <w:rsid w:val="005B1073"/>
    <w:rsid w:val="005B135B"/>
    <w:rsid w:val="005B1762"/>
    <w:rsid w:val="005B388C"/>
    <w:rsid w:val="005B406B"/>
    <w:rsid w:val="005B418E"/>
    <w:rsid w:val="005B5BB6"/>
    <w:rsid w:val="005B61D2"/>
    <w:rsid w:val="005B6313"/>
    <w:rsid w:val="005B69CC"/>
    <w:rsid w:val="005B6AA0"/>
    <w:rsid w:val="005B6FD7"/>
    <w:rsid w:val="005C0CE4"/>
    <w:rsid w:val="005C0F81"/>
    <w:rsid w:val="005C1DA9"/>
    <w:rsid w:val="005C1EA6"/>
    <w:rsid w:val="005C200B"/>
    <w:rsid w:val="005C2159"/>
    <w:rsid w:val="005C37E4"/>
    <w:rsid w:val="005C3DC2"/>
    <w:rsid w:val="005C410A"/>
    <w:rsid w:val="005C4919"/>
    <w:rsid w:val="005C68E4"/>
    <w:rsid w:val="005C6A57"/>
    <w:rsid w:val="005C7D83"/>
    <w:rsid w:val="005D09BE"/>
    <w:rsid w:val="005D1137"/>
    <w:rsid w:val="005D125D"/>
    <w:rsid w:val="005D15A7"/>
    <w:rsid w:val="005D1D99"/>
    <w:rsid w:val="005D343C"/>
    <w:rsid w:val="005D4B88"/>
    <w:rsid w:val="005D560D"/>
    <w:rsid w:val="005D5957"/>
    <w:rsid w:val="005D67E1"/>
    <w:rsid w:val="005D7369"/>
    <w:rsid w:val="005E06E1"/>
    <w:rsid w:val="005E1215"/>
    <w:rsid w:val="005E124C"/>
    <w:rsid w:val="005E164E"/>
    <w:rsid w:val="005E2416"/>
    <w:rsid w:val="005E2DE4"/>
    <w:rsid w:val="005E37FF"/>
    <w:rsid w:val="005E3A34"/>
    <w:rsid w:val="005E41F6"/>
    <w:rsid w:val="005E430A"/>
    <w:rsid w:val="005E4EB6"/>
    <w:rsid w:val="005E602D"/>
    <w:rsid w:val="005E7CCB"/>
    <w:rsid w:val="005E7F6C"/>
    <w:rsid w:val="005F0073"/>
    <w:rsid w:val="005F0D3D"/>
    <w:rsid w:val="005F0E7C"/>
    <w:rsid w:val="005F197D"/>
    <w:rsid w:val="005F1AAD"/>
    <w:rsid w:val="005F2D13"/>
    <w:rsid w:val="005F69B5"/>
    <w:rsid w:val="005F76AB"/>
    <w:rsid w:val="005F7E80"/>
    <w:rsid w:val="00600DDB"/>
    <w:rsid w:val="006011E1"/>
    <w:rsid w:val="0060176E"/>
    <w:rsid w:val="00603BA5"/>
    <w:rsid w:val="006042A0"/>
    <w:rsid w:val="0060639E"/>
    <w:rsid w:val="00606CD0"/>
    <w:rsid w:val="0060719D"/>
    <w:rsid w:val="00607514"/>
    <w:rsid w:val="00607716"/>
    <w:rsid w:val="006129D4"/>
    <w:rsid w:val="00612EDA"/>
    <w:rsid w:val="0061309B"/>
    <w:rsid w:val="00613279"/>
    <w:rsid w:val="0061428D"/>
    <w:rsid w:val="006151A5"/>
    <w:rsid w:val="0061602F"/>
    <w:rsid w:val="006173EC"/>
    <w:rsid w:val="006174F9"/>
    <w:rsid w:val="00617B8D"/>
    <w:rsid w:val="006201D4"/>
    <w:rsid w:val="00620243"/>
    <w:rsid w:val="00620569"/>
    <w:rsid w:val="00620B0C"/>
    <w:rsid w:val="0062157F"/>
    <w:rsid w:val="006225EA"/>
    <w:rsid w:val="00622639"/>
    <w:rsid w:val="00622748"/>
    <w:rsid w:val="00622A4E"/>
    <w:rsid w:val="006230A7"/>
    <w:rsid w:val="00623798"/>
    <w:rsid w:val="00624B23"/>
    <w:rsid w:val="00624F22"/>
    <w:rsid w:val="0062554A"/>
    <w:rsid w:val="00625793"/>
    <w:rsid w:val="006259B0"/>
    <w:rsid w:val="00625E9A"/>
    <w:rsid w:val="00626096"/>
    <w:rsid w:val="006277EF"/>
    <w:rsid w:val="00630A7F"/>
    <w:rsid w:val="00631275"/>
    <w:rsid w:val="00631320"/>
    <w:rsid w:val="00631830"/>
    <w:rsid w:val="00632162"/>
    <w:rsid w:val="006324BE"/>
    <w:rsid w:val="00632DC5"/>
    <w:rsid w:val="006331A6"/>
    <w:rsid w:val="00633683"/>
    <w:rsid w:val="00635DE7"/>
    <w:rsid w:val="00635E40"/>
    <w:rsid w:val="00635E9C"/>
    <w:rsid w:val="00636CE3"/>
    <w:rsid w:val="00637DB8"/>
    <w:rsid w:val="0064001A"/>
    <w:rsid w:val="00640703"/>
    <w:rsid w:val="00641584"/>
    <w:rsid w:val="006415DB"/>
    <w:rsid w:val="006420F3"/>
    <w:rsid w:val="00642575"/>
    <w:rsid w:val="0064257A"/>
    <w:rsid w:val="006426B0"/>
    <w:rsid w:val="006432DA"/>
    <w:rsid w:val="00643CFD"/>
    <w:rsid w:val="00644629"/>
    <w:rsid w:val="00644662"/>
    <w:rsid w:val="00644714"/>
    <w:rsid w:val="00644DAD"/>
    <w:rsid w:val="00644F87"/>
    <w:rsid w:val="006540C8"/>
    <w:rsid w:val="00654AC7"/>
    <w:rsid w:val="00654DE4"/>
    <w:rsid w:val="00655BB1"/>
    <w:rsid w:val="00655C2C"/>
    <w:rsid w:val="00656010"/>
    <w:rsid w:val="006578DC"/>
    <w:rsid w:val="00657B27"/>
    <w:rsid w:val="00661C80"/>
    <w:rsid w:val="00661E73"/>
    <w:rsid w:val="00661EC1"/>
    <w:rsid w:val="00663ACC"/>
    <w:rsid w:val="006654A5"/>
    <w:rsid w:val="006654C5"/>
    <w:rsid w:val="00665FA8"/>
    <w:rsid w:val="00667773"/>
    <w:rsid w:val="00671624"/>
    <w:rsid w:val="00671839"/>
    <w:rsid w:val="00672F3E"/>
    <w:rsid w:val="00673447"/>
    <w:rsid w:val="00673632"/>
    <w:rsid w:val="00675F84"/>
    <w:rsid w:val="006760A5"/>
    <w:rsid w:val="00676482"/>
    <w:rsid w:val="006778BE"/>
    <w:rsid w:val="00681163"/>
    <w:rsid w:val="006812A7"/>
    <w:rsid w:val="0068229E"/>
    <w:rsid w:val="00683E13"/>
    <w:rsid w:val="006849C2"/>
    <w:rsid w:val="00684F2D"/>
    <w:rsid w:val="0068539A"/>
    <w:rsid w:val="006855E2"/>
    <w:rsid w:val="00685CB0"/>
    <w:rsid w:val="006873B8"/>
    <w:rsid w:val="006905D6"/>
    <w:rsid w:val="00690662"/>
    <w:rsid w:val="00690E64"/>
    <w:rsid w:val="006932CC"/>
    <w:rsid w:val="006934F3"/>
    <w:rsid w:val="00694186"/>
    <w:rsid w:val="0069469C"/>
    <w:rsid w:val="00695214"/>
    <w:rsid w:val="00696192"/>
    <w:rsid w:val="00697B3A"/>
    <w:rsid w:val="006A0AB9"/>
    <w:rsid w:val="006A0CDC"/>
    <w:rsid w:val="006A2686"/>
    <w:rsid w:val="006A2F87"/>
    <w:rsid w:val="006A3806"/>
    <w:rsid w:val="006A3C2F"/>
    <w:rsid w:val="006A3D8B"/>
    <w:rsid w:val="006A3F20"/>
    <w:rsid w:val="006A3FF0"/>
    <w:rsid w:val="006A437D"/>
    <w:rsid w:val="006A4ACF"/>
    <w:rsid w:val="006A4C4B"/>
    <w:rsid w:val="006A4F80"/>
    <w:rsid w:val="006A62C4"/>
    <w:rsid w:val="006A6ED9"/>
    <w:rsid w:val="006A75D7"/>
    <w:rsid w:val="006B18FB"/>
    <w:rsid w:val="006B1D94"/>
    <w:rsid w:val="006B245F"/>
    <w:rsid w:val="006B26A3"/>
    <w:rsid w:val="006B2C54"/>
    <w:rsid w:val="006B3151"/>
    <w:rsid w:val="006B33A4"/>
    <w:rsid w:val="006B38E0"/>
    <w:rsid w:val="006B4ABC"/>
    <w:rsid w:val="006B4CA9"/>
    <w:rsid w:val="006B52A1"/>
    <w:rsid w:val="006B5B99"/>
    <w:rsid w:val="006B6B25"/>
    <w:rsid w:val="006B6CE6"/>
    <w:rsid w:val="006B6F97"/>
    <w:rsid w:val="006B78F7"/>
    <w:rsid w:val="006B7F23"/>
    <w:rsid w:val="006C1DB4"/>
    <w:rsid w:val="006C2FA1"/>
    <w:rsid w:val="006C398B"/>
    <w:rsid w:val="006C3C7C"/>
    <w:rsid w:val="006C3CCA"/>
    <w:rsid w:val="006C4330"/>
    <w:rsid w:val="006C4899"/>
    <w:rsid w:val="006C4D7C"/>
    <w:rsid w:val="006C5AEF"/>
    <w:rsid w:val="006C5BFB"/>
    <w:rsid w:val="006C5D86"/>
    <w:rsid w:val="006C6C9D"/>
    <w:rsid w:val="006C7F00"/>
    <w:rsid w:val="006D02FB"/>
    <w:rsid w:val="006D0919"/>
    <w:rsid w:val="006D11B3"/>
    <w:rsid w:val="006D15FD"/>
    <w:rsid w:val="006D1E29"/>
    <w:rsid w:val="006D24BF"/>
    <w:rsid w:val="006D2887"/>
    <w:rsid w:val="006D322C"/>
    <w:rsid w:val="006D33ED"/>
    <w:rsid w:val="006D3E88"/>
    <w:rsid w:val="006D3EBE"/>
    <w:rsid w:val="006D41D8"/>
    <w:rsid w:val="006D45C9"/>
    <w:rsid w:val="006D54BD"/>
    <w:rsid w:val="006D5810"/>
    <w:rsid w:val="006D5CA9"/>
    <w:rsid w:val="006D7512"/>
    <w:rsid w:val="006D7CB3"/>
    <w:rsid w:val="006E2410"/>
    <w:rsid w:val="006E3BBD"/>
    <w:rsid w:val="006E435A"/>
    <w:rsid w:val="006E4620"/>
    <w:rsid w:val="006E4D89"/>
    <w:rsid w:val="006E5502"/>
    <w:rsid w:val="006E586F"/>
    <w:rsid w:val="006E5D02"/>
    <w:rsid w:val="006E69CD"/>
    <w:rsid w:val="006E6B2A"/>
    <w:rsid w:val="006E6B7E"/>
    <w:rsid w:val="006E6CAB"/>
    <w:rsid w:val="006E73F6"/>
    <w:rsid w:val="006E7630"/>
    <w:rsid w:val="006F0916"/>
    <w:rsid w:val="006F113C"/>
    <w:rsid w:val="006F121A"/>
    <w:rsid w:val="006F1D89"/>
    <w:rsid w:val="006F2943"/>
    <w:rsid w:val="006F36BC"/>
    <w:rsid w:val="006F3FAF"/>
    <w:rsid w:val="006F4030"/>
    <w:rsid w:val="006F7005"/>
    <w:rsid w:val="006F7241"/>
    <w:rsid w:val="006F73BC"/>
    <w:rsid w:val="006F7433"/>
    <w:rsid w:val="007007A6"/>
    <w:rsid w:val="00701837"/>
    <w:rsid w:val="007032C0"/>
    <w:rsid w:val="0070397B"/>
    <w:rsid w:val="007047BD"/>
    <w:rsid w:val="007054D9"/>
    <w:rsid w:val="00705A9F"/>
    <w:rsid w:val="00705F06"/>
    <w:rsid w:val="00706222"/>
    <w:rsid w:val="00706AA7"/>
    <w:rsid w:val="0070714D"/>
    <w:rsid w:val="00707606"/>
    <w:rsid w:val="00710A1D"/>
    <w:rsid w:val="00710F1C"/>
    <w:rsid w:val="00710FE5"/>
    <w:rsid w:val="00711335"/>
    <w:rsid w:val="007127EB"/>
    <w:rsid w:val="00712CCB"/>
    <w:rsid w:val="007133F5"/>
    <w:rsid w:val="00713EC2"/>
    <w:rsid w:val="00714082"/>
    <w:rsid w:val="00714944"/>
    <w:rsid w:val="00715B04"/>
    <w:rsid w:val="00715E5F"/>
    <w:rsid w:val="00716021"/>
    <w:rsid w:val="00717BDD"/>
    <w:rsid w:val="00722B1B"/>
    <w:rsid w:val="00723799"/>
    <w:rsid w:val="007246F1"/>
    <w:rsid w:val="00724C20"/>
    <w:rsid w:val="0072710E"/>
    <w:rsid w:val="0072797B"/>
    <w:rsid w:val="00727C76"/>
    <w:rsid w:val="007305B8"/>
    <w:rsid w:val="00730DB7"/>
    <w:rsid w:val="0073137F"/>
    <w:rsid w:val="007316BB"/>
    <w:rsid w:val="00731E73"/>
    <w:rsid w:val="00732333"/>
    <w:rsid w:val="00733D0B"/>
    <w:rsid w:val="00734425"/>
    <w:rsid w:val="0073504A"/>
    <w:rsid w:val="00736B59"/>
    <w:rsid w:val="007372B3"/>
    <w:rsid w:val="007379C5"/>
    <w:rsid w:val="00740108"/>
    <w:rsid w:val="007401FD"/>
    <w:rsid w:val="007404BF"/>
    <w:rsid w:val="007410A2"/>
    <w:rsid w:val="00741BE1"/>
    <w:rsid w:val="0074265A"/>
    <w:rsid w:val="00742975"/>
    <w:rsid w:val="00743AFC"/>
    <w:rsid w:val="00744164"/>
    <w:rsid w:val="00746C4B"/>
    <w:rsid w:val="00747A82"/>
    <w:rsid w:val="00747CB5"/>
    <w:rsid w:val="0075013A"/>
    <w:rsid w:val="00751FDD"/>
    <w:rsid w:val="007520B9"/>
    <w:rsid w:val="00752140"/>
    <w:rsid w:val="0075285A"/>
    <w:rsid w:val="00752E11"/>
    <w:rsid w:val="007569E2"/>
    <w:rsid w:val="00756A66"/>
    <w:rsid w:val="0076003A"/>
    <w:rsid w:val="0076018F"/>
    <w:rsid w:val="00760DB2"/>
    <w:rsid w:val="00760EBD"/>
    <w:rsid w:val="007616AD"/>
    <w:rsid w:val="00761A33"/>
    <w:rsid w:val="00761FE6"/>
    <w:rsid w:val="00762763"/>
    <w:rsid w:val="00763FD5"/>
    <w:rsid w:val="0076501C"/>
    <w:rsid w:val="00765170"/>
    <w:rsid w:val="007657CE"/>
    <w:rsid w:val="00766542"/>
    <w:rsid w:val="007669FA"/>
    <w:rsid w:val="00767F4B"/>
    <w:rsid w:val="00770921"/>
    <w:rsid w:val="00770A61"/>
    <w:rsid w:val="00770CB0"/>
    <w:rsid w:val="00771947"/>
    <w:rsid w:val="007738CF"/>
    <w:rsid w:val="00773E90"/>
    <w:rsid w:val="007756DF"/>
    <w:rsid w:val="00776543"/>
    <w:rsid w:val="00777D22"/>
    <w:rsid w:val="0078042C"/>
    <w:rsid w:val="00780919"/>
    <w:rsid w:val="0078091B"/>
    <w:rsid w:val="00780C12"/>
    <w:rsid w:val="00781401"/>
    <w:rsid w:val="00781829"/>
    <w:rsid w:val="00783687"/>
    <w:rsid w:val="00783D25"/>
    <w:rsid w:val="00783F70"/>
    <w:rsid w:val="00784256"/>
    <w:rsid w:val="00784F92"/>
    <w:rsid w:val="0078579D"/>
    <w:rsid w:val="00787327"/>
    <w:rsid w:val="007875EA"/>
    <w:rsid w:val="00787B86"/>
    <w:rsid w:val="00787CD0"/>
    <w:rsid w:val="00791119"/>
    <w:rsid w:val="00791B4F"/>
    <w:rsid w:val="0079270B"/>
    <w:rsid w:val="00793402"/>
    <w:rsid w:val="007946FE"/>
    <w:rsid w:val="007955E5"/>
    <w:rsid w:val="00796D2E"/>
    <w:rsid w:val="00797249"/>
    <w:rsid w:val="007975FE"/>
    <w:rsid w:val="007978D7"/>
    <w:rsid w:val="007A03B5"/>
    <w:rsid w:val="007A06BF"/>
    <w:rsid w:val="007A1C3D"/>
    <w:rsid w:val="007A1CEE"/>
    <w:rsid w:val="007A21F5"/>
    <w:rsid w:val="007A2E12"/>
    <w:rsid w:val="007A32CC"/>
    <w:rsid w:val="007A3FB6"/>
    <w:rsid w:val="007A434B"/>
    <w:rsid w:val="007A51B3"/>
    <w:rsid w:val="007A5F0A"/>
    <w:rsid w:val="007A6AD8"/>
    <w:rsid w:val="007A73A2"/>
    <w:rsid w:val="007B0A05"/>
    <w:rsid w:val="007B0FF9"/>
    <w:rsid w:val="007B137F"/>
    <w:rsid w:val="007B2606"/>
    <w:rsid w:val="007B387A"/>
    <w:rsid w:val="007B391D"/>
    <w:rsid w:val="007B39B4"/>
    <w:rsid w:val="007B3C0D"/>
    <w:rsid w:val="007B3CDA"/>
    <w:rsid w:val="007B622F"/>
    <w:rsid w:val="007B6FA1"/>
    <w:rsid w:val="007B788C"/>
    <w:rsid w:val="007C0FBC"/>
    <w:rsid w:val="007C1A79"/>
    <w:rsid w:val="007C1B3F"/>
    <w:rsid w:val="007C3274"/>
    <w:rsid w:val="007C4B7B"/>
    <w:rsid w:val="007C679A"/>
    <w:rsid w:val="007C67B0"/>
    <w:rsid w:val="007C76C0"/>
    <w:rsid w:val="007D0131"/>
    <w:rsid w:val="007D2FB6"/>
    <w:rsid w:val="007D3A7F"/>
    <w:rsid w:val="007D5088"/>
    <w:rsid w:val="007D519E"/>
    <w:rsid w:val="007D63B0"/>
    <w:rsid w:val="007D7C2E"/>
    <w:rsid w:val="007E021C"/>
    <w:rsid w:val="007E17F2"/>
    <w:rsid w:val="007E1AE0"/>
    <w:rsid w:val="007E250F"/>
    <w:rsid w:val="007E316B"/>
    <w:rsid w:val="007E3712"/>
    <w:rsid w:val="007E5090"/>
    <w:rsid w:val="007E595A"/>
    <w:rsid w:val="007E59CA"/>
    <w:rsid w:val="007E5B3C"/>
    <w:rsid w:val="007E6CDD"/>
    <w:rsid w:val="007E7A15"/>
    <w:rsid w:val="007E7BBC"/>
    <w:rsid w:val="007F08A0"/>
    <w:rsid w:val="007F3A90"/>
    <w:rsid w:val="007F407B"/>
    <w:rsid w:val="007F458B"/>
    <w:rsid w:val="007F4E5D"/>
    <w:rsid w:val="007F50DF"/>
    <w:rsid w:val="007F67B1"/>
    <w:rsid w:val="007F74D6"/>
    <w:rsid w:val="00800135"/>
    <w:rsid w:val="00800A11"/>
    <w:rsid w:val="00800A19"/>
    <w:rsid w:val="00800F9B"/>
    <w:rsid w:val="008028E2"/>
    <w:rsid w:val="00803255"/>
    <w:rsid w:val="00803661"/>
    <w:rsid w:val="008059B9"/>
    <w:rsid w:val="00806551"/>
    <w:rsid w:val="00806652"/>
    <w:rsid w:val="00806DEF"/>
    <w:rsid w:val="008077A1"/>
    <w:rsid w:val="00807DBA"/>
    <w:rsid w:val="00810689"/>
    <w:rsid w:val="00810907"/>
    <w:rsid w:val="00810AA5"/>
    <w:rsid w:val="00811CD2"/>
    <w:rsid w:val="00811D18"/>
    <w:rsid w:val="0081228C"/>
    <w:rsid w:val="00813907"/>
    <w:rsid w:val="00815960"/>
    <w:rsid w:val="00815FDA"/>
    <w:rsid w:val="008164B0"/>
    <w:rsid w:val="00816553"/>
    <w:rsid w:val="00817024"/>
    <w:rsid w:val="00817C8B"/>
    <w:rsid w:val="00820D47"/>
    <w:rsid w:val="00821431"/>
    <w:rsid w:val="00821B9B"/>
    <w:rsid w:val="0082260F"/>
    <w:rsid w:val="00823083"/>
    <w:rsid w:val="0082309C"/>
    <w:rsid w:val="008232E5"/>
    <w:rsid w:val="00823683"/>
    <w:rsid w:val="00824BEE"/>
    <w:rsid w:val="00824CAE"/>
    <w:rsid w:val="0082513C"/>
    <w:rsid w:val="00825536"/>
    <w:rsid w:val="0082557E"/>
    <w:rsid w:val="00825CCD"/>
    <w:rsid w:val="00826A55"/>
    <w:rsid w:val="00826D25"/>
    <w:rsid w:val="00827000"/>
    <w:rsid w:val="0082727B"/>
    <w:rsid w:val="008275B3"/>
    <w:rsid w:val="00827A9D"/>
    <w:rsid w:val="00827B94"/>
    <w:rsid w:val="00827FFD"/>
    <w:rsid w:val="008301EA"/>
    <w:rsid w:val="008305B4"/>
    <w:rsid w:val="00830B7E"/>
    <w:rsid w:val="0083124E"/>
    <w:rsid w:val="008316F5"/>
    <w:rsid w:val="00831993"/>
    <w:rsid w:val="008324F3"/>
    <w:rsid w:val="00832B47"/>
    <w:rsid w:val="0083328A"/>
    <w:rsid w:val="00833D3C"/>
    <w:rsid w:val="008358AD"/>
    <w:rsid w:val="008358B4"/>
    <w:rsid w:val="00836977"/>
    <w:rsid w:val="00836991"/>
    <w:rsid w:val="00836BE6"/>
    <w:rsid w:val="00837B72"/>
    <w:rsid w:val="00840A75"/>
    <w:rsid w:val="008416A0"/>
    <w:rsid w:val="00841BEF"/>
    <w:rsid w:val="00841DDC"/>
    <w:rsid w:val="00841FA8"/>
    <w:rsid w:val="0084267F"/>
    <w:rsid w:val="00842A21"/>
    <w:rsid w:val="00843795"/>
    <w:rsid w:val="008448E4"/>
    <w:rsid w:val="008450B4"/>
    <w:rsid w:val="00845C00"/>
    <w:rsid w:val="00845E96"/>
    <w:rsid w:val="00850700"/>
    <w:rsid w:val="00850885"/>
    <w:rsid w:val="00852F99"/>
    <w:rsid w:val="00853083"/>
    <w:rsid w:val="00853439"/>
    <w:rsid w:val="008553D9"/>
    <w:rsid w:val="008556F7"/>
    <w:rsid w:val="008559AC"/>
    <w:rsid w:val="00856240"/>
    <w:rsid w:val="008564C4"/>
    <w:rsid w:val="00856A41"/>
    <w:rsid w:val="00857C73"/>
    <w:rsid w:val="00860D23"/>
    <w:rsid w:val="00860F75"/>
    <w:rsid w:val="00861351"/>
    <w:rsid w:val="00861802"/>
    <w:rsid w:val="00861D90"/>
    <w:rsid w:val="00861F6A"/>
    <w:rsid w:val="00861FD3"/>
    <w:rsid w:val="00862555"/>
    <w:rsid w:val="00862746"/>
    <w:rsid w:val="00862A18"/>
    <w:rsid w:val="0086312E"/>
    <w:rsid w:val="008641D2"/>
    <w:rsid w:val="00864783"/>
    <w:rsid w:val="0086489A"/>
    <w:rsid w:val="00865D08"/>
    <w:rsid w:val="00865E5A"/>
    <w:rsid w:val="00867868"/>
    <w:rsid w:val="00867A1C"/>
    <w:rsid w:val="008705D5"/>
    <w:rsid w:val="00872579"/>
    <w:rsid w:val="008733C2"/>
    <w:rsid w:val="00874268"/>
    <w:rsid w:val="00874ECD"/>
    <w:rsid w:val="00875130"/>
    <w:rsid w:val="00875C46"/>
    <w:rsid w:val="00876279"/>
    <w:rsid w:val="0087719A"/>
    <w:rsid w:val="0087793F"/>
    <w:rsid w:val="00877C58"/>
    <w:rsid w:val="00877DF4"/>
    <w:rsid w:val="00880447"/>
    <w:rsid w:val="00880D24"/>
    <w:rsid w:val="00881BD3"/>
    <w:rsid w:val="00882847"/>
    <w:rsid w:val="00882C62"/>
    <w:rsid w:val="00883E03"/>
    <w:rsid w:val="008847CF"/>
    <w:rsid w:val="00884B5A"/>
    <w:rsid w:val="00884C06"/>
    <w:rsid w:val="008863DA"/>
    <w:rsid w:val="00886712"/>
    <w:rsid w:val="00887C4A"/>
    <w:rsid w:val="008903FB"/>
    <w:rsid w:val="008906D2"/>
    <w:rsid w:val="00890B34"/>
    <w:rsid w:val="00890FC4"/>
    <w:rsid w:val="00891EC0"/>
    <w:rsid w:val="00892C81"/>
    <w:rsid w:val="008930AA"/>
    <w:rsid w:val="00893B80"/>
    <w:rsid w:val="00894166"/>
    <w:rsid w:val="00894416"/>
    <w:rsid w:val="00895A28"/>
    <w:rsid w:val="00895DE2"/>
    <w:rsid w:val="00895DFB"/>
    <w:rsid w:val="00896053"/>
    <w:rsid w:val="00896572"/>
    <w:rsid w:val="00896EF0"/>
    <w:rsid w:val="00897801"/>
    <w:rsid w:val="008A044F"/>
    <w:rsid w:val="008A053C"/>
    <w:rsid w:val="008A1725"/>
    <w:rsid w:val="008A1886"/>
    <w:rsid w:val="008A318C"/>
    <w:rsid w:val="008A3CFD"/>
    <w:rsid w:val="008A3E3F"/>
    <w:rsid w:val="008A48A1"/>
    <w:rsid w:val="008A4A14"/>
    <w:rsid w:val="008A4E1E"/>
    <w:rsid w:val="008A5729"/>
    <w:rsid w:val="008A6174"/>
    <w:rsid w:val="008A703E"/>
    <w:rsid w:val="008A70CA"/>
    <w:rsid w:val="008B04C8"/>
    <w:rsid w:val="008B095D"/>
    <w:rsid w:val="008B0AC9"/>
    <w:rsid w:val="008B171F"/>
    <w:rsid w:val="008B1800"/>
    <w:rsid w:val="008B2C80"/>
    <w:rsid w:val="008B306C"/>
    <w:rsid w:val="008B31D0"/>
    <w:rsid w:val="008B38F3"/>
    <w:rsid w:val="008B3EC1"/>
    <w:rsid w:val="008B58D2"/>
    <w:rsid w:val="008B5F0B"/>
    <w:rsid w:val="008B60DA"/>
    <w:rsid w:val="008B743B"/>
    <w:rsid w:val="008B7793"/>
    <w:rsid w:val="008B7F53"/>
    <w:rsid w:val="008C0316"/>
    <w:rsid w:val="008C0323"/>
    <w:rsid w:val="008C0A0E"/>
    <w:rsid w:val="008C14CB"/>
    <w:rsid w:val="008C281E"/>
    <w:rsid w:val="008C2E14"/>
    <w:rsid w:val="008C330D"/>
    <w:rsid w:val="008C48D1"/>
    <w:rsid w:val="008C4930"/>
    <w:rsid w:val="008C4CA4"/>
    <w:rsid w:val="008C52B6"/>
    <w:rsid w:val="008C5C58"/>
    <w:rsid w:val="008C65B2"/>
    <w:rsid w:val="008C6F96"/>
    <w:rsid w:val="008C6F97"/>
    <w:rsid w:val="008C7DE6"/>
    <w:rsid w:val="008D14F3"/>
    <w:rsid w:val="008D2DBC"/>
    <w:rsid w:val="008D3708"/>
    <w:rsid w:val="008D5CCE"/>
    <w:rsid w:val="008D63A0"/>
    <w:rsid w:val="008D642D"/>
    <w:rsid w:val="008D6A91"/>
    <w:rsid w:val="008E0038"/>
    <w:rsid w:val="008E00CD"/>
    <w:rsid w:val="008E0C79"/>
    <w:rsid w:val="008E2A06"/>
    <w:rsid w:val="008E3568"/>
    <w:rsid w:val="008E399A"/>
    <w:rsid w:val="008E3D18"/>
    <w:rsid w:val="008E41A0"/>
    <w:rsid w:val="008E4BF2"/>
    <w:rsid w:val="008E6407"/>
    <w:rsid w:val="008F0919"/>
    <w:rsid w:val="008F19B5"/>
    <w:rsid w:val="008F27FB"/>
    <w:rsid w:val="008F3769"/>
    <w:rsid w:val="008F3895"/>
    <w:rsid w:val="008F42E8"/>
    <w:rsid w:val="008F5CCE"/>
    <w:rsid w:val="008F6BD3"/>
    <w:rsid w:val="008F7D4A"/>
    <w:rsid w:val="008F7F6B"/>
    <w:rsid w:val="00900267"/>
    <w:rsid w:val="009006C2"/>
    <w:rsid w:val="0090162E"/>
    <w:rsid w:val="00901B3C"/>
    <w:rsid w:val="00902855"/>
    <w:rsid w:val="00903302"/>
    <w:rsid w:val="00904E9D"/>
    <w:rsid w:val="00905416"/>
    <w:rsid w:val="009063A5"/>
    <w:rsid w:val="0090644B"/>
    <w:rsid w:val="00906B92"/>
    <w:rsid w:val="00906C9D"/>
    <w:rsid w:val="00906E74"/>
    <w:rsid w:val="00907D32"/>
    <w:rsid w:val="0091168C"/>
    <w:rsid w:val="00911B1D"/>
    <w:rsid w:val="0091200F"/>
    <w:rsid w:val="009124C6"/>
    <w:rsid w:val="00914CA8"/>
    <w:rsid w:val="00914E7C"/>
    <w:rsid w:val="009157A9"/>
    <w:rsid w:val="0091635A"/>
    <w:rsid w:val="009172F0"/>
    <w:rsid w:val="0091754C"/>
    <w:rsid w:val="00917C00"/>
    <w:rsid w:val="009201AC"/>
    <w:rsid w:val="0092152F"/>
    <w:rsid w:val="00922177"/>
    <w:rsid w:val="009222E6"/>
    <w:rsid w:val="009230D5"/>
    <w:rsid w:val="009234FA"/>
    <w:rsid w:val="0092358F"/>
    <w:rsid w:val="00923BFC"/>
    <w:rsid w:val="00924FDE"/>
    <w:rsid w:val="00926309"/>
    <w:rsid w:val="00926387"/>
    <w:rsid w:val="009267EC"/>
    <w:rsid w:val="009273BE"/>
    <w:rsid w:val="00930855"/>
    <w:rsid w:val="00930CF2"/>
    <w:rsid w:val="00931852"/>
    <w:rsid w:val="00931D77"/>
    <w:rsid w:val="0093221E"/>
    <w:rsid w:val="00932E21"/>
    <w:rsid w:val="009333DA"/>
    <w:rsid w:val="0093453F"/>
    <w:rsid w:val="00934778"/>
    <w:rsid w:val="009347C5"/>
    <w:rsid w:val="00934B9C"/>
    <w:rsid w:val="0093551D"/>
    <w:rsid w:val="00935937"/>
    <w:rsid w:val="00935E5F"/>
    <w:rsid w:val="009360A4"/>
    <w:rsid w:val="00937421"/>
    <w:rsid w:val="0094261B"/>
    <w:rsid w:val="0094264E"/>
    <w:rsid w:val="00944666"/>
    <w:rsid w:val="00944981"/>
    <w:rsid w:val="00944F50"/>
    <w:rsid w:val="00945557"/>
    <w:rsid w:val="009462D0"/>
    <w:rsid w:val="00946562"/>
    <w:rsid w:val="00946B6D"/>
    <w:rsid w:val="00946BAF"/>
    <w:rsid w:val="00946D49"/>
    <w:rsid w:val="00946E93"/>
    <w:rsid w:val="009477E4"/>
    <w:rsid w:val="009479A4"/>
    <w:rsid w:val="009500E3"/>
    <w:rsid w:val="009516E9"/>
    <w:rsid w:val="00952285"/>
    <w:rsid w:val="00954506"/>
    <w:rsid w:val="00954F36"/>
    <w:rsid w:val="009552BA"/>
    <w:rsid w:val="00955405"/>
    <w:rsid w:val="0095586C"/>
    <w:rsid w:val="00955C6C"/>
    <w:rsid w:val="00955F35"/>
    <w:rsid w:val="00956835"/>
    <w:rsid w:val="00956B7C"/>
    <w:rsid w:val="00956EF4"/>
    <w:rsid w:val="00957E64"/>
    <w:rsid w:val="00960A25"/>
    <w:rsid w:val="0096101C"/>
    <w:rsid w:val="009614B0"/>
    <w:rsid w:val="00962236"/>
    <w:rsid w:val="009623B4"/>
    <w:rsid w:val="00962E90"/>
    <w:rsid w:val="00962F8D"/>
    <w:rsid w:val="00964560"/>
    <w:rsid w:val="00964928"/>
    <w:rsid w:val="00964B40"/>
    <w:rsid w:val="0096654F"/>
    <w:rsid w:val="00966B4C"/>
    <w:rsid w:val="00970930"/>
    <w:rsid w:val="00970B32"/>
    <w:rsid w:val="00971601"/>
    <w:rsid w:val="00971B0E"/>
    <w:rsid w:val="00971C15"/>
    <w:rsid w:val="0097283A"/>
    <w:rsid w:val="009739B0"/>
    <w:rsid w:val="00973A90"/>
    <w:rsid w:val="009750AE"/>
    <w:rsid w:val="009764E4"/>
    <w:rsid w:val="00976DC4"/>
    <w:rsid w:val="00977979"/>
    <w:rsid w:val="0097799D"/>
    <w:rsid w:val="0098058A"/>
    <w:rsid w:val="00980B40"/>
    <w:rsid w:val="00983A05"/>
    <w:rsid w:val="00983C9A"/>
    <w:rsid w:val="0098468B"/>
    <w:rsid w:val="00985054"/>
    <w:rsid w:val="0098507D"/>
    <w:rsid w:val="0098620D"/>
    <w:rsid w:val="0098639E"/>
    <w:rsid w:val="0098714A"/>
    <w:rsid w:val="009904EC"/>
    <w:rsid w:val="009914C2"/>
    <w:rsid w:val="00993529"/>
    <w:rsid w:val="00993C2C"/>
    <w:rsid w:val="00993F8F"/>
    <w:rsid w:val="00994216"/>
    <w:rsid w:val="00994CA0"/>
    <w:rsid w:val="00994F14"/>
    <w:rsid w:val="009956EC"/>
    <w:rsid w:val="0099648C"/>
    <w:rsid w:val="009967C6"/>
    <w:rsid w:val="00996837"/>
    <w:rsid w:val="0099684F"/>
    <w:rsid w:val="009A00C8"/>
    <w:rsid w:val="009A0A65"/>
    <w:rsid w:val="009A106A"/>
    <w:rsid w:val="009A2FE5"/>
    <w:rsid w:val="009A4C65"/>
    <w:rsid w:val="009A577D"/>
    <w:rsid w:val="009A6086"/>
    <w:rsid w:val="009A609A"/>
    <w:rsid w:val="009A6A26"/>
    <w:rsid w:val="009A6AC3"/>
    <w:rsid w:val="009A7A75"/>
    <w:rsid w:val="009B02FA"/>
    <w:rsid w:val="009B07EB"/>
    <w:rsid w:val="009B285C"/>
    <w:rsid w:val="009B3877"/>
    <w:rsid w:val="009B3E20"/>
    <w:rsid w:val="009B5177"/>
    <w:rsid w:val="009B519F"/>
    <w:rsid w:val="009B560A"/>
    <w:rsid w:val="009B6353"/>
    <w:rsid w:val="009B681C"/>
    <w:rsid w:val="009B6DDA"/>
    <w:rsid w:val="009B7254"/>
    <w:rsid w:val="009B7A58"/>
    <w:rsid w:val="009C00C4"/>
    <w:rsid w:val="009C044E"/>
    <w:rsid w:val="009C1A5A"/>
    <w:rsid w:val="009C21AD"/>
    <w:rsid w:val="009C337F"/>
    <w:rsid w:val="009C3666"/>
    <w:rsid w:val="009C367A"/>
    <w:rsid w:val="009C3B2B"/>
    <w:rsid w:val="009C3F5D"/>
    <w:rsid w:val="009C427C"/>
    <w:rsid w:val="009C4AB1"/>
    <w:rsid w:val="009C4AB2"/>
    <w:rsid w:val="009C5781"/>
    <w:rsid w:val="009C6301"/>
    <w:rsid w:val="009C68C4"/>
    <w:rsid w:val="009C7DE4"/>
    <w:rsid w:val="009D0069"/>
    <w:rsid w:val="009D0220"/>
    <w:rsid w:val="009D0B17"/>
    <w:rsid w:val="009D0B19"/>
    <w:rsid w:val="009D305E"/>
    <w:rsid w:val="009D3338"/>
    <w:rsid w:val="009D39EB"/>
    <w:rsid w:val="009D3ED2"/>
    <w:rsid w:val="009D4CFA"/>
    <w:rsid w:val="009D5348"/>
    <w:rsid w:val="009D586B"/>
    <w:rsid w:val="009D6A3B"/>
    <w:rsid w:val="009E0BD4"/>
    <w:rsid w:val="009E10FC"/>
    <w:rsid w:val="009E1366"/>
    <w:rsid w:val="009E1FDB"/>
    <w:rsid w:val="009E26DD"/>
    <w:rsid w:val="009E28AB"/>
    <w:rsid w:val="009E2A56"/>
    <w:rsid w:val="009E3629"/>
    <w:rsid w:val="009E4E36"/>
    <w:rsid w:val="009E6258"/>
    <w:rsid w:val="009E7921"/>
    <w:rsid w:val="009E7C7E"/>
    <w:rsid w:val="009F0635"/>
    <w:rsid w:val="009F2C2A"/>
    <w:rsid w:val="009F3125"/>
    <w:rsid w:val="009F3A8B"/>
    <w:rsid w:val="009F3BD5"/>
    <w:rsid w:val="009F3FE0"/>
    <w:rsid w:val="009F4283"/>
    <w:rsid w:val="009F4592"/>
    <w:rsid w:val="009F4976"/>
    <w:rsid w:val="009F4DF6"/>
    <w:rsid w:val="009F61CA"/>
    <w:rsid w:val="009F62EF"/>
    <w:rsid w:val="009F6D27"/>
    <w:rsid w:val="009F6D80"/>
    <w:rsid w:val="009F6FD5"/>
    <w:rsid w:val="009F7955"/>
    <w:rsid w:val="009F7A4F"/>
    <w:rsid w:val="009F7D96"/>
    <w:rsid w:val="009F7F6A"/>
    <w:rsid w:val="00A00143"/>
    <w:rsid w:val="00A01067"/>
    <w:rsid w:val="00A0232E"/>
    <w:rsid w:val="00A024F3"/>
    <w:rsid w:val="00A02592"/>
    <w:rsid w:val="00A02F9E"/>
    <w:rsid w:val="00A037DF"/>
    <w:rsid w:val="00A03B4F"/>
    <w:rsid w:val="00A03E36"/>
    <w:rsid w:val="00A05593"/>
    <w:rsid w:val="00A05906"/>
    <w:rsid w:val="00A05BEC"/>
    <w:rsid w:val="00A070BF"/>
    <w:rsid w:val="00A07E71"/>
    <w:rsid w:val="00A108CE"/>
    <w:rsid w:val="00A1105C"/>
    <w:rsid w:val="00A1181A"/>
    <w:rsid w:val="00A11879"/>
    <w:rsid w:val="00A11B65"/>
    <w:rsid w:val="00A11C1E"/>
    <w:rsid w:val="00A11D78"/>
    <w:rsid w:val="00A11DF6"/>
    <w:rsid w:val="00A123C1"/>
    <w:rsid w:val="00A12551"/>
    <w:rsid w:val="00A134E8"/>
    <w:rsid w:val="00A13F27"/>
    <w:rsid w:val="00A15878"/>
    <w:rsid w:val="00A15BC8"/>
    <w:rsid w:val="00A167D2"/>
    <w:rsid w:val="00A16B78"/>
    <w:rsid w:val="00A16D81"/>
    <w:rsid w:val="00A17125"/>
    <w:rsid w:val="00A20797"/>
    <w:rsid w:val="00A21788"/>
    <w:rsid w:val="00A237E7"/>
    <w:rsid w:val="00A243FD"/>
    <w:rsid w:val="00A24D7D"/>
    <w:rsid w:val="00A25339"/>
    <w:rsid w:val="00A258CD"/>
    <w:rsid w:val="00A25E05"/>
    <w:rsid w:val="00A26461"/>
    <w:rsid w:val="00A26860"/>
    <w:rsid w:val="00A26D36"/>
    <w:rsid w:val="00A306E0"/>
    <w:rsid w:val="00A30721"/>
    <w:rsid w:val="00A308D4"/>
    <w:rsid w:val="00A322DF"/>
    <w:rsid w:val="00A323DA"/>
    <w:rsid w:val="00A331F8"/>
    <w:rsid w:val="00A3373D"/>
    <w:rsid w:val="00A36323"/>
    <w:rsid w:val="00A368E2"/>
    <w:rsid w:val="00A3786D"/>
    <w:rsid w:val="00A40562"/>
    <w:rsid w:val="00A410FF"/>
    <w:rsid w:val="00A4160E"/>
    <w:rsid w:val="00A42EEB"/>
    <w:rsid w:val="00A42F9C"/>
    <w:rsid w:val="00A43D69"/>
    <w:rsid w:val="00A460EC"/>
    <w:rsid w:val="00A46559"/>
    <w:rsid w:val="00A479BF"/>
    <w:rsid w:val="00A504E3"/>
    <w:rsid w:val="00A515D4"/>
    <w:rsid w:val="00A51B6F"/>
    <w:rsid w:val="00A51D8B"/>
    <w:rsid w:val="00A52387"/>
    <w:rsid w:val="00A524A7"/>
    <w:rsid w:val="00A52729"/>
    <w:rsid w:val="00A530E8"/>
    <w:rsid w:val="00A532C7"/>
    <w:rsid w:val="00A5395E"/>
    <w:rsid w:val="00A54015"/>
    <w:rsid w:val="00A548C0"/>
    <w:rsid w:val="00A5560B"/>
    <w:rsid w:val="00A5598F"/>
    <w:rsid w:val="00A56EDC"/>
    <w:rsid w:val="00A5707B"/>
    <w:rsid w:val="00A5732A"/>
    <w:rsid w:val="00A579A8"/>
    <w:rsid w:val="00A57A9F"/>
    <w:rsid w:val="00A57F05"/>
    <w:rsid w:val="00A60B3E"/>
    <w:rsid w:val="00A60E23"/>
    <w:rsid w:val="00A60EA5"/>
    <w:rsid w:val="00A6360D"/>
    <w:rsid w:val="00A63988"/>
    <w:rsid w:val="00A63C9C"/>
    <w:rsid w:val="00A63DB1"/>
    <w:rsid w:val="00A6479B"/>
    <w:rsid w:val="00A648FE"/>
    <w:rsid w:val="00A64BD7"/>
    <w:rsid w:val="00A65ABF"/>
    <w:rsid w:val="00A66270"/>
    <w:rsid w:val="00A66712"/>
    <w:rsid w:val="00A66926"/>
    <w:rsid w:val="00A66C21"/>
    <w:rsid w:val="00A66D28"/>
    <w:rsid w:val="00A67542"/>
    <w:rsid w:val="00A71BA0"/>
    <w:rsid w:val="00A72CE4"/>
    <w:rsid w:val="00A73413"/>
    <w:rsid w:val="00A73B34"/>
    <w:rsid w:val="00A746B2"/>
    <w:rsid w:val="00A747D5"/>
    <w:rsid w:val="00A74A02"/>
    <w:rsid w:val="00A75A62"/>
    <w:rsid w:val="00A75B4C"/>
    <w:rsid w:val="00A75EF8"/>
    <w:rsid w:val="00A766A0"/>
    <w:rsid w:val="00A77525"/>
    <w:rsid w:val="00A80FB8"/>
    <w:rsid w:val="00A8102D"/>
    <w:rsid w:val="00A81D31"/>
    <w:rsid w:val="00A81F50"/>
    <w:rsid w:val="00A822F0"/>
    <w:rsid w:val="00A82834"/>
    <w:rsid w:val="00A82C0A"/>
    <w:rsid w:val="00A83ACD"/>
    <w:rsid w:val="00A83C1A"/>
    <w:rsid w:val="00A83FC6"/>
    <w:rsid w:val="00A8484D"/>
    <w:rsid w:val="00A84D38"/>
    <w:rsid w:val="00A8537C"/>
    <w:rsid w:val="00A853D2"/>
    <w:rsid w:val="00A8599F"/>
    <w:rsid w:val="00A85BCC"/>
    <w:rsid w:val="00A85D01"/>
    <w:rsid w:val="00A86898"/>
    <w:rsid w:val="00A87448"/>
    <w:rsid w:val="00A87488"/>
    <w:rsid w:val="00A874FC"/>
    <w:rsid w:val="00A902B0"/>
    <w:rsid w:val="00A9035B"/>
    <w:rsid w:val="00A90784"/>
    <w:rsid w:val="00A9151B"/>
    <w:rsid w:val="00A91C8A"/>
    <w:rsid w:val="00A91DC6"/>
    <w:rsid w:val="00A94088"/>
    <w:rsid w:val="00A952F4"/>
    <w:rsid w:val="00A95D35"/>
    <w:rsid w:val="00A95E9F"/>
    <w:rsid w:val="00A97115"/>
    <w:rsid w:val="00A97610"/>
    <w:rsid w:val="00AA003C"/>
    <w:rsid w:val="00AA0771"/>
    <w:rsid w:val="00AA212D"/>
    <w:rsid w:val="00AA25E6"/>
    <w:rsid w:val="00AA4127"/>
    <w:rsid w:val="00AA4419"/>
    <w:rsid w:val="00AA45D3"/>
    <w:rsid w:val="00AA4CC6"/>
    <w:rsid w:val="00AA4EE1"/>
    <w:rsid w:val="00AA5819"/>
    <w:rsid w:val="00AA5F3E"/>
    <w:rsid w:val="00AA6177"/>
    <w:rsid w:val="00AA6523"/>
    <w:rsid w:val="00AA7EDB"/>
    <w:rsid w:val="00AB0BFB"/>
    <w:rsid w:val="00AB227F"/>
    <w:rsid w:val="00AB265A"/>
    <w:rsid w:val="00AB3B6C"/>
    <w:rsid w:val="00AB4C24"/>
    <w:rsid w:val="00AB4D11"/>
    <w:rsid w:val="00AB609C"/>
    <w:rsid w:val="00AB679A"/>
    <w:rsid w:val="00AB6B73"/>
    <w:rsid w:val="00AC11FD"/>
    <w:rsid w:val="00AC3095"/>
    <w:rsid w:val="00AC3699"/>
    <w:rsid w:val="00AC3A76"/>
    <w:rsid w:val="00AC42A9"/>
    <w:rsid w:val="00AC4B3E"/>
    <w:rsid w:val="00AC60E7"/>
    <w:rsid w:val="00AC63CD"/>
    <w:rsid w:val="00AC6669"/>
    <w:rsid w:val="00AC6A07"/>
    <w:rsid w:val="00AC7A8E"/>
    <w:rsid w:val="00AD03D0"/>
    <w:rsid w:val="00AD247A"/>
    <w:rsid w:val="00AD258E"/>
    <w:rsid w:val="00AD4708"/>
    <w:rsid w:val="00AD5B58"/>
    <w:rsid w:val="00AD5E4B"/>
    <w:rsid w:val="00AD5FCF"/>
    <w:rsid w:val="00AE0030"/>
    <w:rsid w:val="00AE09D1"/>
    <w:rsid w:val="00AE0AF3"/>
    <w:rsid w:val="00AE0EF0"/>
    <w:rsid w:val="00AE113D"/>
    <w:rsid w:val="00AE2123"/>
    <w:rsid w:val="00AE22D3"/>
    <w:rsid w:val="00AE32D7"/>
    <w:rsid w:val="00AE3475"/>
    <w:rsid w:val="00AE46A6"/>
    <w:rsid w:val="00AE4C20"/>
    <w:rsid w:val="00AE4F72"/>
    <w:rsid w:val="00AE63DD"/>
    <w:rsid w:val="00AE738B"/>
    <w:rsid w:val="00AE7F69"/>
    <w:rsid w:val="00AF02CE"/>
    <w:rsid w:val="00AF06F4"/>
    <w:rsid w:val="00AF0D6A"/>
    <w:rsid w:val="00AF1088"/>
    <w:rsid w:val="00AF10F2"/>
    <w:rsid w:val="00AF17D7"/>
    <w:rsid w:val="00AF1E30"/>
    <w:rsid w:val="00AF1FF4"/>
    <w:rsid w:val="00AF221D"/>
    <w:rsid w:val="00AF28DD"/>
    <w:rsid w:val="00AF2CEE"/>
    <w:rsid w:val="00AF2FF6"/>
    <w:rsid w:val="00AF3015"/>
    <w:rsid w:val="00AF3A51"/>
    <w:rsid w:val="00AF3C5B"/>
    <w:rsid w:val="00AF4A48"/>
    <w:rsid w:val="00AF563A"/>
    <w:rsid w:val="00AF56B2"/>
    <w:rsid w:val="00AF68D7"/>
    <w:rsid w:val="00AF70EE"/>
    <w:rsid w:val="00AF71CB"/>
    <w:rsid w:val="00AF777D"/>
    <w:rsid w:val="00B00207"/>
    <w:rsid w:val="00B00A43"/>
    <w:rsid w:val="00B00E0A"/>
    <w:rsid w:val="00B00EB4"/>
    <w:rsid w:val="00B010B0"/>
    <w:rsid w:val="00B0128E"/>
    <w:rsid w:val="00B04B3C"/>
    <w:rsid w:val="00B04FFE"/>
    <w:rsid w:val="00B050BA"/>
    <w:rsid w:val="00B05D7B"/>
    <w:rsid w:val="00B05DBB"/>
    <w:rsid w:val="00B06887"/>
    <w:rsid w:val="00B069E7"/>
    <w:rsid w:val="00B074F3"/>
    <w:rsid w:val="00B07A9F"/>
    <w:rsid w:val="00B07DD1"/>
    <w:rsid w:val="00B10BF1"/>
    <w:rsid w:val="00B11949"/>
    <w:rsid w:val="00B12B4C"/>
    <w:rsid w:val="00B132BB"/>
    <w:rsid w:val="00B134C8"/>
    <w:rsid w:val="00B1359B"/>
    <w:rsid w:val="00B146D7"/>
    <w:rsid w:val="00B15322"/>
    <w:rsid w:val="00B15712"/>
    <w:rsid w:val="00B15A27"/>
    <w:rsid w:val="00B164A9"/>
    <w:rsid w:val="00B16D80"/>
    <w:rsid w:val="00B2031C"/>
    <w:rsid w:val="00B207C5"/>
    <w:rsid w:val="00B20B30"/>
    <w:rsid w:val="00B21118"/>
    <w:rsid w:val="00B21FE8"/>
    <w:rsid w:val="00B22728"/>
    <w:rsid w:val="00B22CEF"/>
    <w:rsid w:val="00B22FAC"/>
    <w:rsid w:val="00B23525"/>
    <w:rsid w:val="00B24988"/>
    <w:rsid w:val="00B24A8D"/>
    <w:rsid w:val="00B24B6A"/>
    <w:rsid w:val="00B24BCA"/>
    <w:rsid w:val="00B25580"/>
    <w:rsid w:val="00B25B93"/>
    <w:rsid w:val="00B25DFF"/>
    <w:rsid w:val="00B26584"/>
    <w:rsid w:val="00B271B9"/>
    <w:rsid w:val="00B2755C"/>
    <w:rsid w:val="00B3013F"/>
    <w:rsid w:val="00B314BF"/>
    <w:rsid w:val="00B31DF7"/>
    <w:rsid w:val="00B33264"/>
    <w:rsid w:val="00B33813"/>
    <w:rsid w:val="00B33B14"/>
    <w:rsid w:val="00B34AFE"/>
    <w:rsid w:val="00B3509B"/>
    <w:rsid w:val="00B353BB"/>
    <w:rsid w:val="00B354E5"/>
    <w:rsid w:val="00B354F6"/>
    <w:rsid w:val="00B355ED"/>
    <w:rsid w:val="00B357D2"/>
    <w:rsid w:val="00B35C8F"/>
    <w:rsid w:val="00B36AFD"/>
    <w:rsid w:val="00B374B5"/>
    <w:rsid w:val="00B408E0"/>
    <w:rsid w:val="00B40F3C"/>
    <w:rsid w:val="00B41841"/>
    <w:rsid w:val="00B41CB9"/>
    <w:rsid w:val="00B420FB"/>
    <w:rsid w:val="00B4216C"/>
    <w:rsid w:val="00B42337"/>
    <w:rsid w:val="00B436EA"/>
    <w:rsid w:val="00B44FA7"/>
    <w:rsid w:val="00B4563A"/>
    <w:rsid w:val="00B5007C"/>
    <w:rsid w:val="00B505FE"/>
    <w:rsid w:val="00B508E0"/>
    <w:rsid w:val="00B509E2"/>
    <w:rsid w:val="00B5332C"/>
    <w:rsid w:val="00B537D4"/>
    <w:rsid w:val="00B5415E"/>
    <w:rsid w:val="00B54D18"/>
    <w:rsid w:val="00B563B3"/>
    <w:rsid w:val="00B5710E"/>
    <w:rsid w:val="00B60FE5"/>
    <w:rsid w:val="00B6158F"/>
    <w:rsid w:val="00B62034"/>
    <w:rsid w:val="00B64E2C"/>
    <w:rsid w:val="00B65684"/>
    <w:rsid w:val="00B6696A"/>
    <w:rsid w:val="00B66D6F"/>
    <w:rsid w:val="00B66E1D"/>
    <w:rsid w:val="00B6709D"/>
    <w:rsid w:val="00B6794D"/>
    <w:rsid w:val="00B679F0"/>
    <w:rsid w:val="00B67C0D"/>
    <w:rsid w:val="00B7056F"/>
    <w:rsid w:val="00B70A77"/>
    <w:rsid w:val="00B70A9F"/>
    <w:rsid w:val="00B70C96"/>
    <w:rsid w:val="00B712EC"/>
    <w:rsid w:val="00B71425"/>
    <w:rsid w:val="00B71702"/>
    <w:rsid w:val="00B72130"/>
    <w:rsid w:val="00B72FC5"/>
    <w:rsid w:val="00B73357"/>
    <w:rsid w:val="00B73A9D"/>
    <w:rsid w:val="00B7460D"/>
    <w:rsid w:val="00B74C80"/>
    <w:rsid w:val="00B75047"/>
    <w:rsid w:val="00B75A6D"/>
    <w:rsid w:val="00B75D4E"/>
    <w:rsid w:val="00B76926"/>
    <w:rsid w:val="00B76B9B"/>
    <w:rsid w:val="00B76D13"/>
    <w:rsid w:val="00B774DD"/>
    <w:rsid w:val="00B805A5"/>
    <w:rsid w:val="00B816D0"/>
    <w:rsid w:val="00B83F09"/>
    <w:rsid w:val="00B8430B"/>
    <w:rsid w:val="00B87072"/>
    <w:rsid w:val="00B8708D"/>
    <w:rsid w:val="00B877F6"/>
    <w:rsid w:val="00B90C8A"/>
    <w:rsid w:val="00B913F9"/>
    <w:rsid w:val="00B92890"/>
    <w:rsid w:val="00B92C29"/>
    <w:rsid w:val="00B94380"/>
    <w:rsid w:val="00B9471D"/>
    <w:rsid w:val="00B94B1A"/>
    <w:rsid w:val="00B958FF"/>
    <w:rsid w:val="00B965AB"/>
    <w:rsid w:val="00B96991"/>
    <w:rsid w:val="00B9729A"/>
    <w:rsid w:val="00B972A3"/>
    <w:rsid w:val="00BA0468"/>
    <w:rsid w:val="00BA1CE0"/>
    <w:rsid w:val="00BA1F24"/>
    <w:rsid w:val="00BA341E"/>
    <w:rsid w:val="00BA34CF"/>
    <w:rsid w:val="00BA34FB"/>
    <w:rsid w:val="00BA49D5"/>
    <w:rsid w:val="00BA4A8A"/>
    <w:rsid w:val="00BA5056"/>
    <w:rsid w:val="00BA5F22"/>
    <w:rsid w:val="00BA6EB3"/>
    <w:rsid w:val="00BA7CFF"/>
    <w:rsid w:val="00BB1A1D"/>
    <w:rsid w:val="00BB1D24"/>
    <w:rsid w:val="00BB211E"/>
    <w:rsid w:val="00BB2199"/>
    <w:rsid w:val="00BB22C0"/>
    <w:rsid w:val="00BB24FB"/>
    <w:rsid w:val="00BB3238"/>
    <w:rsid w:val="00BB3482"/>
    <w:rsid w:val="00BB3D02"/>
    <w:rsid w:val="00BB49A6"/>
    <w:rsid w:val="00BB4CB8"/>
    <w:rsid w:val="00BB4D05"/>
    <w:rsid w:val="00BB4E23"/>
    <w:rsid w:val="00BB6705"/>
    <w:rsid w:val="00BB777C"/>
    <w:rsid w:val="00BB798F"/>
    <w:rsid w:val="00BC0E8E"/>
    <w:rsid w:val="00BC10E5"/>
    <w:rsid w:val="00BC2C72"/>
    <w:rsid w:val="00BC2F61"/>
    <w:rsid w:val="00BC340C"/>
    <w:rsid w:val="00BC351B"/>
    <w:rsid w:val="00BC380A"/>
    <w:rsid w:val="00BC3B17"/>
    <w:rsid w:val="00BC3B58"/>
    <w:rsid w:val="00BC5B02"/>
    <w:rsid w:val="00BC6550"/>
    <w:rsid w:val="00BC6D5D"/>
    <w:rsid w:val="00BD054D"/>
    <w:rsid w:val="00BD272F"/>
    <w:rsid w:val="00BD273E"/>
    <w:rsid w:val="00BD430E"/>
    <w:rsid w:val="00BD4476"/>
    <w:rsid w:val="00BD4C80"/>
    <w:rsid w:val="00BD5BE3"/>
    <w:rsid w:val="00BD5D07"/>
    <w:rsid w:val="00BD6090"/>
    <w:rsid w:val="00BD6825"/>
    <w:rsid w:val="00BD6E0B"/>
    <w:rsid w:val="00BE02F5"/>
    <w:rsid w:val="00BE1095"/>
    <w:rsid w:val="00BE1373"/>
    <w:rsid w:val="00BE4B4D"/>
    <w:rsid w:val="00BE5090"/>
    <w:rsid w:val="00BE56C0"/>
    <w:rsid w:val="00BE6912"/>
    <w:rsid w:val="00BE7698"/>
    <w:rsid w:val="00BE789B"/>
    <w:rsid w:val="00BE7E71"/>
    <w:rsid w:val="00BF0C15"/>
    <w:rsid w:val="00BF0C66"/>
    <w:rsid w:val="00BF151B"/>
    <w:rsid w:val="00BF18BF"/>
    <w:rsid w:val="00BF1D69"/>
    <w:rsid w:val="00BF222F"/>
    <w:rsid w:val="00BF2EE2"/>
    <w:rsid w:val="00BF4093"/>
    <w:rsid w:val="00BF4B42"/>
    <w:rsid w:val="00BF535C"/>
    <w:rsid w:val="00BF5EF0"/>
    <w:rsid w:val="00C00974"/>
    <w:rsid w:val="00C01449"/>
    <w:rsid w:val="00C01F0C"/>
    <w:rsid w:val="00C03656"/>
    <w:rsid w:val="00C048FC"/>
    <w:rsid w:val="00C05AC0"/>
    <w:rsid w:val="00C061A6"/>
    <w:rsid w:val="00C070A1"/>
    <w:rsid w:val="00C07F6E"/>
    <w:rsid w:val="00C1124B"/>
    <w:rsid w:val="00C11BB2"/>
    <w:rsid w:val="00C120E2"/>
    <w:rsid w:val="00C12336"/>
    <w:rsid w:val="00C12FCB"/>
    <w:rsid w:val="00C130F7"/>
    <w:rsid w:val="00C13137"/>
    <w:rsid w:val="00C147D9"/>
    <w:rsid w:val="00C14812"/>
    <w:rsid w:val="00C150E1"/>
    <w:rsid w:val="00C16025"/>
    <w:rsid w:val="00C163A8"/>
    <w:rsid w:val="00C16668"/>
    <w:rsid w:val="00C17898"/>
    <w:rsid w:val="00C17AF6"/>
    <w:rsid w:val="00C17D61"/>
    <w:rsid w:val="00C20864"/>
    <w:rsid w:val="00C20F4C"/>
    <w:rsid w:val="00C20FE1"/>
    <w:rsid w:val="00C21E49"/>
    <w:rsid w:val="00C2384B"/>
    <w:rsid w:val="00C23ECD"/>
    <w:rsid w:val="00C2462E"/>
    <w:rsid w:val="00C257FA"/>
    <w:rsid w:val="00C264C6"/>
    <w:rsid w:val="00C26D76"/>
    <w:rsid w:val="00C27318"/>
    <w:rsid w:val="00C30233"/>
    <w:rsid w:val="00C30818"/>
    <w:rsid w:val="00C30CF6"/>
    <w:rsid w:val="00C3259E"/>
    <w:rsid w:val="00C32834"/>
    <w:rsid w:val="00C32C1A"/>
    <w:rsid w:val="00C331D1"/>
    <w:rsid w:val="00C3325A"/>
    <w:rsid w:val="00C340C1"/>
    <w:rsid w:val="00C349E1"/>
    <w:rsid w:val="00C3503A"/>
    <w:rsid w:val="00C3533B"/>
    <w:rsid w:val="00C35E2B"/>
    <w:rsid w:val="00C363FC"/>
    <w:rsid w:val="00C40615"/>
    <w:rsid w:val="00C4153E"/>
    <w:rsid w:val="00C419EE"/>
    <w:rsid w:val="00C41E45"/>
    <w:rsid w:val="00C42102"/>
    <w:rsid w:val="00C43136"/>
    <w:rsid w:val="00C44050"/>
    <w:rsid w:val="00C4504D"/>
    <w:rsid w:val="00C4582F"/>
    <w:rsid w:val="00C45BB5"/>
    <w:rsid w:val="00C460B7"/>
    <w:rsid w:val="00C46334"/>
    <w:rsid w:val="00C51152"/>
    <w:rsid w:val="00C51776"/>
    <w:rsid w:val="00C52CE3"/>
    <w:rsid w:val="00C52D29"/>
    <w:rsid w:val="00C54478"/>
    <w:rsid w:val="00C548D4"/>
    <w:rsid w:val="00C55224"/>
    <w:rsid w:val="00C553E8"/>
    <w:rsid w:val="00C5589F"/>
    <w:rsid w:val="00C55A30"/>
    <w:rsid w:val="00C55DE7"/>
    <w:rsid w:val="00C56702"/>
    <w:rsid w:val="00C56F8F"/>
    <w:rsid w:val="00C5732B"/>
    <w:rsid w:val="00C57538"/>
    <w:rsid w:val="00C57FD9"/>
    <w:rsid w:val="00C602C1"/>
    <w:rsid w:val="00C6032E"/>
    <w:rsid w:val="00C60D66"/>
    <w:rsid w:val="00C61A09"/>
    <w:rsid w:val="00C633D1"/>
    <w:rsid w:val="00C6467D"/>
    <w:rsid w:val="00C649C6"/>
    <w:rsid w:val="00C64B26"/>
    <w:rsid w:val="00C64C72"/>
    <w:rsid w:val="00C65A29"/>
    <w:rsid w:val="00C65EA1"/>
    <w:rsid w:val="00C65EEA"/>
    <w:rsid w:val="00C66268"/>
    <w:rsid w:val="00C6670C"/>
    <w:rsid w:val="00C7049E"/>
    <w:rsid w:val="00C708D2"/>
    <w:rsid w:val="00C71582"/>
    <w:rsid w:val="00C71D2B"/>
    <w:rsid w:val="00C729BE"/>
    <w:rsid w:val="00C73B0A"/>
    <w:rsid w:val="00C73DBE"/>
    <w:rsid w:val="00C73DE5"/>
    <w:rsid w:val="00C74205"/>
    <w:rsid w:val="00C74A82"/>
    <w:rsid w:val="00C74AF6"/>
    <w:rsid w:val="00C75190"/>
    <w:rsid w:val="00C75275"/>
    <w:rsid w:val="00C759EE"/>
    <w:rsid w:val="00C777E8"/>
    <w:rsid w:val="00C778D0"/>
    <w:rsid w:val="00C77BF4"/>
    <w:rsid w:val="00C807FB"/>
    <w:rsid w:val="00C81795"/>
    <w:rsid w:val="00C82078"/>
    <w:rsid w:val="00C82965"/>
    <w:rsid w:val="00C83538"/>
    <w:rsid w:val="00C83C26"/>
    <w:rsid w:val="00C8439A"/>
    <w:rsid w:val="00C84630"/>
    <w:rsid w:val="00C85626"/>
    <w:rsid w:val="00C8603D"/>
    <w:rsid w:val="00C86853"/>
    <w:rsid w:val="00C86A6C"/>
    <w:rsid w:val="00C90209"/>
    <w:rsid w:val="00C90428"/>
    <w:rsid w:val="00C915CC"/>
    <w:rsid w:val="00C916C2"/>
    <w:rsid w:val="00C91AEC"/>
    <w:rsid w:val="00C9250F"/>
    <w:rsid w:val="00C926CD"/>
    <w:rsid w:val="00C92D96"/>
    <w:rsid w:val="00C9303E"/>
    <w:rsid w:val="00C93093"/>
    <w:rsid w:val="00C933ED"/>
    <w:rsid w:val="00C9397C"/>
    <w:rsid w:val="00C93E9F"/>
    <w:rsid w:val="00C944E3"/>
    <w:rsid w:val="00C9607C"/>
    <w:rsid w:val="00C96661"/>
    <w:rsid w:val="00C97024"/>
    <w:rsid w:val="00C9789F"/>
    <w:rsid w:val="00C978DA"/>
    <w:rsid w:val="00C97E97"/>
    <w:rsid w:val="00CA0831"/>
    <w:rsid w:val="00CA0900"/>
    <w:rsid w:val="00CA0EFE"/>
    <w:rsid w:val="00CA119D"/>
    <w:rsid w:val="00CA1E2B"/>
    <w:rsid w:val="00CA227B"/>
    <w:rsid w:val="00CA2C1D"/>
    <w:rsid w:val="00CA2EFC"/>
    <w:rsid w:val="00CA3062"/>
    <w:rsid w:val="00CA403A"/>
    <w:rsid w:val="00CA6F71"/>
    <w:rsid w:val="00CA79FA"/>
    <w:rsid w:val="00CB011A"/>
    <w:rsid w:val="00CB15EB"/>
    <w:rsid w:val="00CB1DB0"/>
    <w:rsid w:val="00CB2F64"/>
    <w:rsid w:val="00CB3CA7"/>
    <w:rsid w:val="00CB4654"/>
    <w:rsid w:val="00CB4AB3"/>
    <w:rsid w:val="00CB54E7"/>
    <w:rsid w:val="00CB6ABA"/>
    <w:rsid w:val="00CB7E59"/>
    <w:rsid w:val="00CC1367"/>
    <w:rsid w:val="00CC1986"/>
    <w:rsid w:val="00CC21B0"/>
    <w:rsid w:val="00CC2D28"/>
    <w:rsid w:val="00CC2FC7"/>
    <w:rsid w:val="00CC38D4"/>
    <w:rsid w:val="00CC5055"/>
    <w:rsid w:val="00CC5666"/>
    <w:rsid w:val="00CC71C3"/>
    <w:rsid w:val="00CD09C5"/>
    <w:rsid w:val="00CD1007"/>
    <w:rsid w:val="00CD11EC"/>
    <w:rsid w:val="00CD1826"/>
    <w:rsid w:val="00CD3002"/>
    <w:rsid w:val="00CD3F9A"/>
    <w:rsid w:val="00CD527D"/>
    <w:rsid w:val="00CD5376"/>
    <w:rsid w:val="00CD545C"/>
    <w:rsid w:val="00CD5E37"/>
    <w:rsid w:val="00CD6378"/>
    <w:rsid w:val="00CD6D0A"/>
    <w:rsid w:val="00CD6FB2"/>
    <w:rsid w:val="00CD75F3"/>
    <w:rsid w:val="00CE00B1"/>
    <w:rsid w:val="00CE067B"/>
    <w:rsid w:val="00CE0BBD"/>
    <w:rsid w:val="00CE0C27"/>
    <w:rsid w:val="00CE2F9F"/>
    <w:rsid w:val="00CE337B"/>
    <w:rsid w:val="00CE35AB"/>
    <w:rsid w:val="00CE3F3F"/>
    <w:rsid w:val="00CE5063"/>
    <w:rsid w:val="00CE5277"/>
    <w:rsid w:val="00CE5380"/>
    <w:rsid w:val="00CE556E"/>
    <w:rsid w:val="00CE5B11"/>
    <w:rsid w:val="00CE694F"/>
    <w:rsid w:val="00CE6CFC"/>
    <w:rsid w:val="00CE6DEB"/>
    <w:rsid w:val="00CE75F0"/>
    <w:rsid w:val="00CE77EE"/>
    <w:rsid w:val="00CF1420"/>
    <w:rsid w:val="00CF174A"/>
    <w:rsid w:val="00CF178E"/>
    <w:rsid w:val="00CF17E7"/>
    <w:rsid w:val="00CF1D5D"/>
    <w:rsid w:val="00CF30F5"/>
    <w:rsid w:val="00CF39A1"/>
    <w:rsid w:val="00CF3FE4"/>
    <w:rsid w:val="00CF45E6"/>
    <w:rsid w:val="00CF4D59"/>
    <w:rsid w:val="00CF54B6"/>
    <w:rsid w:val="00CF63E4"/>
    <w:rsid w:val="00CF760A"/>
    <w:rsid w:val="00CF7F4B"/>
    <w:rsid w:val="00D016C0"/>
    <w:rsid w:val="00D017CA"/>
    <w:rsid w:val="00D01ADB"/>
    <w:rsid w:val="00D01D27"/>
    <w:rsid w:val="00D02304"/>
    <w:rsid w:val="00D0239E"/>
    <w:rsid w:val="00D02A4D"/>
    <w:rsid w:val="00D03974"/>
    <w:rsid w:val="00D04DFD"/>
    <w:rsid w:val="00D07908"/>
    <w:rsid w:val="00D079C1"/>
    <w:rsid w:val="00D11363"/>
    <w:rsid w:val="00D11AC4"/>
    <w:rsid w:val="00D12852"/>
    <w:rsid w:val="00D12D39"/>
    <w:rsid w:val="00D12E2C"/>
    <w:rsid w:val="00D13EDB"/>
    <w:rsid w:val="00D14F17"/>
    <w:rsid w:val="00D150A9"/>
    <w:rsid w:val="00D156A3"/>
    <w:rsid w:val="00D20222"/>
    <w:rsid w:val="00D2134C"/>
    <w:rsid w:val="00D22E00"/>
    <w:rsid w:val="00D23945"/>
    <w:rsid w:val="00D23D86"/>
    <w:rsid w:val="00D240ED"/>
    <w:rsid w:val="00D25101"/>
    <w:rsid w:val="00D25646"/>
    <w:rsid w:val="00D26BB7"/>
    <w:rsid w:val="00D26FA4"/>
    <w:rsid w:val="00D27762"/>
    <w:rsid w:val="00D303C3"/>
    <w:rsid w:val="00D30BAD"/>
    <w:rsid w:val="00D30E9F"/>
    <w:rsid w:val="00D317DC"/>
    <w:rsid w:val="00D318E8"/>
    <w:rsid w:val="00D34095"/>
    <w:rsid w:val="00D347A7"/>
    <w:rsid w:val="00D34852"/>
    <w:rsid w:val="00D36095"/>
    <w:rsid w:val="00D3644E"/>
    <w:rsid w:val="00D36B85"/>
    <w:rsid w:val="00D36E04"/>
    <w:rsid w:val="00D370EA"/>
    <w:rsid w:val="00D37220"/>
    <w:rsid w:val="00D3798D"/>
    <w:rsid w:val="00D42B87"/>
    <w:rsid w:val="00D437A2"/>
    <w:rsid w:val="00D447BB"/>
    <w:rsid w:val="00D46599"/>
    <w:rsid w:val="00D46D1D"/>
    <w:rsid w:val="00D47037"/>
    <w:rsid w:val="00D47168"/>
    <w:rsid w:val="00D4764C"/>
    <w:rsid w:val="00D504A6"/>
    <w:rsid w:val="00D521B9"/>
    <w:rsid w:val="00D52DED"/>
    <w:rsid w:val="00D543C1"/>
    <w:rsid w:val="00D554C6"/>
    <w:rsid w:val="00D5592B"/>
    <w:rsid w:val="00D55946"/>
    <w:rsid w:val="00D559E1"/>
    <w:rsid w:val="00D55AAD"/>
    <w:rsid w:val="00D5635E"/>
    <w:rsid w:val="00D5749F"/>
    <w:rsid w:val="00D60C19"/>
    <w:rsid w:val="00D617C6"/>
    <w:rsid w:val="00D61EAB"/>
    <w:rsid w:val="00D61FDC"/>
    <w:rsid w:val="00D63967"/>
    <w:rsid w:val="00D64528"/>
    <w:rsid w:val="00D64BB5"/>
    <w:rsid w:val="00D64BFF"/>
    <w:rsid w:val="00D65408"/>
    <w:rsid w:val="00D66483"/>
    <w:rsid w:val="00D6655F"/>
    <w:rsid w:val="00D706EC"/>
    <w:rsid w:val="00D70738"/>
    <w:rsid w:val="00D70EFE"/>
    <w:rsid w:val="00D70FCD"/>
    <w:rsid w:val="00D71184"/>
    <w:rsid w:val="00D71195"/>
    <w:rsid w:val="00D71ADC"/>
    <w:rsid w:val="00D71B58"/>
    <w:rsid w:val="00D742A1"/>
    <w:rsid w:val="00D746FF"/>
    <w:rsid w:val="00D75BB8"/>
    <w:rsid w:val="00D760FA"/>
    <w:rsid w:val="00D764A8"/>
    <w:rsid w:val="00D76D95"/>
    <w:rsid w:val="00D7766A"/>
    <w:rsid w:val="00D80EE9"/>
    <w:rsid w:val="00D810B5"/>
    <w:rsid w:val="00D82674"/>
    <w:rsid w:val="00D82897"/>
    <w:rsid w:val="00D835D7"/>
    <w:rsid w:val="00D83608"/>
    <w:rsid w:val="00D841C1"/>
    <w:rsid w:val="00D84515"/>
    <w:rsid w:val="00D854F4"/>
    <w:rsid w:val="00D85885"/>
    <w:rsid w:val="00D85C91"/>
    <w:rsid w:val="00D864A5"/>
    <w:rsid w:val="00D87421"/>
    <w:rsid w:val="00D87E75"/>
    <w:rsid w:val="00D93C87"/>
    <w:rsid w:val="00D93D66"/>
    <w:rsid w:val="00D96577"/>
    <w:rsid w:val="00D96C97"/>
    <w:rsid w:val="00D96F84"/>
    <w:rsid w:val="00D97879"/>
    <w:rsid w:val="00D97DAC"/>
    <w:rsid w:val="00DA0878"/>
    <w:rsid w:val="00DA2B7F"/>
    <w:rsid w:val="00DA34DE"/>
    <w:rsid w:val="00DA4A7B"/>
    <w:rsid w:val="00DA4C97"/>
    <w:rsid w:val="00DA537C"/>
    <w:rsid w:val="00DA5456"/>
    <w:rsid w:val="00DA75A8"/>
    <w:rsid w:val="00DA76A4"/>
    <w:rsid w:val="00DA76B8"/>
    <w:rsid w:val="00DA783C"/>
    <w:rsid w:val="00DA7F77"/>
    <w:rsid w:val="00DB0304"/>
    <w:rsid w:val="00DB2047"/>
    <w:rsid w:val="00DB3B90"/>
    <w:rsid w:val="00DB3C02"/>
    <w:rsid w:val="00DB4A57"/>
    <w:rsid w:val="00DB6279"/>
    <w:rsid w:val="00DB71FA"/>
    <w:rsid w:val="00DB776F"/>
    <w:rsid w:val="00DB7D44"/>
    <w:rsid w:val="00DB7D4E"/>
    <w:rsid w:val="00DB7E31"/>
    <w:rsid w:val="00DC059C"/>
    <w:rsid w:val="00DC1382"/>
    <w:rsid w:val="00DC23A7"/>
    <w:rsid w:val="00DC25F9"/>
    <w:rsid w:val="00DC2766"/>
    <w:rsid w:val="00DC322B"/>
    <w:rsid w:val="00DC48AB"/>
    <w:rsid w:val="00DC4B93"/>
    <w:rsid w:val="00DC4ED9"/>
    <w:rsid w:val="00DC4F0E"/>
    <w:rsid w:val="00DC5777"/>
    <w:rsid w:val="00DC5C16"/>
    <w:rsid w:val="00DC64B8"/>
    <w:rsid w:val="00DC6600"/>
    <w:rsid w:val="00DC7847"/>
    <w:rsid w:val="00DD001C"/>
    <w:rsid w:val="00DD03ED"/>
    <w:rsid w:val="00DD17B5"/>
    <w:rsid w:val="00DD1E1F"/>
    <w:rsid w:val="00DD2352"/>
    <w:rsid w:val="00DD25E1"/>
    <w:rsid w:val="00DD26ED"/>
    <w:rsid w:val="00DD2AFB"/>
    <w:rsid w:val="00DD3393"/>
    <w:rsid w:val="00DD351D"/>
    <w:rsid w:val="00DD3D01"/>
    <w:rsid w:val="00DD40F2"/>
    <w:rsid w:val="00DD4CB2"/>
    <w:rsid w:val="00DD4F6B"/>
    <w:rsid w:val="00DD4FA5"/>
    <w:rsid w:val="00DD59B8"/>
    <w:rsid w:val="00DD5F98"/>
    <w:rsid w:val="00DD5FC6"/>
    <w:rsid w:val="00DD6115"/>
    <w:rsid w:val="00DD7297"/>
    <w:rsid w:val="00DE0275"/>
    <w:rsid w:val="00DE168E"/>
    <w:rsid w:val="00DE16B8"/>
    <w:rsid w:val="00DE1B73"/>
    <w:rsid w:val="00DE1E59"/>
    <w:rsid w:val="00DE2B27"/>
    <w:rsid w:val="00DE387B"/>
    <w:rsid w:val="00DE53C9"/>
    <w:rsid w:val="00DE6245"/>
    <w:rsid w:val="00DE6D98"/>
    <w:rsid w:val="00DE78C0"/>
    <w:rsid w:val="00DE7D24"/>
    <w:rsid w:val="00DF0C28"/>
    <w:rsid w:val="00DF1474"/>
    <w:rsid w:val="00DF17CD"/>
    <w:rsid w:val="00DF3B68"/>
    <w:rsid w:val="00DF409D"/>
    <w:rsid w:val="00DF43B2"/>
    <w:rsid w:val="00DF461B"/>
    <w:rsid w:val="00DF4802"/>
    <w:rsid w:val="00DF6175"/>
    <w:rsid w:val="00DF77CE"/>
    <w:rsid w:val="00DF78E3"/>
    <w:rsid w:val="00E01C37"/>
    <w:rsid w:val="00E020AC"/>
    <w:rsid w:val="00E0226B"/>
    <w:rsid w:val="00E02D60"/>
    <w:rsid w:val="00E035EF"/>
    <w:rsid w:val="00E046F4"/>
    <w:rsid w:val="00E0519A"/>
    <w:rsid w:val="00E05E9A"/>
    <w:rsid w:val="00E06EAC"/>
    <w:rsid w:val="00E07FBD"/>
    <w:rsid w:val="00E10F9F"/>
    <w:rsid w:val="00E11C32"/>
    <w:rsid w:val="00E1339B"/>
    <w:rsid w:val="00E146C0"/>
    <w:rsid w:val="00E157B2"/>
    <w:rsid w:val="00E15BA8"/>
    <w:rsid w:val="00E16275"/>
    <w:rsid w:val="00E169FD"/>
    <w:rsid w:val="00E16C5D"/>
    <w:rsid w:val="00E170B7"/>
    <w:rsid w:val="00E17100"/>
    <w:rsid w:val="00E173E1"/>
    <w:rsid w:val="00E173E6"/>
    <w:rsid w:val="00E20183"/>
    <w:rsid w:val="00E202EC"/>
    <w:rsid w:val="00E209A4"/>
    <w:rsid w:val="00E209F8"/>
    <w:rsid w:val="00E20B4E"/>
    <w:rsid w:val="00E214F0"/>
    <w:rsid w:val="00E219EC"/>
    <w:rsid w:val="00E23797"/>
    <w:rsid w:val="00E243A6"/>
    <w:rsid w:val="00E245C2"/>
    <w:rsid w:val="00E24B44"/>
    <w:rsid w:val="00E24D9B"/>
    <w:rsid w:val="00E24F88"/>
    <w:rsid w:val="00E251C1"/>
    <w:rsid w:val="00E25826"/>
    <w:rsid w:val="00E25A79"/>
    <w:rsid w:val="00E2609D"/>
    <w:rsid w:val="00E269D2"/>
    <w:rsid w:val="00E274B9"/>
    <w:rsid w:val="00E3044C"/>
    <w:rsid w:val="00E3113A"/>
    <w:rsid w:val="00E33744"/>
    <w:rsid w:val="00E33FD7"/>
    <w:rsid w:val="00E34CAE"/>
    <w:rsid w:val="00E3548E"/>
    <w:rsid w:val="00E35B64"/>
    <w:rsid w:val="00E35BEC"/>
    <w:rsid w:val="00E35C11"/>
    <w:rsid w:val="00E36406"/>
    <w:rsid w:val="00E365BD"/>
    <w:rsid w:val="00E371C3"/>
    <w:rsid w:val="00E37738"/>
    <w:rsid w:val="00E37EEC"/>
    <w:rsid w:val="00E408AC"/>
    <w:rsid w:val="00E40921"/>
    <w:rsid w:val="00E409B6"/>
    <w:rsid w:val="00E411A9"/>
    <w:rsid w:val="00E411BE"/>
    <w:rsid w:val="00E42631"/>
    <w:rsid w:val="00E427FC"/>
    <w:rsid w:val="00E45A0B"/>
    <w:rsid w:val="00E465F7"/>
    <w:rsid w:val="00E50D74"/>
    <w:rsid w:val="00E51C88"/>
    <w:rsid w:val="00E51D5A"/>
    <w:rsid w:val="00E52830"/>
    <w:rsid w:val="00E535B4"/>
    <w:rsid w:val="00E54C4D"/>
    <w:rsid w:val="00E54D7D"/>
    <w:rsid w:val="00E55884"/>
    <w:rsid w:val="00E55F48"/>
    <w:rsid w:val="00E61736"/>
    <w:rsid w:val="00E61C3A"/>
    <w:rsid w:val="00E61F8C"/>
    <w:rsid w:val="00E63033"/>
    <w:rsid w:val="00E6323D"/>
    <w:rsid w:val="00E64142"/>
    <w:rsid w:val="00E65B9B"/>
    <w:rsid w:val="00E65EE6"/>
    <w:rsid w:val="00E666B5"/>
    <w:rsid w:val="00E666DB"/>
    <w:rsid w:val="00E66B3F"/>
    <w:rsid w:val="00E670E0"/>
    <w:rsid w:val="00E67BEB"/>
    <w:rsid w:val="00E7002F"/>
    <w:rsid w:val="00E70B38"/>
    <w:rsid w:val="00E7115E"/>
    <w:rsid w:val="00E711A5"/>
    <w:rsid w:val="00E71275"/>
    <w:rsid w:val="00E71E7A"/>
    <w:rsid w:val="00E73049"/>
    <w:rsid w:val="00E739E0"/>
    <w:rsid w:val="00E742CB"/>
    <w:rsid w:val="00E7457F"/>
    <w:rsid w:val="00E745A1"/>
    <w:rsid w:val="00E74950"/>
    <w:rsid w:val="00E74F2F"/>
    <w:rsid w:val="00E7505B"/>
    <w:rsid w:val="00E75154"/>
    <w:rsid w:val="00E765BF"/>
    <w:rsid w:val="00E76AB7"/>
    <w:rsid w:val="00E76DA1"/>
    <w:rsid w:val="00E770D5"/>
    <w:rsid w:val="00E80083"/>
    <w:rsid w:val="00E80ACA"/>
    <w:rsid w:val="00E81C5C"/>
    <w:rsid w:val="00E81E4A"/>
    <w:rsid w:val="00E8251F"/>
    <w:rsid w:val="00E8420A"/>
    <w:rsid w:val="00E846D5"/>
    <w:rsid w:val="00E84843"/>
    <w:rsid w:val="00E84A38"/>
    <w:rsid w:val="00E857EE"/>
    <w:rsid w:val="00E858A3"/>
    <w:rsid w:val="00E8659E"/>
    <w:rsid w:val="00E86D68"/>
    <w:rsid w:val="00E86D6D"/>
    <w:rsid w:val="00E87C17"/>
    <w:rsid w:val="00E902F5"/>
    <w:rsid w:val="00E90761"/>
    <w:rsid w:val="00E91506"/>
    <w:rsid w:val="00E91FF8"/>
    <w:rsid w:val="00E92E51"/>
    <w:rsid w:val="00E92F20"/>
    <w:rsid w:val="00E937D5"/>
    <w:rsid w:val="00E96220"/>
    <w:rsid w:val="00E9735E"/>
    <w:rsid w:val="00E974C6"/>
    <w:rsid w:val="00E97E7F"/>
    <w:rsid w:val="00E97F30"/>
    <w:rsid w:val="00EA01AF"/>
    <w:rsid w:val="00EA0908"/>
    <w:rsid w:val="00EA2381"/>
    <w:rsid w:val="00EA2A75"/>
    <w:rsid w:val="00EA3F79"/>
    <w:rsid w:val="00EA42AC"/>
    <w:rsid w:val="00EA44D9"/>
    <w:rsid w:val="00EA4B4D"/>
    <w:rsid w:val="00EA4C4C"/>
    <w:rsid w:val="00EA6D21"/>
    <w:rsid w:val="00EA727D"/>
    <w:rsid w:val="00EB0BC5"/>
    <w:rsid w:val="00EB18E5"/>
    <w:rsid w:val="00EB1F98"/>
    <w:rsid w:val="00EB364D"/>
    <w:rsid w:val="00EB4415"/>
    <w:rsid w:val="00EB45B0"/>
    <w:rsid w:val="00EB4A03"/>
    <w:rsid w:val="00EB4AEB"/>
    <w:rsid w:val="00EB5782"/>
    <w:rsid w:val="00EB60BA"/>
    <w:rsid w:val="00EB6712"/>
    <w:rsid w:val="00EB6B67"/>
    <w:rsid w:val="00EC0573"/>
    <w:rsid w:val="00EC13E2"/>
    <w:rsid w:val="00EC1CCF"/>
    <w:rsid w:val="00EC2333"/>
    <w:rsid w:val="00EC247A"/>
    <w:rsid w:val="00EC2863"/>
    <w:rsid w:val="00EC2E79"/>
    <w:rsid w:val="00EC36B4"/>
    <w:rsid w:val="00EC3803"/>
    <w:rsid w:val="00EC3A4A"/>
    <w:rsid w:val="00EC4761"/>
    <w:rsid w:val="00EC4827"/>
    <w:rsid w:val="00EC4A11"/>
    <w:rsid w:val="00EC505A"/>
    <w:rsid w:val="00EC6067"/>
    <w:rsid w:val="00EC62E5"/>
    <w:rsid w:val="00EC63C7"/>
    <w:rsid w:val="00EC7AD4"/>
    <w:rsid w:val="00ED0EFF"/>
    <w:rsid w:val="00ED1661"/>
    <w:rsid w:val="00ED1BA3"/>
    <w:rsid w:val="00ED1C95"/>
    <w:rsid w:val="00ED2AA6"/>
    <w:rsid w:val="00ED31B7"/>
    <w:rsid w:val="00ED3CE4"/>
    <w:rsid w:val="00ED407D"/>
    <w:rsid w:val="00ED51BB"/>
    <w:rsid w:val="00ED6051"/>
    <w:rsid w:val="00ED7C8B"/>
    <w:rsid w:val="00EE02A2"/>
    <w:rsid w:val="00EE1131"/>
    <w:rsid w:val="00EE19AD"/>
    <w:rsid w:val="00EE3E1C"/>
    <w:rsid w:val="00EE3FCE"/>
    <w:rsid w:val="00EE49DF"/>
    <w:rsid w:val="00EE57C9"/>
    <w:rsid w:val="00EE6396"/>
    <w:rsid w:val="00EE647E"/>
    <w:rsid w:val="00EE706E"/>
    <w:rsid w:val="00EF01D0"/>
    <w:rsid w:val="00EF03D6"/>
    <w:rsid w:val="00EF0700"/>
    <w:rsid w:val="00EF26E8"/>
    <w:rsid w:val="00EF2CE1"/>
    <w:rsid w:val="00EF37F5"/>
    <w:rsid w:val="00EF533A"/>
    <w:rsid w:val="00EF6F59"/>
    <w:rsid w:val="00EF71C4"/>
    <w:rsid w:val="00F00D32"/>
    <w:rsid w:val="00F01FEA"/>
    <w:rsid w:val="00F021A5"/>
    <w:rsid w:val="00F021C0"/>
    <w:rsid w:val="00F02753"/>
    <w:rsid w:val="00F02BD2"/>
    <w:rsid w:val="00F03AB9"/>
    <w:rsid w:val="00F04544"/>
    <w:rsid w:val="00F04826"/>
    <w:rsid w:val="00F05FDF"/>
    <w:rsid w:val="00F068C3"/>
    <w:rsid w:val="00F06DB1"/>
    <w:rsid w:val="00F06F91"/>
    <w:rsid w:val="00F07A09"/>
    <w:rsid w:val="00F106FF"/>
    <w:rsid w:val="00F11AB9"/>
    <w:rsid w:val="00F1206E"/>
    <w:rsid w:val="00F132FC"/>
    <w:rsid w:val="00F133BE"/>
    <w:rsid w:val="00F138FE"/>
    <w:rsid w:val="00F14371"/>
    <w:rsid w:val="00F14625"/>
    <w:rsid w:val="00F1471D"/>
    <w:rsid w:val="00F14852"/>
    <w:rsid w:val="00F168E8"/>
    <w:rsid w:val="00F17006"/>
    <w:rsid w:val="00F203A4"/>
    <w:rsid w:val="00F20746"/>
    <w:rsid w:val="00F20ED5"/>
    <w:rsid w:val="00F21914"/>
    <w:rsid w:val="00F21E4F"/>
    <w:rsid w:val="00F22FFD"/>
    <w:rsid w:val="00F236F7"/>
    <w:rsid w:val="00F25624"/>
    <w:rsid w:val="00F26D54"/>
    <w:rsid w:val="00F2738F"/>
    <w:rsid w:val="00F27DA0"/>
    <w:rsid w:val="00F30778"/>
    <w:rsid w:val="00F308AB"/>
    <w:rsid w:val="00F3154C"/>
    <w:rsid w:val="00F33409"/>
    <w:rsid w:val="00F34479"/>
    <w:rsid w:val="00F34805"/>
    <w:rsid w:val="00F34AE5"/>
    <w:rsid w:val="00F34C1F"/>
    <w:rsid w:val="00F36859"/>
    <w:rsid w:val="00F36AC4"/>
    <w:rsid w:val="00F36AE8"/>
    <w:rsid w:val="00F37F3F"/>
    <w:rsid w:val="00F41C07"/>
    <w:rsid w:val="00F41C6F"/>
    <w:rsid w:val="00F41E24"/>
    <w:rsid w:val="00F42D48"/>
    <w:rsid w:val="00F42DAA"/>
    <w:rsid w:val="00F43973"/>
    <w:rsid w:val="00F43BD7"/>
    <w:rsid w:val="00F4452A"/>
    <w:rsid w:val="00F44BF6"/>
    <w:rsid w:val="00F44D10"/>
    <w:rsid w:val="00F44DA2"/>
    <w:rsid w:val="00F44E4E"/>
    <w:rsid w:val="00F45022"/>
    <w:rsid w:val="00F45A20"/>
    <w:rsid w:val="00F45E22"/>
    <w:rsid w:val="00F467F3"/>
    <w:rsid w:val="00F46A67"/>
    <w:rsid w:val="00F46FC6"/>
    <w:rsid w:val="00F474B6"/>
    <w:rsid w:val="00F47611"/>
    <w:rsid w:val="00F503BA"/>
    <w:rsid w:val="00F51077"/>
    <w:rsid w:val="00F510B6"/>
    <w:rsid w:val="00F51543"/>
    <w:rsid w:val="00F5244A"/>
    <w:rsid w:val="00F53445"/>
    <w:rsid w:val="00F53633"/>
    <w:rsid w:val="00F53E32"/>
    <w:rsid w:val="00F545AE"/>
    <w:rsid w:val="00F55573"/>
    <w:rsid w:val="00F55A7F"/>
    <w:rsid w:val="00F56ADA"/>
    <w:rsid w:val="00F57452"/>
    <w:rsid w:val="00F57B70"/>
    <w:rsid w:val="00F61E72"/>
    <w:rsid w:val="00F62112"/>
    <w:rsid w:val="00F622A3"/>
    <w:rsid w:val="00F637BA"/>
    <w:rsid w:val="00F64063"/>
    <w:rsid w:val="00F6492F"/>
    <w:rsid w:val="00F64BC0"/>
    <w:rsid w:val="00F6514A"/>
    <w:rsid w:val="00F665AC"/>
    <w:rsid w:val="00F67C78"/>
    <w:rsid w:val="00F67FC2"/>
    <w:rsid w:val="00F70095"/>
    <w:rsid w:val="00F71135"/>
    <w:rsid w:val="00F71439"/>
    <w:rsid w:val="00F71490"/>
    <w:rsid w:val="00F72509"/>
    <w:rsid w:val="00F73151"/>
    <w:rsid w:val="00F73902"/>
    <w:rsid w:val="00F74869"/>
    <w:rsid w:val="00F75027"/>
    <w:rsid w:val="00F75641"/>
    <w:rsid w:val="00F75A9C"/>
    <w:rsid w:val="00F76E16"/>
    <w:rsid w:val="00F772F1"/>
    <w:rsid w:val="00F77D2E"/>
    <w:rsid w:val="00F80BF5"/>
    <w:rsid w:val="00F810A9"/>
    <w:rsid w:val="00F81CE7"/>
    <w:rsid w:val="00F81FD1"/>
    <w:rsid w:val="00F82AD9"/>
    <w:rsid w:val="00F831FF"/>
    <w:rsid w:val="00F84D1D"/>
    <w:rsid w:val="00F850BE"/>
    <w:rsid w:val="00F85559"/>
    <w:rsid w:val="00F8578E"/>
    <w:rsid w:val="00F8613C"/>
    <w:rsid w:val="00F87F37"/>
    <w:rsid w:val="00F9094A"/>
    <w:rsid w:val="00F90EF5"/>
    <w:rsid w:val="00F90F52"/>
    <w:rsid w:val="00F91809"/>
    <w:rsid w:val="00F91B95"/>
    <w:rsid w:val="00F91CCD"/>
    <w:rsid w:val="00F921D1"/>
    <w:rsid w:val="00F922D4"/>
    <w:rsid w:val="00F93B4E"/>
    <w:rsid w:val="00F93CD0"/>
    <w:rsid w:val="00F93D5C"/>
    <w:rsid w:val="00F93D74"/>
    <w:rsid w:val="00F94353"/>
    <w:rsid w:val="00F94C4C"/>
    <w:rsid w:val="00F956CA"/>
    <w:rsid w:val="00F95F8A"/>
    <w:rsid w:val="00F960FF"/>
    <w:rsid w:val="00F96528"/>
    <w:rsid w:val="00F9757C"/>
    <w:rsid w:val="00F9786B"/>
    <w:rsid w:val="00F97AC5"/>
    <w:rsid w:val="00F97C65"/>
    <w:rsid w:val="00FA0681"/>
    <w:rsid w:val="00FA1012"/>
    <w:rsid w:val="00FA1D7F"/>
    <w:rsid w:val="00FA2283"/>
    <w:rsid w:val="00FA3A01"/>
    <w:rsid w:val="00FA4310"/>
    <w:rsid w:val="00FA52F3"/>
    <w:rsid w:val="00FA5F65"/>
    <w:rsid w:val="00FA6ED1"/>
    <w:rsid w:val="00FA7B35"/>
    <w:rsid w:val="00FB0CF0"/>
    <w:rsid w:val="00FB0D51"/>
    <w:rsid w:val="00FB0EEE"/>
    <w:rsid w:val="00FB1362"/>
    <w:rsid w:val="00FB3032"/>
    <w:rsid w:val="00FB438B"/>
    <w:rsid w:val="00FB5981"/>
    <w:rsid w:val="00FB6205"/>
    <w:rsid w:val="00FB655A"/>
    <w:rsid w:val="00FB7280"/>
    <w:rsid w:val="00FB74B3"/>
    <w:rsid w:val="00FB7EC6"/>
    <w:rsid w:val="00FC050A"/>
    <w:rsid w:val="00FC0E99"/>
    <w:rsid w:val="00FC10D0"/>
    <w:rsid w:val="00FC136B"/>
    <w:rsid w:val="00FC136F"/>
    <w:rsid w:val="00FC1C62"/>
    <w:rsid w:val="00FC2ECD"/>
    <w:rsid w:val="00FC4190"/>
    <w:rsid w:val="00FC42CD"/>
    <w:rsid w:val="00FC46BC"/>
    <w:rsid w:val="00FC5C1A"/>
    <w:rsid w:val="00FC6ED2"/>
    <w:rsid w:val="00FC701A"/>
    <w:rsid w:val="00FC7D45"/>
    <w:rsid w:val="00FD0AA8"/>
    <w:rsid w:val="00FD1562"/>
    <w:rsid w:val="00FD17FD"/>
    <w:rsid w:val="00FD2536"/>
    <w:rsid w:val="00FD34FC"/>
    <w:rsid w:val="00FD39FB"/>
    <w:rsid w:val="00FD45B8"/>
    <w:rsid w:val="00FD4D58"/>
    <w:rsid w:val="00FD56A9"/>
    <w:rsid w:val="00FD5F56"/>
    <w:rsid w:val="00FD6415"/>
    <w:rsid w:val="00FD6792"/>
    <w:rsid w:val="00FD69B6"/>
    <w:rsid w:val="00FD762B"/>
    <w:rsid w:val="00FD7E37"/>
    <w:rsid w:val="00FE05E3"/>
    <w:rsid w:val="00FE1582"/>
    <w:rsid w:val="00FE2F0E"/>
    <w:rsid w:val="00FE66BD"/>
    <w:rsid w:val="00FE6CEE"/>
    <w:rsid w:val="00FF0600"/>
    <w:rsid w:val="00FF088B"/>
    <w:rsid w:val="00FF0E86"/>
    <w:rsid w:val="00FF29BA"/>
    <w:rsid w:val="00FF2A82"/>
    <w:rsid w:val="00FF2D20"/>
    <w:rsid w:val="00FF3892"/>
    <w:rsid w:val="00FF47F0"/>
    <w:rsid w:val="00FF53C7"/>
    <w:rsid w:val="00FF573D"/>
    <w:rsid w:val="00FF5F13"/>
    <w:rsid w:val="00FF6234"/>
    <w:rsid w:val="00FF6834"/>
    <w:rsid w:val="00FF6F76"/>
    <w:rsid w:val="01EF9D41"/>
    <w:rsid w:val="0B7B0321"/>
    <w:rsid w:val="14E7E44F"/>
    <w:rsid w:val="19FD4315"/>
    <w:rsid w:val="1C7759C4"/>
    <w:rsid w:val="1FF1B213"/>
    <w:rsid w:val="20DE790A"/>
    <w:rsid w:val="21B4F053"/>
    <w:rsid w:val="22A18571"/>
    <w:rsid w:val="28340150"/>
    <w:rsid w:val="2CC84893"/>
    <w:rsid w:val="347D8761"/>
    <w:rsid w:val="3626A5DE"/>
    <w:rsid w:val="3BAECB68"/>
    <w:rsid w:val="3DCDE033"/>
    <w:rsid w:val="48E70F94"/>
    <w:rsid w:val="4A61656B"/>
    <w:rsid w:val="4FE3ED60"/>
    <w:rsid w:val="5209AA50"/>
    <w:rsid w:val="60BA7042"/>
    <w:rsid w:val="6B053116"/>
    <w:rsid w:val="6B06ED69"/>
    <w:rsid w:val="72653EF9"/>
    <w:rsid w:val="7B0CA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idth-percent:400;mso-height-percent:200;mso-width-relative:margin;mso-height-relative:margin" fillcolor="white">
      <v:fill color="white"/>
      <v:shadow on="t" opacity=".5" offset="6pt,6pt"/>
      <v:textbox style="mso-fit-shape-to-text:t"/>
    </o:shapedefaults>
    <o:shapelayout v:ext="edit">
      <o:idmap v:ext="edit" data="1"/>
    </o:shapelayout>
  </w:shapeDefaults>
  <w:decimalSymbol w:val="."/>
  <w:listSeparator w:val=","/>
  <w14:docId w14:val="6D1128F4"/>
  <w15:docId w15:val="{7ABE2152-D65A-463E-9ED3-BB6710CF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lsdException w:name="Emphasis" w:locked="1" w:uiPriority="20"/>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lsdException w:name="Table Grid"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F30"/>
    <w:pPr>
      <w:spacing w:before="80" w:after="80"/>
    </w:pPr>
    <w:rPr>
      <w:rFonts w:ascii="Times New Roman" w:hAnsi="Times New Roman"/>
      <w:sz w:val="24"/>
      <w:szCs w:val="24"/>
    </w:rPr>
  </w:style>
  <w:style w:type="paragraph" w:styleId="Heading1">
    <w:name w:val="heading 1"/>
    <w:basedOn w:val="Normal"/>
    <w:next w:val="Normal"/>
    <w:link w:val="Heading1Char"/>
    <w:uiPriority w:val="9"/>
    <w:qFormat/>
    <w:rsid w:val="002323A9"/>
    <w:pPr>
      <w:keepNext/>
      <w:keepLines/>
      <w:numPr>
        <w:numId w:val="6"/>
      </w:numPr>
      <w:tabs>
        <w:tab w:val="clear" w:pos="522"/>
      </w:tabs>
      <w:spacing w:before="120"/>
      <w:ind w:left="450"/>
      <w:outlineLvl w:val="0"/>
    </w:pPr>
    <w:rPr>
      <w:rFonts w:ascii="Arial Narrow" w:eastAsia="Times New Roman" w:hAnsi="Arial Narrow"/>
      <w:b/>
      <w:bCs/>
      <w:caps/>
      <w:color w:val="0046AC"/>
      <w:sz w:val="32"/>
      <w:szCs w:val="28"/>
    </w:rPr>
  </w:style>
  <w:style w:type="paragraph" w:styleId="Heading2">
    <w:name w:val="heading 2"/>
    <w:basedOn w:val="Normal"/>
    <w:next w:val="Normal"/>
    <w:link w:val="Heading2Char"/>
    <w:uiPriority w:val="9"/>
    <w:qFormat/>
    <w:rsid w:val="00F42D48"/>
    <w:pPr>
      <w:keepNext/>
      <w:keepLines/>
      <w:numPr>
        <w:ilvl w:val="1"/>
        <w:numId w:val="6"/>
      </w:numPr>
      <w:spacing w:before="120"/>
      <w:outlineLvl w:val="1"/>
    </w:pPr>
    <w:rPr>
      <w:rFonts w:ascii="Arial Narrow" w:eastAsia="Times New Roman" w:hAnsi="Arial Narrow"/>
      <w:b/>
      <w:bCs/>
      <w:caps/>
      <w:color w:val="005CE6"/>
      <w:sz w:val="26"/>
      <w:szCs w:val="26"/>
    </w:rPr>
  </w:style>
  <w:style w:type="paragraph" w:styleId="Heading3">
    <w:name w:val="heading 3"/>
    <w:basedOn w:val="Normal"/>
    <w:next w:val="Normal"/>
    <w:link w:val="Heading3Char"/>
    <w:uiPriority w:val="9"/>
    <w:qFormat/>
    <w:rsid w:val="001144F3"/>
    <w:pPr>
      <w:keepNext/>
      <w:keepLines/>
      <w:numPr>
        <w:ilvl w:val="2"/>
        <w:numId w:val="6"/>
      </w:numPr>
      <w:tabs>
        <w:tab w:val="clear" w:pos="2970"/>
        <w:tab w:val="num" w:pos="990"/>
      </w:tabs>
      <w:spacing w:before="120"/>
      <w:ind w:left="720"/>
      <w:jc w:val="both"/>
      <w:outlineLvl w:val="2"/>
    </w:pPr>
    <w:rPr>
      <w:rFonts w:ascii="Arial Narrow" w:eastAsia="Times New Roman" w:hAnsi="Arial Narrow"/>
      <w:b/>
      <w:bCs/>
      <w:color w:val="000000" w:themeColor="text1"/>
      <w:szCs w:val="20"/>
    </w:rPr>
  </w:style>
  <w:style w:type="paragraph" w:styleId="Heading4">
    <w:name w:val="heading 4"/>
    <w:basedOn w:val="Normal"/>
    <w:next w:val="Normal"/>
    <w:link w:val="Heading4Char"/>
    <w:uiPriority w:val="9"/>
    <w:qFormat/>
    <w:rsid w:val="000E57B4"/>
    <w:pPr>
      <w:keepNext/>
      <w:keepLines/>
      <w:numPr>
        <w:ilvl w:val="3"/>
        <w:numId w:val="6"/>
      </w:numPr>
      <w:tabs>
        <w:tab w:val="clear" w:pos="1494"/>
        <w:tab w:val="num" w:pos="864"/>
      </w:tabs>
      <w:spacing w:before="120"/>
      <w:ind w:left="864"/>
      <w:outlineLvl w:val="3"/>
    </w:pPr>
    <w:rPr>
      <w:rFonts w:ascii="Arial Narrow" w:eastAsia="Times New Roman" w:hAnsi="Arial Narrow"/>
      <w:b/>
      <w:bCs/>
      <w:iCs/>
      <w:color w:val="666666"/>
      <w:szCs w:val="20"/>
    </w:rPr>
  </w:style>
  <w:style w:type="paragraph" w:styleId="Heading5">
    <w:name w:val="heading 5"/>
    <w:basedOn w:val="Normal"/>
    <w:next w:val="Normal"/>
    <w:link w:val="Heading5Char"/>
    <w:uiPriority w:val="9"/>
    <w:qFormat/>
    <w:rsid w:val="00924FDE"/>
    <w:pPr>
      <w:keepNext/>
      <w:keepLines/>
      <w:numPr>
        <w:ilvl w:val="4"/>
        <w:numId w:val="6"/>
      </w:numPr>
      <w:spacing w:before="120"/>
      <w:outlineLvl w:val="4"/>
    </w:pPr>
    <w:rPr>
      <w:rFonts w:ascii="Arial Narrow" w:eastAsia="Times New Roman" w:hAnsi="Arial Narrow"/>
      <w:color w:val="000000"/>
      <w:szCs w:val="22"/>
    </w:rPr>
  </w:style>
  <w:style w:type="paragraph" w:styleId="Heading6">
    <w:name w:val="heading 6"/>
    <w:basedOn w:val="Normal"/>
    <w:next w:val="Normal"/>
    <w:link w:val="Heading6Char"/>
    <w:uiPriority w:val="9"/>
    <w:unhideWhenUsed/>
    <w:qFormat/>
    <w:rsid w:val="00924FDE"/>
    <w:pPr>
      <w:keepNext/>
      <w:keepLines/>
      <w:numPr>
        <w:ilvl w:val="5"/>
        <w:numId w:val="6"/>
      </w:numPr>
      <w:spacing w:before="200" w:after="0"/>
      <w:outlineLvl w:val="5"/>
    </w:pPr>
    <w:rPr>
      <w:rFonts w:ascii="Arial Narrow" w:eastAsia="Times New Roman" w:hAnsi="Arial Narrow"/>
      <w:i/>
      <w:iCs/>
      <w:color w:val="000000"/>
      <w:sz w:val="22"/>
      <w:szCs w:val="22"/>
    </w:rPr>
  </w:style>
  <w:style w:type="paragraph" w:styleId="Heading7">
    <w:name w:val="heading 7"/>
    <w:basedOn w:val="Normal"/>
    <w:next w:val="Normal"/>
    <w:link w:val="Heading7Char"/>
    <w:uiPriority w:val="9"/>
    <w:semiHidden/>
    <w:unhideWhenUsed/>
    <w:rsid w:val="004142F7"/>
    <w:pPr>
      <w:numPr>
        <w:ilvl w:val="6"/>
        <w:numId w:val="6"/>
      </w:numPr>
      <w:spacing w:before="240" w:after="60"/>
      <w:outlineLvl w:val="6"/>
    </w:pPr>
    <w:rPr>
      <w:rFonts w:ascii="Arial Narrow" w:eastAsia="Times New Roman" w:hAnsi="Arial Narrow"/>
    </w:rPr>
  </w:style>
  <w:style w:type="paragraph" w:styleId="Heading8">
    <w:name w:val="heading 8"/>
    <w:basedOn w:val="Normal"/>
    <w:next w:val="Normal"/>
    <w:link w:val="Heading8Char"/>
    <w:uiPriority w:val="9"/>
    <w:semiHidden/>
    <w:unhideWhenUsed/>
    <w:qFormat/>
    <w:rsid w:val="000A231B"/>
    <w:pPr>
      <w:keepNext/>
      <w:keepLines/>
      <w:numPr>
        <w:ilvl w:val="7"/>
        <w:numId w:val="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71430"/>
    <w:pPr>
      <w:numPr>
        <w:ilvl w:val="8"/>
        <w:numId w:val="6"/>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locked/>
    <w:rsid w:val="000965D4"/>
  </w:style>
  <w:style w:type="character" w:customStyle="1" w:styleId="BodyTextChar">
    <w:name w:val="Body Text Char"/>
    <w:basedOn w:val="DefaultParagraphFont"/>
    <w:link w:val="BodyText"/>
    <w:uiPriority w:val="99"/>
    <w:semiHidden/>
    <w:rsid w:val="000965D4"/>
  </w:style>
  <w:style w:type="numbering" w:customStyle="1" w:styleId="NumberedHeadings">
    <w:name w:val="Numbered Headings"/>
    <w:uiPriority w:val="99"/>
    <w:locked/>
    <w:rsid w:val="00D96C97"/>
    <w:pPr>
      <w:numPr>
        <w:numId w:val="5"/>
      </w:numPr>
    </w:pPr>
  </w:style>
  <w:style w:type="paragraph" w:styleId="BalloonText">
    <w:name w:val="Balloon Text"/>
    <w:basedOn w:val="Normal"/>
    <w:link w:val="BalloonTextChar"/>
    <w:uiPriority w:val="99"/>
    <w:semiHidden/>
    <w:unhideWhenUsed/>
    <w:rsid w:val="00C05AC0"/>
    <w:pPr>
      <w:spacing w:after="0"/>
    </w:pPr>
    <w:rPr>
      <w:rFonts w:ascii="Tahoma" w:hAnsi="Tahoma"/>
      <w:sz w:val="16"/>
      <w:szCs w:val="16"/>
    </w:rPr>
  </w:style>
  <w:style w:type="character" w:customStyle="1" w:styleId="BalloonTextChar">
    <w:name w:val="Balloon Text Char"/>
    <w:link w:val="BalloonText"/>
    <w:uiPriority w:val="99"/>
    <w:semiHidden/>
    <w:rsid w:val="00C05AC0"/>
    <w:rPr>
      <w:rFonts w:ascii="Tahoma" w:hAnsi="Tahoma" w:cs="Tahoma"/>
      <w:sz w:val="16"/>
      <w:szCs w:val="16"/>
    </w:rPr>
  </w:style>
  <w:style w:type="paragraph" w:customStyle="1" w:styleId="Exhibit">
    <w:name w:val="Exhibit"/>
    <w:basedOn w:val="Normal"/>
    <w:next w:val="Normal"/>
    <w:link w:val="ExhibitChar"/>
    <w:qFormat/>
    <w:rsid w:val="004142F7"/>
    <w:pPr>
      <w:spacing w:after="240"/>
      <w:jc w:val="center"/>
    </w:pPr>
    <w:rPr>
      <w:noProof/>
    </w:rPr>
  </w:style>
  <w:style w:type="character" w:customStyle="1" w:styleId="ExhibitChar">
    <w:name w:val="Exhibit Char"/>
    <w:link w:val="Exhibit"/>
    <w:rsid w:val="00C05AC0"/>
    <w:rPr>
      <w:rFonts w:ascii="Times New Roman" w:hAnsi="Times New Roman"/>
      <w:noProof/>
      <w:sz w:val="22"/>
      <w:szCs w:val="24"/>
    </w:rPr>
  </w:style>
  <w:style w:type="numbering" w:customStyle="1" w:styleId="ExhibitTitleNumber">
    <w:name w:val="Exhibit Title Number"/>
    <w:uiPriority w:val="99"/>
    <w:locked/>
    <w:rsid w:val="00C05AC0"/>
    <w:pPr>
      <w:numPr>
        <w:numId w:val="2"/>
      </w:numPr>
    </w:pPr>
  </w:style>
  <w:style w:type="numbering" w:customStyle="1" w:styleId="Numbers">
    <w:name w:val="Numbers"/>
    <w:uiPriority w:val="99"/>
    <w:locked/>
    <w:rsid w:val="002364B3"/>
    <w:pPr>
      <w:numPr>
        <w:numId w:val="3"/>
      </w:numPr>
    </w:pPr>
  </w:style>
  <w:style w:type="table" w:styleId="TableGrid">
    <w:name w:val="Table Grid"/>
    <w:basedOn w:val="TableNormal"/>
    <w:uiPriority w:val="59"/>
    <w:locked/>
    <w:rsid w:val="004A0831"/>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BFBFBF"/>
      </w:tcPr>
    </w:tblStylePr>
  </w:style>
  <w:style w:type="paragraph" w:customStyle="1" w:styleId="TableBullet">
    <w:name w:val="Table Bullet"/>
    <w:basedOn w:val="Normal"/>
    <w:qFormat/>
    <w:rsid w:val="00635DE7"/>
    <w:pPr>
      <w:keepNext/>
      <w:numPr>
        <w:numId w:val="9"/>
      </w:numPr>
      <w:spacing w:before="40" w:after="40"/>
      <w:ind w:left="130" w:hanging="130"/>
      <w:contextualSpacing/>
    </w:pPr>
    <w:rPr>
      <w:rFonts w:ascii="Arial Narrow" w:hAnsi="Arial Narrow"/>
      <w:sz w:val="20"/>
      <w:szCs w:val="20"/>
    </w:rPr>
  </w:style>
  <w:style w:type="paragraph" w:customStyle="1" w:styleId="Jobdetails">
    <w:name w:val="Job details"/>
    <w:basedOn w:val="Normal"/>
    <w:next w:val="Normal"/>
    <w:link w:val="JobdetailsChar"/>
    <w:qFormat/>
    <w:rsid w:val="009B560A"/>
    <w:pPr>
      <w:tabs>
        <w:tab w:val="right" w:pos="9360"/>
      </w:tabs>
      <w:spacing w:after="40"/>
      <w:contextualSpacing/>
    </w:pPr>
    <w:rPr>
      <w:b/>
      <w:i/>
    </w:rPr>
  </w:style>
  <w:style w:type="paragraph" w:customStyle="1" w:styleId="TableText">
    <w:name w:val="TableText"/>
    <w:basedOn w:val="Normal"/>
    <w:link w:val="TableTextChar"/>
    <w:qFormat/>
    <w:locked/>
    <w:rsid w:val="00330E70"/>
    <w:pPr>
      <w:spacing w:before="40" w:after="40"/>
    </w:pPr>
    <w:rPr>
      <w:rFonts w:ascii="Arial Narrow" w:hAnsi="Arial Narrow"/>
      <w:sz w:val="20"/>
      <w:szCs w:val="20"/>
    </w:rPr>
  </w:style>
  <w:style w:type="character" w:customStyle="1" w:styleId="TableTextChar">
    <w:name w:val="TableText Char"/>
    <w:link w:val="TableText"/>
    <w:rsid w:val="00B3509B"/>
    <w:rPr>
      <w:rFonts w:ascii="Arial Narrow" w:hAnsi="Arial Narrow" w:cs="Arial"/>
    </w:rPr>
  </w:style>
  <w:style w:type="paragraph" w:customStyle="1" w:styleId="RFPtext">
    <w:name w:val="RFP text"/>
    <w:basedOn w:val="Normal"/>
    <w:next w:val="Normal"/>
    <w:qFormat/>
    <w:rsid w:val="002837A8"/>
    <w:pPr>
      <w:pBdr>
        <w:top w:val="dotted" w:sz="2" w:space="1" w:color="666666"/>
        <w:bottom w:val="dotted" w:sz="2" w:space="1" w:color="666666"/>
      </w:pBdr>
      <w:shd w:val="clear" w:color="auto" w:fill="F2F2F2"/>
    </w:pPr>
    <w:rPr>
      <w:i/>
      <w:color w:val="666666"/>
      <w:sz w:val="22"/>
    </w:rPr>
  </w:style>
  <w:style w:type="paragraph" w:customStyle="1" w:styleId="TableTextRight">
    <w:name w:val="Table Text Right"/>
    <w:basedOn w:val="TableText"/>
    <w:qFormat/>
    <w:rsid w:val="006D322C"/>
    <w:pPr>
      <w:jc w:val="right"/>
    </w:pPr>
  </w:style>
  <w:style w:type="character" w:styleId="SubtleEmphasis">
    <w:name w:val="Subtle Emphasis"/>
    <w:uiPriority w:val="19"/>
    <w:semiHidden/>
    <w:locked/>
    <w:rsid w:val="00752E11"/>
    <w:rPr>
      <w:rFonts w:eastAsia="Times New Roman" w:cs="Times New Roman"/>
      <w:bCs w:val="0"/>
      <w:i/>
      <w:iCs/>
      <w:color w:val="808080"/>
      <w:szCs w:val="22"/>
      <w:lang w:val="en-US"/>
    </w:rPr>
  </w:style>
  <w:style w:type="character" w:customStyle="1" w:styleId="Heading1Char">
    <w:name w:val="Heading 1 Char"/>
    <w:link w:val="Heading1"/>
    <w:uiPriority w:val="9"/>
    <w:rsid w:val="002323A9"/>
    <w:rPr>
      <w:rFonts w:ascii="Arial Narrow" w:eastAsia="Times New Roman" w:hAnsi="Arial Narrow"/>
      <w:b/>
      <w:bCs/>
      <w:caps/>
      <w:color w:val="0046AC"/>
      <w:sz w:val="32"/>
      <w:szCs w:val="28"/>
    </w:rPr>
  </w:style>
  <w:style w:type="character" w:customStyle="1" w:styleId="Heading2Char">
    <w:name w:val="Heading 2 Char"/>
    <w:link w:val="Heading2"/>
    <w:uiPriority w:val="9"/>
    <w:rsid w:val="00F42D48"/>
    <w:rPr>
      <w:rFonts w:ascii="Arial Narrow" w:eastAsia="Times New Roman" w:hAnsi="Arial Narrow"/>
      <w:b/>
      <w:bCs/>
      <w:caps/>
      <w:color w:val="005CE6"/>
      <w:sz w:val="26"/>
      <w:szCs w:val="26"/>
    </w:rPr>
  </w:style>
  <w:style w:type="character" w:customStyle="1" w:styleId="Heading3Char">
    <w:name w:val="Heading 3 Char"/>
    <w:link w:val="Heading3"/>
    <w:uiPriority w:val="9"/>
    <w:rsid w:val="001144F3"/>
    <w:rPr>
      <w:rFonts w:ascii="Arial Narrow" w:eastAsia="Times New Roman" w:hAnsi="Arial Narrow"/>
      <w:b/>
      <w:bCs/>
      <w:color w:val="000000" w:themeColor="text1"/>
      <w:sz w:val="24"/>
    </w:rPr>
  </w:style>
  <w:style w:type="paragraph" w:styleId="TOC1">
    <w:name w:val="toc 1"/>
    <w:basedOn w:val="Normal"/>
    <w:next w:val="Normal"/>
    <w:autoRedefine/>
    <w:uiPriority w:val="39"/>
    <w:unhideWhenUsed/>
    <w:rsid w:val="0090162E"/>
    <w:pPr>
      <w:tabs>
        <w:tab w:val="right" w:leader="dot" w:pos="9350"/>
      </w:tabs>
    </w:pPr>
  </w:style>
  <w:style w:type="paragraph" w:styleId="TOC2">
    <w:name w:val="toc 2"/>
    <w:basedOn w:val="Normal"/>
    <w:next w:val="Normal"/>
    <w:autoRedefine/>
    <w:uiPriority w:val="39"/>
    <w:unhideWhenUsed/>
    <w:rsid w:val="00B5415E"/>
    <w:pPr>
      <w:ind w:left="220"/>
    </w:pPr>
  </w:style>
  <w:style w:type="paragraph" w:styleId="TOC3">
    <w:name w:val="toc 3"/>
    <w:basedOn w:val="Normal"/>
    <w:next w:val="Normal"/>
    <w:autoRedefine/>
    <w:uiPriority w:val="39"/>
    <w:unhideWhenUsed/>
    <w:rsid w:val="00B5415E"/>
    <w:pPr>
      <w:ind w:left="440"/>
    </w:pPr>
  </w:style>
  <w:style w:type="paragraph" w:styleId="TOC4">
    <w:name w:val="toc 4"/>
    <w:basedOn w:val="Normal"/>
    <w:next w:val="Normal"/>
    <w:autoRedefine/>
    <w:uiPriority w:val="39"/>
    <w:unhideWhenUsed/>
    <w:rsid w:val="00B5415E"/>
    <w:pPr>
      <w:ind w:left="660"/>
    </w:pPr>
  </w:style>
  <w:style w:type="paragraph" w:styleId="TOC5">
    <w:name w:val="toc 5"/>
    <w:basedOn w:val="Normal"/>
    <w:next w:val="Normal"/>
    <w:autoRedefine/>
    <w:uiPriority w:val="39"/>
    <w:unhideWhenUsed/>
    <w:rsid w:val="00B5415E"/>
    <w:pPr>
      <w:ind w:left="880"/>
    </w:pPr>
  </w:style>
  <w:style w:type="paragraph" w:styleId="TOC6">
    <w:name w:val="toc 6"/>
    <w:basedOn w:val="Normal"/>
    <w:next w:val="Normal"/>
    <w:autoRedefine/>
    <w:uiPriority w:val="39"/>
    <w:unhideWhenUsed/>
    <w:rsid w:val="00B5415E"/>
    <w:pPr>
      <w:ind w:left="1100"/>
    </w:pPr>
  </w:style>
  <w:style w:type="character" w:styleId="Hyperlink">
    <w:name w:val="Hyperlink"/>
    <w:uiPriority w:val="99"/>
    <w:unhideWhenUsed/>
    <w:locked/>
    <w:rsid w:val="00B5415E"/>
    <w:rPr>
      <w:color w:val="0000FF"/>
      <w:u w:val="single"/>
    </w:rPr>
  </w:style>
  <w:style w:type="paragraph" w:styleId="Header">
    <w:name w:val="header"/>
    <w:basedOn w:val="Normal"/>
    <w:link w:val="HeaderChar"/>
    <w:uiPriority w:val="99"/>
    <w:unhideWhenUsed/>
    <w:rsid w:val="000E57B4"/>
    <w:pPr>
      <w:pBdr>
        <w:bottom w:val="single" w:sz="12" w:space="1" w:color="666666"/>
      </w:pBdr>
      <w:tabs>
        <w:tab w:val="center" w:pos="4680"/>
        <w:tab w:val="right" w:pos="9360"/>
      </w:tabs>
      <w:spacing w:before="0" w:after="0"/>
      <w:contextualSpacing/>
    </w:pPr>
    <w:rPr>
      <w:rFonts w:ascii="Arial Narrow" w:hAnsi="Arial Narrow"/>
      <w:noProof/>
      <w:color w:val="666666"/>
      <w:sz w:val="18"/>
    </w:rPr>
  </w:style>
  <w:style w:type="character" w:customStyle="1" w:styleId="HeaderChar">
    <w:name w:val="Header Char"/>
    <w:basedOn w:val="DefaultParagraphFont"/>
    <w:link w:val="Header"/>
    <w:uiPriority w:val="99"/>
    <w:rsid w:val="000E57B4"/>
    <w:rPr>
      <w:rFonts w:ascii="Arial Narrow" w:hAnsi="Arial Narrow"/>
      <w:noProof/>
      <w:color w:val="666666"/>
      <w:sz w:val="18"/>
      <w:szCs w:val="24"/>
    </w:rPr>
  </w:style>
  <w:style w:type="paragraph" w:styleId="Footer">
    <w:name w:val="footer"/>
    <w:basedOn w:val="Normal"/>
    <w:link w:val="FooterChar"/>
    <w:uiPriority w:val="99"/>
    <w:unhideWhenUsed/>
    <w:rsid w:val="000E57B4"/>
    <w:pPr>
      <w:pBdr>
        <w:top w:val="single" w:sz="12" w:space="1" w:color="666666"/>
      </w:pBdr>
      <w:tabs>
        <w:tab w:val="center" w:pos="4680"/>
        <w:tab w:val="right" w:pos="9360"/>
      </w:tabs>
      <w:spacing w:before="0" w:after="40"/>
    </w:pPr>
    <w:rPr>
      <w:rFonts w:ascii="Arial Narrow" w:hAnsi="Arial Narrow"/>
      <w:i/>
      <w:color w:val="666666"/>
      <w:sz w:val="18"/>
      <w:szCs w:val="20"/>
    </w:rPr>
  </w:style>
  <w:style w:type="character" w:customStyle="1" w:styleId="FooterChar">
    <w:name w:val="Footer Char"/>
    <w:basedOn w:val="DefaultParagraphFont"/>
    <w:link w:val="Footer"/>
    <w:uiPriority w:val="99"/>
    <w:rsid w:val="000E57B4"/>
    <w:rPr>
      <w:rFonts w:ascii="Arial Narrow" w:hAnsi="Arial Narrow"/>
      <w:i/>
      <w:color w:val="666666"/>
      <w:sz w:val="18"/>
    </w:rPr>
  </w:style>
  <w:style w:type="paragraph" w:styleId="TOCHeading">
    <w:name w:val="TOC Heading"/>
    <w:basedOn w:val="Heading1"/>
    <w:next w:val="Normal"/>
    <w:uiPriority w:val="39"/>
    <w:unhideWhenUsed/>
    <w:qFormat/>
    <w:rsid w:val="000D347D"/>
    <w:pPr>
      <w:numPr>
        <w:numId w:val="0"/>
      </w:numPr>
      <w:outlineLvl w:val="9"/>
    </w:pPr>
  </w:style>
  <w:style w:type="paragraph" w:customStyle="1" w:styleId="AZRFPText">
    <w:name w:val="AZ RFPText"/>
    <w:basedOn w:val="Normal"/>
    <w:link w:val="AZRFPTextChar"/>
    <w:semiHidden/>
    <w:qFormat/>
    <w:locked/>
    <w:rsid w:val="00412BB5"/>
    <w:pPr>
      <w:pBdr>
        <w:top w:val="single" w:sz="8" w:space="2" w:color="224E30"/>
        <w:left w:val="single" w:sz="8" w:space="2" w:color="224E30"/>
        <w:bottom w:val="single" w:sz="8" w:space="2" w:color="224E30"/>
        <w:right w:val="single" w:sz="8" w:space="2" w:color="224E30"/>
      </w:pBdr>
      <w:shd w:val="clear" w:color="auto" w:fill="CEEAD7"/>
    </w:pPr>
    <w:rPr>
      <w:rFonts w:ascii="Arial Narrow" w:hAnsi="Arial Narrow"/>
      <w:sz w:val="20"/>
      <w:szCs w:val="18"/>
    </w:rPr>
  </w:style>
  <w:style w:type="paragraph" w:customStyle="1" w:styleId="AZRFPBul1">
    <w:name w:val="AZ RFP Bul1"/>
    <w:basedOn w:val="AZRFPText"/>
    <w:next w:val="AZRFPText"/>
    <w:semiHidden/>
    <w:qFormat/>
    <w:locked/>
    <w:rsid w:val="00465B4D"/>
    <w:pPr>
      <w:numPr>
        <w:numId w:val="1"/>
      </w:numPr>
    </w:pPr>
    <w:rPr>
      <w:rFonts w:ascii="Arial" w:hAnsi="Arial"/>
      <w:sz w:val="18"/>
    </w:rPr>
  </w:style>
  <w:style w:type="table" w:styleId="LightShading-Accent2">
    <w:name w:val="Light Shading Accent 2"/>
    <w:basedOn w:val="TableNormal"/>
    <w:uiPriority w:val="60"/>
    <w:rsid w:val="00DC4ED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NumberedList">
    <w:name w:val="Numbered List"/>
    <w:basedOn w:val="Normal"/>
    <w:next w:val="Normal"/>
    <w:qFormat/>
    <w:rsid w:val="00860D23"/>
    <w:pPr>
      <w:numPr>
        <w:numId w:val="12"/>
      </w:numPr>
      <w:contextualSpacing/>
    </w:pPr>
  </w:style>
  <w:style w:type="table" w:styleId="LightShading-Accent4">
    <w:name w:val="Light Shading Accent 4"/>
    <w:basedOn w:val="TableNormal"/>
    <w:uiPriority w:val="60"/>
    <w:rsid w:val="00E354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AZRFPNum">
    <w:name w:val="AZ RFP Num"/>
    <w:basedOn w:val="AZRFPText"/>
    <w:link w:val="AZRFPNumChar"/>
    <w:semiHidden/>
    <w:qFormat/>
    <w:locked/>
    <w:rsid w:val="004142F7"/>
    <w:pPr>
      <w:numPr>
        <w:numId w:val="4"/>
      </w:numPr>
      <w:spacing w:after="60"/>
    </w:pPr>
  </w:style>
  <w:style w:type="character" w:customStyle="1" w:styleId="AZRFPTextChar">
    <w:name w:val="AZ RFPText Char"/>
    <w:link w:val="AZRFPText"/>
    <w:semiHidden/>
    <w:rsid w:val="00F34479"/>
    <w:rPr>
      <w:rFonts w:ascii="Arial Narrow" w:hAnsi="Arial Narrow"/>
      <w:szCs w:val="18"/>
      <w:shd w:val="clear" w:color="auto" w:fill="CEEAD7"/>
    </w:rPr>
  </w:style>
  <w:style w:type="character" w:customStyle="1" w:styleId="AZRFPNumChar">
    <w:name w:val="AZ RFP Num Char"/>
    <w:link w:val="AZRFPNum"/>
    <w:semiHidden/>
    <w:rsid w:val="00F34479"/>
    <w:rPr>
      <w:rFonts w:ascii="Arial Narrow" w:hAnsi="Arial Narrow"/>
      <w:szCs w:val="18"/>
      <w:shd w:val="clear" w:color="auto" w:fill="CEEAD7"/>
    </w:rPr>
  </w:style>
  <w:style w:type="character" w:customStyle="1" w:styleId="Heading4Char">
    <w:name w:val="Heading 4 Char"/>
    <w:link w:val="Heading4"/>
    <w:uiPriority w:val="9"/>
    <w:rsid w:val="000E57B4"/>
    <w:rPr>
      <w:rFonts w:ascii="Arial Narrow" w:eastAsia="Times New Roman" w:hAnsi="Arial Narrow"/>
      <w:b/>
      <w:bCs/>
      <w:iCs/>
      <w:color w:val="666666"/>
      <w:sz w:val="24"/>
    </w:rPr>
  </w:style>
  <w:style w:type="character" w:customStyle="1" w:styleId="Heading5Char">
    <w:name w:val="Heading 5 Char"/>
    <w:link w:val="Heading5"/>
    <w:uiPriority w:val="9"/>
    <w:rsid w:val="00924FDE"/>
    <w:rPr>
      <w:rFonts w:ascii="Arial Narrow" w:eastAsia="Times New Roman" w:hAnsi="Arial Narrow"/>
      <w:color w:val="000000"/>
      <w:sz w:val="24"/>
      <w:szCs w:val="22"/>
    </w:rPr>
  </w:style>
  <w:style w:type="character" w:styleId="PlaceholderText">
    <w:name w:val="Placeholder Text"/>
    <w:uiPriority w:val="99"/>
    <w:semiHidden/>
    <w:locked/>
    <w:rsid w:val="00F068C3"/>
    <w:rPr>
      <w:color w:val="808080"/>
    </w:rPr>
  </w:style>
  <w:style w:type="character" w:styleId="CommentReference">
    <w:name w:val="annotation reference"/>
    <w:uiPriority w:val="99"/>
    <w:semiHidden/>
    <w:unhideWhenUsed/>
    <w:rsid w:val="004063D7"/>
    <w:rPr>
      <w:sz w:val="16"/>
      <w:szCs w:val="16"/>
    </w:rPr>
  </w:style>
  <w:style w:type="paragraph" w:customStyle="1" w:styleId="TableTextBoldRight">
    <w:name w:val="Table Text Bold Right"/>
    <w:basedOn w:val="TableTextRight"/>
    <w:qFormat/>
    <w:rsid w:val="006D322C"/>
    <w:rPr>
      <w:b/>
    </w:rPr>
  </w:style>
  <w:style w:type="character" w:customStyle="1" w:styleId="JobdetailsChar">
    <w:name w:val="Job details Char"/>
    <w:basedOn w:val="DefaultParagraphFont"/>
    <w:link w:val="Jobdetails"/>
    <w:rsid w:val="009B560A"/>
    <w:rPr>
      <w:rFonts w:ascii="Times New Roman" w:hAnsi="Times New Roman"/>
      <w:b/>
      <w:i/>
      <w:sz w:val="24"/>
      <w:szCs w:val="24"/>
    </w:rPr>
  </w:style>
  <w:style w:type="paragraph" w:styleId="CommentSubject">
    <w:name w:val="annotation subject"/>
    <w:basedOn w:val="Normal"/>
    <w:next w:val="TableTextBoldRight"/>
    <w:link w:val="CommentSubjectChar"/>
    <w:uiPriority w:val="99"/>
    <w:semiHidden/>
    <w:unhideWhenUsed/>
    <w:rsid w:val="00174BFD"/>
    <w:rPr>
      <w:b/>
      <w:bCs/>
      <w:sz w:val="20"/>
      <w:szCs w:val="20"/>
    </w:rPr>
  </w:style>
  <w:style w:type="character" w:customStyle="1" w:styleId="CommentSubjectChar">
    <w:name w:val="Comment Subject Char"/>
    <w:link w:val="CommentSubject"/>
    <w:uiPriority w:val="99"/>
    <w:semiHidden/>
    <w:rsid w:val="004063D7"/>
    <w:rPr>
      <w:b/>
      <w:bCs/>
      <w:sz w:val="20"/>
      <w:szCs w:val="20"/>
    </w:rPr>
  </w:style>
  <w:style w:type="paragraph" w:styleId="Revision">
    <w:name w:val="Revision"/>
    <w:hidden/>
    <w:uiPriority w:val="99"/>
    <w:semiHidden/>
    <w:rsid w:val="00051EFF"/>
    <w:rPr>
      <w:sz w:val="22"/>
      <w:szCs w:val="22"/>
    </w:rPr>
  </w:style>
  <w:style w:type="character" w:customStyle="1" w:styleId="Heading6Char">
    <w:name w:val="Heading 6 Char"/>
    <w:link w:val="Heading6"/>
    <w:uiPriority w:val="9"/>
    <w:rsid w:val="00924FDE"/>
    <w:rPr>
      <w:rFonts w:ascii="Arial Narrow" w:eastAsia="Times New Roman" w:hAnsi="Arial Narrow"/>
      <w:i/>
      <w:iCs/>
      <w:color w:val="000000"/>
      <w:sz w:val="22"/>
      <w:szCs w:val="22"/>
    </w:rPr>
  </w:style>
  <w:style w:type="character" w:customStyle="1" w:styleId="Heading8Char">
    <w:name w:val="Heading 8 Char"/>
    <w:link w:val="Heading8"/>
    <w:uiPriority w:val="9"/>
    <w:semiHidden/>
    <w:rsid w:val="000A231B"/>
    <w:rPr>
      <w:rFonts w:ascii="Cambria" w:eastAsia="Times New Roman" w:hAnsi="Cambria"/>
      <w:color w:val="404040"/>
    </w:rPr>
  </w:style>
  <w:style w:type="table" w:customStyle="1" w:styleId="HyzerTable">
    <w:name w:val="Hyzer Table"/>
    <w:basedOn w:val="TableNormal"/>
    <w:uiPriority w:val="99"/>
    <w:locked/>
    <w:rsid w:val="00174BFD"/>
    <w:tblPr>
      <w:tblStyleRowBandSize w:val="1"/>
      <w:jc w:val="center"/>
      <w:tblBorders>
        <w:top w:val="single" w:sz="12" w:space="0" w:color="0046AC"/>
        <w:bottom w:val="single" w:sz="12" w:space="0" w:color="0046AC"/>
        <w:insideH w:val="single" w:sz="2" w:space="0" w:color="808080"/>
        <w:insideV w:val="single" w:sz="2" w:space="0" w:color="808080"/>
      </w:tblBorders>
    </w:tblPr>
    <w:trPr>
      <w:jc w:val="center"/>
    </w:trPr>
    <w:tcPr>
      <w:shd w:val="clear" w:color="auto" w:fill="auto"/>
    </w:tcPr>
    <w:tblStylePr w:type="firstRow">
      <w:tblPr/>
      <w:tcPr>
        <w:shd w:val="clear" w:color="auto" w:fill="0046AC"/>
      </w:tcPr>
    </w:tblStylePr>
    <w:tblStylePr w:type="band1Horz">
      <w:tblPr/>
      <w:tcPr>
        <w:shd w:val="clear" w:color="auto" w:fill="E6E6E6"/>
      </w:tcPr>
    </w:tblStylePr>
  </w:style>
  <w:style w:type="paragraph" w:customStyle="1" w:styleId="tableheaderwhite">
    <w:name w:val="table header white"/>
    <w:basedOn w:val="Normal"/>
    <w:qFormat/>
    <w:rsid w:val="006D322C"/>
    <w:pPr>
      <w:spacing w:after="0"/>
      <w:jc w:val="center"/>
    </w:pPr>
    <w:rPr>
      <w:rFonts w:ascii="Arial Narrow" w:hAnsi="Arial Narrow" w:cs="Arial"/>
      <w:b/>
      <w:color w:val="FFFFFF"/>
    </w:rPr>
  </w:style>
  <w:style w:type="paragraph" w:customStyle="1" w:styleId="tabletextcenter">
    <w:name w:val="table text center"/>
    <w:basedOn w:val="TableText"/>
    <w:qFormat/>
    <w:rsid w:val="00B3509B"/>
    <w:pPr>
      <w:jc w:val="center"/>
    </w:pPr>
  </w:style>
  <w:style w:type="paragraph" w:styleId="Caption">
    <w:name w:val="caption"/>
    <w:basedOn w:val="Normal"/>
    <w:next w:val="Normal"/>
    <w:uiPriority w:val="35"/>
    <w:unhideWhenUsed/>
    <w:qFormat/>
    <w:rsid w:val="00131649"/>
    <w:pPr>
      <w:keepNext/>
      <w:spacing w:before="120"/>
      <w:jc w:val="center"/>
    </w:pPr>
    <w:rPr>
      <w:rFonts w:ascii="Arial Narrow" w:hAnsi="Arial Narrow"/>
      <w:b/>
      <w:bCs/>
      <w:sz w:val="20"/>
      <w:szCs w:val="20"/>
    </w:rPr>
  </w:style>
  <w:style w:type="paragraph" w:customStyle="1" w:styleId="bold">
    <w:name w:val="bold"/>
    <w:next w:val="Normal"/>
    <w:link w:val="boldChar"/>
    <w:qFormat/>
    <w:rsid w:val="00924FDE"/>
    <w:rPr>
      <w:rFonts w:ascii="Times New Roman Bold" w:hAnsi="Times New Roman Bold"/>
      <w:b/>
      <w:color w:val="000000"/>
      <w:sz w:val="24"/>
      <w:szCs w:val="24"/>
    </w:rPr>
  </w:style>
  <w:style w:type="character" w:customStyle="1" w:styleId="boldChar">
    <w:name w:val="bold Char"/>
    <w:basedOn w:val="DefaultParagraphFont"/>
    <w:link w:val="bold"/>
    <w:rsid w:val="00174BFD"/>
    <w:rPr>
      <w:rFonts w:ascii="Times New Roman Bold" w:hAnsi="Times New Roman Bold" w:cs="Arial"/>
      <w:b/>
      <w:color w:val="000000"/>
      <w:sz w:val="24"/>
      <w:szCs w:val="24"/>
      <w:lang w:val="en-US" w:eastAsia="en-US" w:bidi="ar-SA"/>
    </w:rPr>
  </w:style>
  <w:style w:type="paragraph" w:customStyle="1" w:styleId="Resumesectionhead">
    <w:name w:val="Resume section head"/>
    <w:basedOn w:val="Normal"/>
    <w:qFormat/>
    <w:rsid w:val="006D322C"/>
    <w:pPr>
      <w:keepNext/>
      <w:pBdr>
        <w:bottom w:val="single" w:sz="8" w:space="1" w:color="666666"/>
      </w:pBdr>
      <w:spacing w:before="120"/>
    </w:pPr>
    <w:rPr>
      <w:rFonts w:ascii="Arial Narrow" w:eastAsia="Times New Roman" w:hAnsi="Arial Narrow"/>
      <w:b/>
      <w:color w:val="666666"/>
    </w:rPr>
  </w:style>
  <w:style w:type="paragraph" w:customStyle="1" w:styleId="ResumeName">
    <w:name w:val="Resume Name"/>
    <w:basedOn w:val="bold"/>
    <w:link w:val="ResumeNameChar"/>
    <w:qFormat/>
    <w:rsid w:val="006D322C"/>
    <w:rPr>
      <w:rFonts w:ascii="Arial Narrow" w:hAnsi="Arial Narrow"/>
      <w:color w:val="0046AC"/>
      <w:sz w:val="28"/>
    </w:rPr>
  </w:style>
  <w:style w:type="paragraph" w:customStyle="1" w:styleId="resumepositiontitle">
    <w:name w:val="resume position title"/>
    <w:basedOn w:val="ResumeName"/>
    <w:qFormat/>
    <w:rsid w:val="009B560A"/>
    <w:pPr>
      <w:spacing w:after="120"/>
    </w:pPr>
    <w:rPr>
      <w:b w:val="0"/>
      <w:i/>
      <w:sz w:val="24"/>
    </w:rPr>
  </w:style>
  <w:style w:type="character" w:customStyle="1" w:styleId="ResumeNameChar">
    <w:name w:val="Resume Name Char"/>
    <w:basedOn w:val="boldChar"/>
    <w:link w:val="ResumeName"/>
    <w:rsid w:val="006D322C"/>
    <w:rPr>
      <w:rFonts w:ascii="Arial Narrow" w:hAnsi="Arial Narrow" w:cs="Arial"/>
      <w:b/>
      <w:color w:val="0046AC"/>
      <w:sz w:val="28"/>
      <w:szCs w:val="24"/>
      <w:lang w:val="en-US" w:eastAsia="en-US" w:bidi="ar-SA"/>
    </w:rPr>
  </w:style>
  <w:style w:type="paragraph" w:customStyle="1" w:styleId="Italic">
    <w:name w:val="Italic"/>
    <w:next w:val="Normal"/>
    <w:link w:val="ItalicChar"/>
    <w:qFormat/>
    <w:rsid w:val="004142F7"/>
    <w:rPr>
      <w:rFonts w:ascii="Times New Roman" w:hAnsi="Times New Roman" w:cs="Arial"/>
      <w:i/>
      <w:sz w:val="22"/>
      <w:szCs w:val="24"/>
    </w:rPr>
  </w:style>
  <w:style w:type="paragraph" w:customStyle="1" w:styleId="bolditalic">
    <w:name w:val="bold italic"/>
    <w:next w:val="Normal"/>
    <w:link w:val="bolditalicChar"/>
    <w:qFormat/>
    <w:rsid w:val="00412BB5"/>
    <w:rPr>
      <w:rFonts w:ascii="Times New Roman Bold" w:hAnsi="Times New Roman Bold" w:cs="Arial"/>
      <w:b/>
      <w:i/>
      <w:sz w:val="22"/>
      <w:szCs w:val="24"/>
    </w:rPr>
  </w:style>
  <w:style w:type="character" w:customStyle="1" w:styleId="ItalicChar">
    <w:name w:val="Italic Char"/>
    <w:basedOn w:val="DefaultParagraphFont"/>
    <w:link w:val="Italic"/>
    <w:rsid w:val="00F34479"/>
    <w:rPr>
      <w:rFonts w:ascii="Times New Roman" w:hAnsi="Times New Roman" w:cs="Arial"/>
      <w:i/>
      <w:sz w:val="22"/>
      <w:szCs w:val="24"/>
    </w:rPr>
  </w:style>
  <w:style w:type="character" w:customStyle="1" w:styleId="bolditalicChar">
    <w:name w:val="bold italic Char"/>
    <w:basedOn w:val="DefaultParagraphFont"/>
    <w:link w:val="bolditalic"/>
    <w:rsid w:val="00CA227B"/>
    <w:rPr>
      <w:rFonts w:ascii="Times New Roman Bold" w:hAnsi="Times New Roman Bold" w:cs="Arial"/>
      <w:b/>
      <w:i/>
      <w:sz w:val="22"/>
      <w:szCs w:val="24"/>
    </w:rPr>
  </w:style>
  <w:style w:type="character" w:customStyle="1" w:styleId="Heading7Char">
    <w:name w:val="Heading 7 Char"/>
    <w:basedOn w:val="DefaultParagraphFont"/>
    <w:link w:val="Heading7"/>
    <w:uiPriority w:val="9"/>
    <w:semiHidden/>
    <w:rsid w:val="002F4942"/>
    <w:rPr>
      <w:rFonts w:ascii="Arial Narrow" w:eastAsia="Times New Roman" w:hAnsi="Arial Narrow"/>
      <w:sz w:val="24"/>
      <w:szCs w:val="24"/>
    </w:rPr>
  </w:style>
  <w:style w:type="character" w:customStyle="1" w:styleId="Heading9Char">
    <w:name w:val="Heading 9 Char"/>
    <w:basedOn w:val="DefaultParagraphFont"/>
    <w:link w:val="Heading9"/>
    <w:uiPriority w:val="9"/>
    <w:semiHidden/>
    <w:rsid w:val="002F4942"/>
    <w:rPr>
      <w:rFonts w:ascii="Cambria" w:eastAsia="Times New Roman" w:hAnsi="Cambria"/>
      <w:sz w:val="24"/>
      <w:szCs w:val="24"/>
    </w:rPr>
  </w:style>
  <w:style w:type="character" w:customStyle="1" w:styleId="boldcenteredChar">
    <w:name w:val="bold centered Char"/>
    <w:link w:val="boldcentered"/>
    <w:rsid w:val="002F4942"/>
    <w:rPr>
      <w:rFonts w:ascii="Times New Roman" w:hAnsi="Times New Roman"/>
      <w:b/>
      <w:sz w:val="22"/>
      <w:szCs w:val="22"/>
    </w:rPr>
  </w:style>
  <w:style w:type="paragraph" w:styleId="ListNumber">
    <w:name w:val="List Number"/>
    <w:basedOn w:val="Normal"/>
    <w:uiPriority w:val="99"/>
    <w:semiHidden/>
    <w:unhideWhenUsed/>
    <w:rsid w:val="002F4942"/>
    <w:pPr>
      <w:numPr>
        <w:numId w:val="8"/>
      </w:numPr>
      <w:contextualSpacing/>
    </w:pPr>
  </w:style>
  <w:style w:type="paragraph" w:customStyle="1" w:styleId="ActionCaption">
    <w:name w:val="Action Caption"/>
    <w:basedOn w:val="Exhibit"/>
    <w:next w:val="Normal"/>
    <w:link w:val="ActionCaptionChar"/>
    <w:qFormat/>
    <w:locked/>
    <w:rsid w:val="002F4942"/>
    <w:pPr>
      <w:spacing w:before="40" w:after="120"/>
    </w:pPr>
    <w:rPr>
      <w:rFonts w:ascii="Arial Narrow" w:hAnsi="Arial Narrow"/>
      <w:i/>
      <w:sz w:val="20"/>
    </w:rPr>
  </w:style>
  <w:style w:type="character" w:customStyle="1" w:styleId="ActionCaptionChar">
    <w:name w:val="Action Caption Char"/>
    <w:link w:val="ActionCaption"/>
    <w:rsid w:val="002F4942"/>
    <w:rPr>
      <w:rFonts w:ascii="Arial Narrow" w:hAnsi="Arial Narrow"/>
      <w:i/>
      <w:noProof/>
      <w:szCs w:val="24"/>
    </w:rPr>
  </w:style>
  <w:style w:type="paragraph" w:styleId="ListBullet">
    <w:name w:val="List Bullet"/>
    <w:basedOn w:val="Normal"/>
    <w:uiPriority w:val="99"/>
    <w:qFormat/>
    <w:rsid w:val="00BE6912"/>
    <w:pPr>
      <w:numPr>
        <w:numId w:val="10"/>
      </w:numPr>
      <w:spacing w:before="60" w:after="60"/>
      <w:ind w:left="360"/>
      <w:contextualSpacing/>
    </w:pPr>
  </w:style>
  <w:style w:type="paragraph" w:customStyle="1" w:styleId="NormalCentered">
    <w:name w:val="Normal Centered"/>
    <w:next w:val="Normal"/>
    <w:link w:val="NormalCenteredChar"/>
    <w:qFormat/>
    <w:rsid w:val="002837A8"/>
    <w:pPr>
      <w:jc w:val="center"/>
    </w:pPr>
    <w:rPr>
      <w:rFonts w:ascii="Times New Roman" w:hAnsi="Times New Roman" w:cs="Arial"/>
      <w:sz w:val="22"/>
      <w:szCs w:val="22"/>
    </w:rPr>
  </w:style>
  <w:style w:type="character" w:customStyle="1" w:styleId="NormalCenteredChar">
    <w:name w:val="Normal Centered Char"/>
    <w:link w:val="NormalCentered"/>
    <w:rsid w:val="002837A8"/>
    <w:rPr>
      <w:rFonts w:ascii="Times New Roman" w:hAnsi="Times New Roman" w:cs="Arial"/>
      <w:sz w:val="22"/>
      <w:szCs w:val="22"/>
    </w:rPr>
  </w:style>
  <w:style w:type="paragraph" w:customStyle="1" w:styleId="boldcentered">
    <w:name w:val="bold centered"/>
    <w:basedOn w:val="Normal"/>
    <w:link w:val="boldcenteredChar"/>
    <w:qFormat/>
    <w:rsid w:val="002F4942"/>
    <w:pPr>
      <w:jc w:val="center"/>
    </w:pPr>
    <w:rPr>
      <w:b/>
    </w:rPr>
  </w:style>
  <w:style w:type="paragraph" w:styleId="ListBullet2">
    <w:name w:val="List Bullet 2"/>
    <w:basedOn w:val="ListBullet"/>
    <w:uiPriority w:val="99"/>
    <w:qFormat/>
    <w:rsid w:val="000D7F92"/>
    <w:pPr>
      <w:numPr>
        <w:numId w:val="11"/>
      </w:numPr>
    </w:pPr>
  </w:style>
  <w:style w:type="paragraph" w:styleId="ListBullet3">
    <w:name w:val="List Bullet 3"/>
    <w:basedOn w:val="Normal"/>
    <w:uiPriority w:val="99"/>
    <w:qFormat/>
    <w:rsid w:val="000D7F92"/>
    <w:pPr>
      <w:numPr>
        <w:numId w:val="7"/>
      </w:numPr>
      <w:contextualSpacing/>
    </w:pPr>
  </w:style>
  <w:style w:type="paragraph" w:styleId="ListContinue">
    <w:name w:val="List Continue"/>
    <w:basedOn w:val="Normal"/>
    <w:uiPriority w:val="99"/>
    <w:qFormat/>
    <w:rsid w:val="002F4942"/>
    <w:pPr>
      <w:ind w:left="360"/>
    </w:pPr>
  </w:style>
  <w:style w:type="paragraph" w:styleId="ListContinue2">
    <w:name w:val="List Continue 2"/>
    <w:basedOn w:val="Normal"/>
    <w:uiPriority w:val="99"/>
    <w:qFormat/>
    <w:rsid w:val="002F4942"/>
    <w:pPr>
      <w:ind w:left="720"/>
      <w:contextualSpacing/>
    </w:pPr>
  </w:style>
  <w:style w:type="paragraph" w:styleId="ListContinue3">
    <w:name w:val="List Continue 3"/>
    <w:basedOn w:val="Normal"/>
    <w:uiPriority w:val="99"/>
    <w:qFormat/>
    <w:rsid w:val="002F4942"/>
    <w:pPr>
      <w:ind w:left="1080"/>
      <w:contextualSpacing/>
    </w:pPr>
  </w:style>
  <w:style w:type="character" w:customStyle="1" w:styleId="TableTextBold">
    <w:name w:val="Table Text Bold"/>
    <w:basedOn w:val="DefaultParagraphFont"/>
    <w:uiPriority w:val="1"/>
    <w:qFormat/>
    <w:rsid w:val="00330E70"/>
    <w:rPr>
      <w:b/>
    </w:rPr>
  </w:style>
  <w:style w:type="paragraph" w:styleId="ListParagraph">
    <w:name w:val="List Paragraph"/>
    <w:basedOn w:val="Normal"/>
    <w:uiPriority w:val="34"/>
    <w:qFormat/>
    <w:locked/>
    <w:rsid w:val="007F08A0"/>
    <w:pPr>
      <w:ind w:left="720"/>
      <w:contextualSpacing/>
    </w:pPr>
  </w:style>
  <w:style w:type="paragraph" w:styleId="Title">
    <w:name w:val="Title"/>
    <w:aliases w:val="TOC Title"/>
    <w:basedOn w:val="Normal"/>
    <w:next w:val="Normal"/>
    <w:link w:val="TitleChar"/>
    <w:uiPriority w:val="10"/>
    <w:rsid w:val="006D322C"/>
    <w:pPr>
      <w:pBdr>
        <w:bottom w:val="single" w:sz="8" w:space="4" w:color="4F81BD"/>
      </w:pBdr>
      <w:spacing w:after="300"/>
      <w:contextualSpacing/>
    </w:pPr>
    <w:rPr>
      <w:rFonts w:ascii="Arial Narrow" w:eastAsia="Times New Roman" w:hAnsi="Arial Narrow"/>
      <w:color w:val="0046AC"/>
      <w:spacing w:val="5"/>
      <w:kern w:val="28"/>
      <w:sz w:val="52"/>
      <w:szCs w:val="52"/>
    </w:rPr>
  </w:style>
  <w:style w:type="character" w:customStyle="1" w:styleId="TitleChar">
    <w:name w:val="Title Char"/>
    <w:aliases w:val="TOC Title Char"/>
    <w:basedOn w:val="DefaultParagraphFont"/>
    <w:link w:val="Title"/>
    <w:uiPriority w:val="10"/>
    <w:rsid w:val="006D322C"/>
    <w:rPr>
      <w:rFonts w:ascii="Arial Narrow" w:eastAsia="Times New Roman" w:hAnsi="Arial Narrow"/>
      <w:color w:val="0046AC"/>
      <w:spacing w:val="5"/>
      <w:kern w:val="28"/>
      <w:sz w:val="52"/>
      <w:szCs w:val="52"/>
    </w:rPr>
  </w:style>
  <w:style w:type="paragraph" w:customStyle="1" w:styleId="PullQuote">
    <w:name w:val="Pull Quote"/>
    <w:basedOn w:val="Normal"/>
    <w:qFormat/>
    <w:rsid w:val="000E57B4"/>
    <w:pPr>
      <w:framePr w:w="3168" w:hSpace="72" w:vSpace="72" w:wrap="around" w:vAnchor="text" w:hAnchor="margin" w:xAlign="right" w:y="116"/>
      <w:pBdr>
        <w:top w:val="single" w:sz="4" w:space="1" w:color="0046AC"/>
        <w:left w:val="single" w:sz="36" w:space="4" w:color="0046AC"/>
        <w:bottom w:val="single" w:sz="4" w:space="1" w:color="0046AC"/>
        <w:right w:val="single" w:sz="4" w:space="4" w:color="0046AC"/>
      </w:pBdr>
      <w:shd w:val="clear" w:color="auto" w:fill="E2E2E2"/>
      <w:spacing w:before="40" w:after="40"/>
    </w:pPr>
    <w:rPr>
      <w:rFonts w:ascii="Arial Narrow" w:hAnsi="Arial Narrow"/>
      <w:b/>
      <w:color w:val="0046AC"/>
      <w:sz w:val="18"/>
    </w:rPr>
  </w:style>
  <w:style w:type="paragraph" w:customStyle="1" w:styleId="TableTextBoldCentered">
    <w:name w:val="Table Text Bold Centered"/>
    <w:basedOn w:val="TableText"/>
    <w:qFormat/>
    <w:rsid w:val="008E399A"/>
    <w:pPr>
      <w:jc w:val="center"/>
    </w:pPr>
    <w:rPr>
      <w:b/>
    </w:rPr>
  </w:style>
  <w:style w:type="paragraph" w:customStyle="1" w:styleId="HeaderBold">
    <w:name w:val="Header Bold"/>
    <w:basedOn w:val="Header"/>
    <w:next w:val="Header"/>
    <w:link w:val="HeaderBoldChar"/>
    <w:qFormat/>
    <w:rsid w:val="000E57B4"/>
    <w:rPr>
      <w:b/>
    </w:rPr>
  </w:style>
  <w:style w:type="character" w:customStyle="1" w:styleId="HeaderBoldChar">
    <w:name w:val="Header Bold Char"/>
    <w:basedOn w:val="HeaderChar"/>
    <w:link w:val="HeaderBold"/>
    <w:rsid w:val="000E57B4"/>
    <w:rPr>
      <w:rFonts w:ascii="Arial Narrow" w:hAnsi="Arial Narrow"/>
      <w:b/>
      <w:noProof/>
      <w:color w:val="666666"/>
      <w:sz w:val="18"/>
      <w:szCs w:val="24"/>
    </w:rPr>
  </w:style>
  <w:style w:type="paragraph" w:styleId="NoSpacing">
    <w:name w:val="No Spacing"/>
    <w:uiPriority w:val="1"/>
    <w:locked/>
    <w:rsid w:val="00BC340C"/>
    <w:rPr>
      <w:rFonts w:ascii="Times New Roman" w:hAnsi="Times New Roman"/>
      <w:sz w:val="24"/>
      <w:szCs w:val="24"/>
    </w:rPr>
  </w:style>
  <w:style w:type="character" w:customStyle="1" w:styleId="hlfld-contribauthor">
    <w:name w:val="hlfld-contribauthor"/>
    <w:basedOn w:val="DefaultParagraphFont"/>
    <w:rsid w:val="00955405"/>
  </w:style>
  <w:style w:type="paragraph" w:styleId="FootnoteText">
    <w:name w:val="footnote text"/>
    <w:basedOn w:val="Normal"/>
    <w:link w:val="FootnoteTextChar"/>
    <w:uiPriority w:val="99"/>
    <w:unhideWhenUsed/>
    <w:rsid w:val="00FA3A01"/>
    <w:pPr>
      <w:spacing w:before="0" w:after="0"/>
    </w:pPr>
  </w:style>
  <w:style w:type="character" w:customStyle="1" w:styleId="FootnoteTextChar">
    <w:name w:val="Footnote Text Char"/>
    <w:basedOn w:val="DefaultParagraphFont"/>
    <w:link w:val="FootnoteText"/>
    <w:uiPriority w:val="99"/>
    <w:rsid w:val="00FA3A01"/>
    <w:rPr>
      <w:rFonts w:ascii="Times New Roman" w:hAnsi="Times New Roman"/>
      <w:sz w:val="24"/>
      <w:szCs w:val="24"/>
    </w:rPr>
  </w:style>
  <w:style w:type="character" w:styleId="FootnoteReference">
    <w:name w:val="footnote reference"/>
    <w:basedOn w:val="DefaultParagraphFont"/>
    <w:uiPriority w:val="99"/>
    <w:unhideWhenUsed/>
    <w:locked/>
    <w:rsid w:val="00FA3A01"/>
    <w:rPr>
      <w:vertAlign w:val="superscript"/>
    </w:rPr>
  </w:style>
  <w:style w:type="paragraph" w:styleId="NormalWeb">
    <w:name w:val="Normal (Web)"/>
    <w:basedOn w:val="Normal"/>
    <w:uiPriority w:val="99"/>
    <w:unhideWhenUsed/>
    <w:rsid w:val="008A4A14"/>
    <w:pPr>
      <w:spacing w:before="100" w:beforeAutospacing="1" w:after="100" w:afterAutospacing="1"/>
    </w:pPr>
    <w:rPr>
      <w:rFonts w:ascii="Times" w:hAnsi="Times"/>
      <w:sz w:val="20"/>
      <w:szCs w:val="20"/>
    </w:rPr>
  </w:style>
  <w:style w:type="paragraph" w:styleId="CommentText">
    <w:name w:val="annotation text"/>
    <w:basedOn w:val="Normal"/>
    <w:link w:val="CommentTextChar"/>
    <w:uiPriority w:val="99"/>
    <w:unhideWhenUsed/>
    <w:rsid w:val="003B60F5"/>
    <w:rPr>
      <w:sz w:val="20"/>
      <w:szCs w:val="20"/>
    </w:rPr>
  </w:style>
  <w:style w:type="character" w:customStyle="1" w:styleId="CommentTextChar">
    <w:name w:val="Comment Text Char"/>
    <w:basedOn w:val="DefaultParagraphFont"/>
    <w:link w:val="CommentText"/>
    <w:uiPriority w:val="99"/>
    <w:rsid w:val="003B60F5"/>
    <w:rPr>
      <w:rFonts w:ascii="Times New Roman" w:hAnsi="Times New Roman"/>
    </w:rPr>
  </w:style>
  <w:style w:type="paragraph" w:customStyle="1" w:styleId="xmsonormal">
    <w:name w:val="x_msonormal"/>
    <w:basedOn w:val="Normal"/>
    <w:rsid w:val="009A609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A609A"/>
  </w:style>
  <w:style w:type="character" w:customStyle="1" w:styleId="xnormaltextrun1">
    <w:name w:val="x_normaltextrun1"/>
    <w:basedOn w:val="DefaultParagraphFont"/>
    <w:rsid w:val="009A609A"/>
  </w:style>
  <w:style w:type="numbering" w:customStyle="1" w:styleId="List0">
    <w:name w:val="List 0"/>
    <w:basedOn w:val="NoList"/>
    <w:rsid w:val="006A4C4B"/>
    <w:pPr>
      <w:numPr>
        <w:numId w:val="14"/>
      </w:numPr>
    </w:pPr>
  </w:style>
  <w:style w:type="character" w:customStyle="1" w:styleId="normaltextrun">
    <w:name w:val="normaltextrun"/>
    <w:basedOn w:val="DefaultParagraphFont"/>
    <w:rsid w:val="00F44D10"/>
  </w:style>
  <w:style w:type="character" w:styleId="FollowedHyperlink">
    <w:name w:val="FollowedHyperlink"/>
    <w:basedOn w:val="DefaultParagraphFont"/>
    <w:uiPriority w:val="99"/>
    <w:semiHidden/>
    <w:unhideWhenUsed/>
    <w:locked/>
    <w:rsid w:val="002741A3"/>
    <w:rPr>
      <w:color w:val="800080" w:themeColor="followedHyperlink"/>
      <w:u w:val="single"/>
    </w:rPr>
  </w:style>
  <w:style w:type="paragraph" w:customStyle="1" w:styleId="Default">
    <w:name w:val="Default"/>
    <w:rsid w:val="00B76D13"/>
    <w:pPr>
      <w:autoSpaceDE w:val="0"/>
      <w:autoSpaceDN w:val="0"/>
      <w:adjustRightInd w:val="0"/>
    </w:pPr>
    <w:rPr>
      <w:rFonts w:ascii="Cambria" w:hAnsi="Cambria" w:cs="Cambria"/>
      <w:color w:val="000000"/>
      <w:sz w:val="24"/>
      <w:szCs w:val="24"/>
    </w:rPr>
  </w:style>
  <w:style w:type="table" w:customStyle="1" w:styleId="TableGrid1">
    <w:name w:val="Table Grid1"/>
    <w:basedOn w:val="TableNormal"/>
    <w:next w:val="TableGrid"/>
    <w:uiPriority w:val="39"/>
    <w:rsid w:val="008A4E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yzerTable1">
    <w:name w:val="Hyzer Table1"/>
    <w:basedOn w:val="TableNormal"/>
    <w:uiPriority w:val="99"/>
    <w:locked/>
    <w:rsid w:val="00FF29BA"/>
    <w:tblPr>
      <w:tblStyleRowBandSize w:val="1"/>
      <w:jc w:val="center"/>
      <w:tblBorders>
        <w:top w:val="single" w:sz="12" w:space="0" w:color="0046AC"/>
        <w:bottom w:val="single" w:sz="12" w:space="0" w:color="0046AC"/>
        <w:insideH w:val="single" w:sz="2" w:space="0" w:color="808080"/>
        <w:insideV w:val="single" w:sz="2" w:space="0" w:color="808080"/>
      </w:tblBorders>
    </w:tblPr>
    <w:trPr>
      <w:jc w:val="center"/>
    </w:trPr>
    <w:tcPr>
      <w:shd w:val="clear" w:color="auto" w:fill="auto"/>
    </w:tcPr>
    <w:tblStylePr w:type="firstRow">
      <w:tblPr/>
      <w:tcPr>
        <w:shd w:val="clear" w:color="auto" w:fill="0046AC"/>
      </w:tcPr>
    </w:tblStylePr>
    <w:tblStylePr w:type="band1Horz">
      <w:tblPr/>
      <w:tcPr>
        <w:shd w:val="clear" w:color="auto" w:fill="E6E6E6"/>
      </w:tcPr>
    </w:tblStylePr>
  </w:style>
  <w:style w:type="paragraph" w:customStyle="1" w:styleId="paragraph">
    <w:name w:val="paragraph"/>
    <w:basedOn w:val="Normal"/>
    <w:rsid w:val="00C933ED"/>
    <w:pPr>
      <w:spacing w:before="100" w:beforeAutospacing="1" w:after="100" w:afterAutospacing="1"/>
    </w:pPr>
    <w:rPr>
      <w:rFonts w:ascii="Times" w:hAnsi="Times"/>
      <w:sz w:val="20"/>
      <w:szCs w:val="20"/>
    </w:rPr>
  </w:style>
  <w:style w:type="character" w:customStyle="1" w:styleId="eop">
    <w:name w:val="eop"/>
    <w:basedOn w:val="DefaultParagraphFont"/>
    <w:rsid w:val="00C933ED"/>
  </w:style>
  <w:style w:type="table" w:customStyle="1" w:styleId="HyzerTable2">
    <w:name w:val="Hyzer Table2"/>
    <w:basedOn w:val="TableNormal"/>
    <w:uiPriority w:val="99"/>
    <w:locked/>
    <w:rsid w:val="006D41D8"/>
    <w:tblPr>
      <w:tblStyleRowBandSize w:val="1"/>
      <w:jc w:val="center"/>
      <w:tblBorders>
        <w:top w:val="single" w:sz="12" w:space="0" w:color="0046AC"/>
        <w:bottom w:val="single" w:sz="12" w:space="0" w:color="0046AC"/>
        <w:insideH w:val="single" w:sz="2" w:space="0" w:color="808080"/>
        <w:insideV w:val="single" w:sz="2" w:space="0" w:color="808080"/>
      </w:tblBorders>
    </w:tblPr>
    <w:trPr>
      <w:jc w:val="center"/>
    </w:trPr>
    <w:tcPr>
      <w:shd w:val="clear" w:color="auto" w:fill="auto"/>
    </w:tcPr>
    <w:tblStylePr w:type="firstRow">
      <w:tblPr/>
      <w:tcPr>
        <w:shd w:val="clear" w:color="auto" w:fill="0046AC"/>
      </w:tcPr>
    </w:tblStylePr>
    <w:tblStylePr w:type="band1Horz">
      <w:tblPr/>
      <w:tcPr>
        <w:shd w:val="clear" w:color="auto" w:fill="E6E6E6"/>
      </w:tcPr>
    </w:tblStylePr>
  </w:style>
  <w:style w:type="table" w:customStyle="1" w:styleId="HyzerTable3">
    <w:name w:val="Hyzer Table3"/>
    <w:basedOn w:val="TableNormal"/>
    <w:uiPriority w:val="99"/>
    <w:locked/>
    <w:rsid w:val="006D41D8"/>
    <w:tblPr>
      <w:tblStyleRowBandSize w:val="1"/>
      <w:jc w:val="center"/>
      <w:tblBorders>
        <w:top w:val="single" w:sz="12" w:space="0" w:color="0046AC"/>
        <w:bottom w:val="single" w:sz="12" w:space="0" w:color="0046AC"/>
        <w:insideH w:val="single" w:sz="2" w:space="0" w:color="808080"/>
        <w:insideV w:val="single" w:sz="2" w:space="0" w:color="808080"/>
      </w:tblBorders>
    </w:tblPr>
    <w:trPr>
      <w:jc w:val="center"/>
    </w:trPr>
    <w:tcPr>
      <w:shd w:val="clear" w:color="auto" w:fill="auto"/>
    </w:tcPr>
    <w:tblStylePr w:type="firstRow">
      <w:tblPr/>
      <w:tcPr>
        <w:shd w:val="clear" w:color="auto" w:fill="0046AC"/>
      </w:tcPr>
    </w:tblStylePr>
    <w:tblStylePr w:type="band1Horz">
      <w:tblPr/>
      <w:tcPr>
        <w:shd w:val="clear" w:color="auto" w:fill="E6E6E6"/>
      </w:tcPr>
    </w:tblStylePr>
  </w:style>
  <w:style w:type="table" w:customStyle="1" w:styleId="HyzerTable4">
    <w:name w:val="Hyzer Table4"/>
    <w:basedOn w:val="TableNormal"/>
    <w:uiPriority w:val="99"/>
    <w:locked/>
    <w:rsid w:val="00710F1C"/>
    <w:tblPr>
      <w:tblStyleRowBandSize w:val="1"/>
      <w:jc w:val="center"/>
      <w:tblBorders>
        <w:top w:val="single" w:sz="12" w:space="0" w:color="0046AC"/>
        <w:bottom w:val="single" w:sz="12" w:space="0" w:color="0046AC"/>
        <w:insideH w:val="single" w:sz="2" w:space="0" w:color="808080"/>
        <w:insideV w:val="single" w:sz="2" w:space="0" w:color="808080"/>
      </w:tblBorders>
    </w:tblPr>
    <w:trPr>
      <w:jc w:val="center"/>
    </w:trPr>
    <w:tcPr>
      <w:shd w:val="clear" w:color="auto" w:fill="auto"/>
    </w:tcPr>
    <w:tblStylePr w:type="firstRow">
      <w:tblPr/>
      <w:tcPr>
        <w:shd w:val="clear" w:color="auto" w:fill="0046AC"/>
      </w:tcPr>
    </w:tblStylePr>
    <w:tblStylePr w:type="band1Horz">
      <w:tblPr/>
      <w:tcPr>
        <w:shd w:val="clear" w:color="auto" w:fill="E6E6E6"/>
      </w:tcPr>
    </w:tblStylePr>
  </w:style>
  <w:style w:type="table" w:customStyle="1" w:styleId="HyzerTable5">
    <w:name w:val="Hyzer Table5"/>
    <w:basedOn w:val="TableNormal"/>
    <w:uiPriority w:val="99"/>
    <w:locked/>
    <w:rsid w:val="00047390"/>
    <w:tblPr>
      <w:tblStyleRowBandSize w:val="1"/>
      <w:jc w:val="center"/>
      <w:tblBorders>
        <w:top w:val="single" w:sz="12" w:space="0" w:color="0046AC"/>
        <w:bottom w:val="single" w:sz="12" w:space="0" w:color="0046AC"/>
        <w:insideH w:val="single" w:sz="2" w:space="0" w:color="808080"/>
        <w:insideV w:val="single" w:sz="2" w:space="0" w:color="808080"/>
      </w:tblBorders>
    </w:tblPr>
    <w:trPr>
      <w:jc w:val="center"/>
    </w:trPr>
    <w:tcPr>
      <w:shd w:val="clear" w:color="auto" w:fill="auto"/>
    </w:tcPr>
    <w:tblStylePr w:type="firstRow">
      <w:tblPr/>
      <w:tcPr>
        <w:shd w:val="clear" w:color="auto" w:fill="0046AC"/>
      </w:tcPr>
    </w:tblStylePr>
    <w:tblStylePr w:type="band1Horz">
      <w:tblPr/>
      <w:tcPr>
        <w:shd w:val="clear" w:color="auto" w:fill="E6E6E6"/>
      </w:tcPr>
    </w:tblStylePr>
  </w:style>
  <w:style w:type="paragraph" w:styleId="TOC7">
    <w:name w:val="toc 7"/>
    <w:basedOn w:val="Normal"/>
    <w:next w:val="Normal"/>
    <w:autoRedefine/>
    <w:uiPriority w:val="39"/>
    <w:unhideWhenUsed/>
    <w:rsid w:val="00D52DED"/>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52DED"/>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52DED"/>
    <w:pPr>
      <w:spacing w:before="0"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D52DED"/>
    <w:rPr>
      <w:color w:val="605E5C"/>
      <w:shd w:val="clear" w:color="auto" w:fill="E1DFDD"/>
    </w:rPr>
  </w:style>
  <w:style w:type="character" w:customStyle="1" w:styleId="UnresolvedMention2">
    <w:name w:val="Unresolved Mention2"/>
    <w:basedOn w:val="DefaultParagraphFont"/>
    <w:uiPriority w:val="99"/>
    <w:semiHidden/>
    <w:unhideWhenUsed/>
    <w:rsid w:val="002B4425"/>
    <w:rPr>
      <w:color w:val="605E5C"/>
      <w:shd w:val="clear" w:color="auto" w:fill="E1DFDD"/>
    </w:rPr>
  </w:style>
  <w:style w:type="character" w:customStyle="1" w:styleId="UnresolvedMention3">
    <w:name w:val="Unresolved Mention3"/>
    <w:basedOn w:val="DefaultParagraphFont"/>
    <w:uiPriority w:val="99"/>
    <w:semiHidden/>
    <w:unhideWhenUsed/>
    <w:rsid w:val="00E91FF8"/>
    <w:rPr>
      <w:color w:val="605E5C"/>
      <w:shd w:val="clear" w:color="auto" w:fill="E1DFDD"/>
    </w:rPr>
  </w:style>
  <w:style w:type="character" w:customStyle="1" w:styleId="UnresolvedMention4">
    <w:name w:val="Unresolved Mention4"/>
    <w:basedOn w:val="DefaultParagraphFont"/>
    <w:uiPriority w:val="99"/>
    <w:semiHidden/>
    <w:unhideWhenUsed/>
    <w:rsid w:val="00D3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52726">
      <w:bodyDiv w:val="1"/>
      <w:marLeft w:val="0"/>
      <w:marRight w:val="0"/>
      <w:marTop w:val="0"/>
      <w:marBottom w:val="0"/>
      <w:divBdr>
        <w:top w:val="none" w:sz="0" w:space="0" w:color="auto"/>
        <w:left w:val="none" w:sz="0" w:space="0" w:color="auto"/>
        <w:bottom w:val="none" w:sz="0" w:space="0" w:color="auto"/>
        <w:right w:val="none" w:sz="0" w:space="0" w:color="auto"/>
      </w:divBdr>
    </w:div>
    <w:div w:id="366639462">
      <w:bodyDiv w:val="1"/>
      <w:marLeft w:val="0"/>
      <w:marRight w:val="0"/>
      <w:marTop w:val="0"/>
      <w:marBottom w:val="0"/>
      <w:divBdr>
        <w:top w:val="none" w:sz="0" w:space="0" w:color="auto"/>
        <w:left w:val="none" w:sz="0" w:space="0" w:color="auto"/>
        <w:bottom w:val="none" w:sz="0" w:space="0" w:color="auto"/>
        <w:right w:val="none" w:sz="0" w:space="0" w:color="auto"/>
      </w:divBdr>
    </w:div>
    <w:div w:id="525024519">
      <w:bodyDiv w:val="1"/>
      <w:marLeft w:val="0"/>
      <w:marRight w:val="0"/>
      <w:marTop w:val="0"/>
      <w:marBottom w:val="0"/>
      <w:divBdr>
        <w:top w:val="none" w:sz="0" w:space="0" w:color="auto"/>
        <w:left w:val="none" w:sz="0" w:space="0" w:color="auto"/>
        <w:bottom w:val="none" w:sz="0" w:space="0" w:color="auto"/>
        <w:right w:val="none" w:sz="0" w:space="0" w:color="auto"/>
      </w:divBdr>
      <w:divsChild>
        <w:div w:id="532545693">
          <w:marLeft w:val="0"/>
          <w:marRight w:val="0"/>
          <w:marTop w:val="0"/>
          <w:marBottom w:val="0"/>
          <w:divBdr>
            <w:top w:val="none" w:sz="0" w:space="0" w:color="auto"/>
            <w:left w:val="none" w:sz="0" w:space="0" w:color="auto"/>
            <w:bottom w:val="none" w:sz="0" w:space="0" w:color="auto"/>
            <w:right w:val="none" w:sz="0" w:space="0" w:color="auto"/>
          </w:divBdr>
          <w:divsChild>
            <w:div w:id="1004090946">
              <w:marLeft w:val="0"/>
              <w:marRight w:val="0"/>
              <w:marTop w:val="0"/>
              <w:marBottom w:val="0"/>
              <w:divBdr>
                <w:top w:val="none" w:sz="0" w:space="0" w:color="auto"/>
                <w:left w:val="none" w:sz="0" w:space="0" w:color="auto"/>
                <w:bottom w:val="none" w:sz="0" w:space="0" w:color="auto"/>
                <w:right w:val="none" w:sz="0" w:space="0" w:color="auto"/>
              </w:divBdr>
              <w:divsChild>
                <w:div w:id="1869950894">
                  <w:marLeft w:val="0"/>
                  <w:marRight w:val="0"/>
                  <w:marTop w:val="0"/>
                  <w:marBottom w:val="0"/>
                  <w:divBdr>
                    <w:top w:val="none" w:sz="0" w:space="0" w:color="auto"/>
                    <w:left w:val="none" w:sz="0" w:space="0" w:color="auto"/>
                    <w:bottom w:val="none" w:sz="0" w:space="0" w:color="auto"/>
                    <w:right w:val="none" w:sz="0" w:space="0" w:color="auto"/>
                  </w:divBdr>
                  <w:divsChild>
                    <w:div w:id="888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24919">
      <w:bodyDiv w:val="1"/>
      <w:marLeft w:val="0"/>
      <w:marRight w:val="0"/>
      <w:marTop w:val="0"/>
      <w:marBottom w:val="0"/>
      <w:divBdr>
        <w:top w:val="none" w:sz="0" w:space="0" w:color="auto"/>
        <w:left w:val="none" w:sz="0" w:space="0" w:color="auto"/>
        <w:bottom w:val="none" w:sz="0" w:space="0" w:color="auto"/>
        <w:right w:val="none" w:sz="0" w:space="0" w:color="auto"/>
      </w:divBdr>
    </w:div>
    <w:div w:id="988286051">
      <w:bodyDiv w:val="1"/>
      <w:marLeft w:val="0"/>
      <w:marRight w:val="0"/>
      <w:marTop w:val="0"/>
      <w:marBottom w:val="0"/>
      <w:divBdr>
        <w:top w:val="none" w:sz="0" w:space="0" w:color="auto"/>
        <w:left w:val="none" w:sz="0" w:space="0" w:color="auto"/>
        <w:bottom w:val="none" w:sz="0" w:space="0" w:color="auto"/>
        <w:right w:val="none" w:sz="0" w:space="0" w:color="auto"/>
      </w:divBdr>
    </w:div>
    <w:div w:id="1207252084">
      <w:bodyDiv w:val="1"/>
      <w:marLeft w:val="0"/>
      <w:marRight w:val="0"/>
      <w:marTop w:val="0"/>
      <w:marBottom w:val="0"/>
      <w:divBdr>
        <w:top w:val="none" w:sz="0" w:space="0" w:color="auto"/>
        <w:left w:val="none" w:sz="0" w:space="0" w:color="auto"/>
        <w:bottom w:val="none" w:sz="0" w:space="0" w:color="auto"/>
        <w:right w:val="none" w:sz="0" w:space="0" w:color="auto"/>
      </w:divBdr>
    </w:div>
    <w:div w:id="1275139863">
      <w:bodyDiv w:val="1"/>
      <w:marLeft w:val="0"/>
      <w:marRight w:val="0"/>
      <w:marTop w:val="0"/>
      <w:marBottom w:val="0"/>
      <w:divBdr>
        <w:top w:val="none" w:sz="0" w:space="0" w:color="auto"/>
        <w:left w:val="none" w:sz="0" w:space="0" w:color="auto"/>
        <w:bottom w:val="none" w:sz="0" w:space="0" w:color="auto"/>
        <w:right w:val="none" w:sz="0" w:space="0" w:color="auto"/>
      </w:divBdr>
    </w:div>
    <w:div w:id="1380936896">
      <w:bodyDiv w:val="1"/>
      <w:marLeft w:val="0"/>
      <w:marRight w:val="0"/>
      <w:marTop w:val="0"/>
      <w:marBottom w:val="0"/>
      <w:divBdr>
        <w:top w:val="none" w:sz="0" w:space="0" w:color="auto"/>
        <w:left w:val="none" w:sz="0" w:space="0" w:color="auto"/>
        <w:bottom w:val="none" w:sz="0" w:space="0" w:color="auto"/>
        <w:right w:val="none" w:sz="0" w:space="0" w:color="auto"/>
      </w:divBdr>
    </w:div>
    <w:div w:id="1492864502">
      <w:bodyDiv w:val="1"/>
      <w:marLeft w:val="0"/>
      <w:marRight w:val="0"/>
      <w:marTop w:val="0"/>
      <w:marBottom w:val="0"/>
      <w:divBdr>
        <w:top w:val="none" w:sz="0" w:space="0" w:color="auto"/>
        <w:left w:val="none" w:sz="0" w:space="0" w:color="auto"/>
        <w:bottom w:val="none" w:sz="0" w:space="0" w:color="auto"/>
        <w:right w:val="none" w:sz="0" w:space="0" w:color="auto"/>
      </w:divBdr>
      <w:divsChild>
        <w:div w:id="336229817">
          <w:marLeft w:val="0"/>
          <w:marRight w:val="0"/>
          <w:marTop w:val="0"/>
          <w:marBottom w:val="0"/>
          <w:divBdr>
            <w:top w:val="none" w:sz="0" w:space="0" w:color="auto"/>
            <w:left w:val="none" w:sz="0" w:space="0" w:color="auto"/>
            <w:bottom w:val="none" w:sz="0" w:space="0" w:color="auto"/>
            <w:right w:val="none" w:sz="0" w:space="0" w:color="auto"/>
          </w:divBdr>
          <w:divsChild>
            <w:div w:id="781072011">
              <w:marLeft w:val="0"/>
              <w:marRight w:val="0"/>
              <w:marTop w:val="0"/>
              <w:marBottom w:val="0"/>
              <w:divBdr>
                <w:top w:val="none" w:sz="0" w:space="0" w:color="auto"/>
                <w:left w:val="none" w:sz="0" w:space="0" w:color="auto"/>
                <w:bottom w:val="none" w:sz="0" w:space="0" w:color="auto"/>
                <w:right w:val="none" w:sz="0" w:space="0" w:color="auto"/>
              </w:divBdr>
              <w:divsChild>
                <w:div w:id="235626172">
                  <w:marLeft w:val="0"/>
                  <w:marRight w:val="0"/>
                  <w:marTop w:val="0"/>
                  <w:marBottom w:val="0"/>
                  <w:divBdr>
                    <w:top w:val="none" w:sz="0" w:space="0" w:color="auto"/>
                    <w:left w:val="none" w:sz="0" w:space="0" w:color="auto"/>
                    <w:bottom w:val="none" w:sz="0" w:space="0" w:color="auto"/>
                    <w:right w:val="none" w:sz="0" w:space="0" w:color="auto"/>
                  </w:divBdr>
                  <w:divsChild>
                    <w:div w:id="1458525484">
                      <w:marLeft w:val="0"/>
                      <w:marRight w:val="0"/>
                      <w:marTop w:val="0"/>
                      <w:marBottom w:val="0"/>
                      <w:divBdr>
                        <w:top w:val="none" w:sz="0" w:space="0" w:color="auto"/>
                        <w:left w:val="none" w:sz="0" w:space="0" w:color="auto"/>
                        <w:bottom w:val="none" w:sz="0" w:space="0" w:color="auto"/>
                        <w:right w:val="none" w:sz="0" w:space="0" w:color="auto"/>
                      </w:divBdr>
                      <w:divsChild>
                        <w:div w:id="6432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5268">
                  <w:marLeft w:val="0"/>
                  <w:marRight w:val="0"/>
                  <w:marTop w:val="0"/>
                  <w:marBottom w:val="0"/>
                  <w:divBdr>
                    <w:top w:val="none" w:sz="0" w:space="0" w:color="auto"/>
                    <w:left w:val="none" w:sz="0" w:space="0" w:color="auto"/>
                    <w:bottom w:val="none" w:sz="0" w:space="0" w:color="auto"/>
                    <w:right w:val="none" w:sz="0" w:space="0" w:color="auto"/>
                  </w:divBdr>
                  <w:divsChild>
                    <w:div w:id="1048800269">
                      <w:marLeft w:val="0"/>
                      <w:marRight w:val="0"/>
                      <w:marTop w:val="0"/>
                      <w:marBottom w:val="0"/>
                      <w:divBdr>
                        <w:top w:val="none" w:sz="0" w:space="0" w:color="auto"/>
                        <w:left w:val="none" w:sz="0" w:space="0" w:color="auto"/>
                        <w:bottom w:val="none" w:sz="0" w:space="0" w:color="auto"/>
                        <w:right w:val="none" w:sz="0" w:space="0" w:color="auto"/>
                      </w:divBdr>
                      <w:divsChild>
                        <w:div w:id="19616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39145">
      <w:bodyDiv w:val="1"/>
      <w:marLeft w:val="0"/>
      <w:marRight w:val="0"/>
      <w:marTop w:val="0"/>
      <w:marBottom w:val="0"/>
      <w:divBdr>
        <w:top w:val="none" w:sz="0" w:space="0" w:color="auto"/>
        <w:left w:val="none" w:sz="0" w:space="0" w:color="auto"/>
        <w:bottom w:val="none" w:sz="0" w:space="0" w:color="auto"/>
        <w:right w:val="none" w:sz="0" w:space="0" w:color="auto"/>
      </w:divBdr>
    </w:div>
    <w:div w:id="1826117718">
      <w:bodyDiv w:val="1"/>
      <w:marLeft w:val="0"/>
      <w:marRight w:val="0"/>
      <w:marTop w:val="0"/>
      <w:marBottom w:val="0"/>
      <w:divBdr>
        <w:top w:val="none" w:sz="0" w:space="0" w:color="auto"/>
        <w:left w:val="none" w:sz="0" w:space="0" w:color="auto"/>
        <w:bottom w:val="none" w:sz="0" w:space="0" w:color="auto"/>
        <w:right w:val="none" w:sz="0" w:space="0" w:color="auto"/>
      </w:divBdr>
    </w:div>
    <w:div w:id="2035185987">
      <w:bodyDiv w:val="1"/>
      <w:marLeft w:val="0"/>
      <w:marRight w:val="0"/>
      <w:marTop w:val="0"/>
      <w:marBottom w:val="0"/>
      <w:divBdr>
        <w:top w:val="none" w:sz="0" w:space="0" w:color="auto"/>
        <w:left w:val="none" w:sz="0" w:space="0" w:color="auto"/>
        <w:bottom w:val="none" w:sz="0" w:space="0" w:color="auto"/>
        <w:right w:val="none" w:sz="0" w:space="0" w:color="auto"/>
      </w:divBdr>
      <w:divsChild>
        <w:div w:id="515001963">
          <w:marLeft w:val="0"/>
          <w:marRight w:val="0"/>
          <w:marTop w:val="0"/>
          <w:marBottom w:val="0"/>
          <w:divBdr>
            <w:top w:val="none" w:sz="0" w:space="0" w:color="auto"/>
            <w:left w:val="none" w:sz="0" w:space="0" w:color="auto"/>
            <w:bottom w:val="none" w:sz="0" w:space="0" w:color="auto"/>
            <w:right w:val="none" w:sz="0" w:space="0" w:color="auto"/>
          </w:divBdr>
          <w:divsChild>
            <w:div w:id="1907177947">
              <w:marLeft w:val="0"/>
              <w:marRight w:val="0"/>
              <w:marTop w:val="0"/>
              <w:marBottom w:val="0"/>
              <w:divBdr>
                <w:top w:val="none" w:sz="0" w:space="0" w:color="auto"/>
                <w:left w:val="none" w:sz="0" w:space="0" w:color="auto"/>
                <w:bottom w:val="none" w:sz="0" w:space="0" w:color="auto"/>
                <w:right w:val="none" w:sz="0" w:space="0" w:color="auto"/>
              </w:divBdr>
              <w:divsChild>
                <w:div w:id="552352985">
                  <w:marLeft w:val="0"/>
                  <w:marRight w:val="0"/>
                  <w:marTop w:val="0"/>
                  <w:marBottom w:val="0"/>
                  <w:divBdr>
                    <w:top w:val="none" w:sz="0" w:space="0" w:color="auto"/>
                    <w:left w:val="none" w:sz="0" w:space="0" w:color="auto"/>
                    <w:bottom w:val="none" w:sz="0" w:space="0" w:color="auto"/>
                    <w:right w:val="none" w:sz="0" w:space="0" w:color="auto"/>
                  </w:divBdr>
                  <w:divsChild>
                    <w:div w:id="11593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58216">
      <w:bodyDiv w:val="1"/>
      <w:marLeft w:val="0"/>
      <w:marRight w:val="0"/>
      <w:marTop w:val="0"/>
      <w:marBottom w:val="0"/>
      <w:divBdr>
        <w:top w:val="none" w:sz="0" w:space="0" w:color="auto"/>
        <w:left w:val="none" w:sz="0" w:space="0" w:color="auto"/>
        <w:bottom w:val="none" w:sz="0" w:space="0" w:color="auto"/>
        <w:right w:val="none" w:sz="0" w:space="0" w:color="auto"/>
      </w:divBdr>
    </w:div>
    <w:div w:id="2057660673">
      <w:bodyDiv w:val="1"/>
      <w:marLeft w:val="0"/>
      <w:marRight w:val="0"/>
      <w:marTop w:val="0"/>
      <w:marBottom w:val="0"/>
      <w:divBdr>
        <w:top w:val="none" w:sz="0" w:space="0" w:color="auto"/>
        <w:left w:val="none" w:sz="0" w:space="0" w:color="auto"/>
        <w:bottom w:val="none" w:sz="0" w:space="0" w:color="auto"/>
        <w:right w:val="none" w:sz="0" w:space="0" w:color="auto"/>
      </w:divBdr>
    </w:div>
    <w:div w:id="2142263268">
      <w:bodyDiv w:val="1"/>
      <w:marLeft w:val="0"/>
      <w:marRight w:val="0"/>
      <w:marTop w:val="0"/>
      <w:marBottom w:val="0"/>
      <w:divBdr>
        <w:top w:val="none" w:sz="0" w:space="0" w:color="auto"/>
        <w:left w:val="none" w:sz="0" w:space="0" w:color="auto"/>
        <w:bottom w:val="none" w:sz="0" w:space="0" w:color="auto"/>
        <w:right w:val="none" w:sz="0" w:space="0" w:color="auto"/>
      </w:divBdr>
    </w:div>
    <w:div w:id="2142797570">
      <w:bodyDiv w:val="1"/>
      <w:marLeft w:val="0"/>
      <w:marRight w:val="0"/>
      <w:marTop w:val="0"/>
      <w:marBottom w:val="0"/>
      <w:divBdr>
        <w:top w:val="none" w:sz="0" w:space="0" w:color="auto"/>
        <w:left w:val="none" w:sz="0" w:space="0" w:color="auto"/>
        <w:bottom w:val="none" w:sz="0" w:space="0" w:color="auto"/>
        <w:right w:val="none" w:sz="0" w:space="0" w:color="auto"/>
      </w:divBdr>
      <w:divsChild>
        <w:div w:id="2127458242">
          <w:marLeft w:val="0"/>
          <w:marRight w:val="0"/>
          <w:marTop w:val="0"/>
          <w:marBottom w:val="0"/>
          <w:divBdr>
            <w:top w:val="none" w:sz="0" w:space="0" w:color="auto"/>
            <w:left w:val="none" w:sz="0" w:space="0" w:color="auto"/>
            <w:bottom w:val="none" w:sz="0" w:space="0" w:color="auto"/>
            <w:right w:val="none" w:sz="0" w:space="0" w:color="auto"/>
          </w:divBdr>
          <w:divsChild>
            <w:div w:id="1516461362">
              <w:marLeft w:val="0"/>
              <w:marRight w:val="0"/>
              <w:marTop w:val="0"/>
              <w:marBottom w:val="0"/>
              <w:divBdr>
                <w:top w:val="none" w:sz="0" w:space="0" w:color="auto"/>
                <w:left w:val="none" w:sz="0" w:space="0" w:color="auto"/>
                <w:bottom w:val="none" w:sz="0" w:space="0" w:color="auto"/>
                <w:right w:val="none" w:sz="0" w:space="0" w:color="auto"/>
              </w:divBdr>
              <w:divsChild>
                <w:div w:id="277758326">
                  <w:marLeft w:val="0"/>
                  <w:marRight w:val="0"/>
                  <w:marTop w:val="0"/>
                  <w:marBottom w:val="0"/>
                  <w:divBdr>
                    <w:top w:val="none" w:sz="0" w:space="0" w:color="auto"/>
                    <w:left w:val="none" w:sz="0" w:space="0" w:color="auto"/>
                    <w:bottom w:val="none" w:sz="0" w:space="0" w:color="auto"/>
                    <w:right w:val="none" w:sz="0" w:space="0" w:color="auto"/>
                  </w:divBdr>
                  <w:divsChild>
                    <w:div w:id="727607227">
                      <w:marLeft w:val="0"/>
                      <w:marRight w:val="0"/>
                      <w:marTop w:val="0"/>
                      <w:marBottom w:val="0"/>
                      <w:divBdr>
                        <w:top w:val="none" w:sz="0" w:space="0" w:color="auto"/>
                        <w:left w:val="none" w:sz="0" w:space="0" w:color="auto"/>
                        <w:bottom w:val="none" w:sz="0" w:space="0" w:color="auto"/>
                        <w:right w:val="none" w:sz="0" w:space="0" w:color="auto"/>
                      </w:divBdr>
                      <w:divsChild>
                        <w:div w:id="15264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5054">
                  <w:marLeft w:val="0"/>
                  <w:marRight w:val="0"/>
                  <w:marTop w:val="0"/>
                  <w:marBottom w:val="0"/>
                  <w:divBdr>
                    <w:top w:val="none" w:sz="0" w:space="0" w:color="auto"/>
                    <w:left w:val="none" w:sz="0" w:space="0" w:color="auto"/>
                    <w:bottom w:val="none" w:sz="0" w:space="0" w:color="auto"/>
                    <w:right w:val="none" w:sz="0" w:space="0" w:color="auto"/>
                  </w:divBdr>
                  <w:divsChild>
                    <w:div w:id="306862819">
                      <w:marLeft w:val="0"/>
                      <w:marRight w:val="0"/>
                      <w:marTop w:val="0"/>
                      <w:marBottom w:val="0"/>
                      <w:divBdr>
                        <w:top w:val="none" w:sz="0" w:space="0" w:color="auto"/>
                        <w:left w:val="none" w:sz="0" w:space="0" w:color="auto"/>
                        <w:bottom w:val="none" w:sz="0" w:space="0" w:color="auto"/>
                        <w:right w:val="none" w:sz="0" w:space="0" w:color="auto"/>
                      </w:divBdr>
                      <w:divsChild>
                        <w:div w:id="15545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87207">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sChild>
                    <w:div w:id="1923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info.nicic.gov/dtg/node/12" TargetMode="External"/><Relationship Id="rId3" Type="http://schemas.openxmlformats.org/officeDocument/2006/relationships/hyperlink" Target="https://www.bc.edu/content/dam/files/research_sites/agingandwork/pdf/publications/RH06_Age_Generations.pdf" TargetMode="External"/><Relationship Id="rId7" Type="http://schemas.openxmlformats.org/officeDocument/2006/relationships/hyperlink" Target="https://pbstandards.org/uploads/documents/PbS_Li_MarketingPacket.pdf" TargetMode="External"/><Relationship Id="rId2" Type="http://schemas.openxmlformats.org/officeDocument/2006/relationships/hyperlink" Target="https://assets.aarp.org/www.aarp.org_/articles/money/employers/leading_multigenerational_workforce.pdf" TargetMode="External"/><Relationship Id="rId1" Type="http://schemas.openxmlformats.org/officeDocument/2006/relationships/hyperlink" Target="http://www.childrensdefense.org/library/data/components-of-an-effective-child-welfare-workforce.pdf" TargetMode="External"/><Relationship Id="rId6" Type="http://schemas.openxmlformats.org/officeDocument/2006/relationships/hyperlink" Target="https://pbstandards.org/initiatives/performance-based-standards-pbs" TargetMode="External"/><Relationship Id="rId5" Type="http://schemas.openxmlformats.org/officeDocument/2006/relationships/hyperlink" Target="https://www.bea.gov/newsreleases/regional/rpp/rpp_newsrelease.htm" TargetMode="External"/><Relationship Id="rId4" Type="http://schemas.openxmlformats.org/officeDocument/2006/relationships/hyperlink" Target="http://www.mtctrains.com/wp-content/uploads/2017/06/Women-Professionals-in-Corrections-A-Growing-Asset.pdf" TargetMode="External"/><Relationship Id="rId9" Type="http://schemas.openxmlformats.org/officeDocument/2006/relationships/hyperlink" Target="https://rtc3.umn.edu/docs/Larson_and_Hewitt_Staff_rrt_book_U_of_MN_reprint_20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2F7B693ED6D4CA3EBB2729B398B67" ma:contentTypeVersion="0" ma:contentTypeDescription="Create a new document." ma:contentTypeScope="" ma:versionID="590de7d370e03bcba151e49d373baed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3EB7B-E08F-4929-AEC6-1335F005AC11}">
  <ds:schemaRefs>
    <ds:schemaRef ds:uri="http://schemas.microsoft.com/sharepoint/v3/contenttype/forms"/>
  </ds:schemaRefs>
</ds:datastoreItem>
</file>

<file path=customXml/itemProps2.xml><?xml version="1.0" encoding="utf-8"?>
<ds:datastoreItem xmlns:ds="http://schemas.openxmlformats.org/officeDocument/2006/customXml" ds:itemID="{21C93B5D-FEF1-4B37-AC72-4485072E5E31}">
  <ds:schemaRefs>
    <ds:schemaRef ds:uri="http://schemas.microsoft.com/office/2006/metadata/properties"/>
  </ds:schemaRefs>
</ds:datastoreItem>
</file>

<file path=customXml/itemProps3.xml><?xml version="1.0" encoding="utf-8"?>
<ds:datastoreItem xmlns:ds="http://schemas.openxmlformats.org/officeDocument/2006/customXml" ds:itemID="{AEE0C07E-FA6E-4C22-B409-16BCC6AD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FB9AC4-19FB-A747-BEC0-71D3F496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101</Pages>
  <Words>41634</Words>
  <Characters>237318</Characters>
  <Application>Microsoft Office Word</Application>
  <DocSecurity>0</DocSecurity>
  <Lines>1977</Lines>
  <Paragraphs>556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Oppenheim</dc:creator>
  <cp:lastModifiedBy>Microsoft Office User</cp:lastModifiedBy>
  <cp:revision>2</cp:revision>
  <cp:lastPrinted>2018-09-05T17:49:00Z</cp:lastPrinted>
  <dcterms:created xsi:type="dcterms:W3CDTF">2022-01-27T19:50:00Z</dcterms:created>
  <dcterms:modified xsi:type="dcterms:W3CDTF">2022-01-27T19:50:00Z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0x010100D922F7B693ED6D4CA3EBB2729B398B67</vt:lpwstr>
  </property>
</Properties>
</file>